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81DB0" w14:textId="77777777" w:rsidR="005C7637" w:rsidRPr="00AE4D08" w:rsidRDefault="005C7637" w:rsidP="005C7637">
      <w:pPr>
        <w:widowControl w:val="0"/>
        <w:tabs>
          <w:tab w:val="left" w:pos="5517"/>
        </w:tabs>
        <w:spacing w:after="0" w:line="240" w:lineRule="auto"/>
        <w:ind w:firstLine="567"/>
        <w:jc w:val="right"/>
        <w:rPr>
          <w:rFonts w:ascii="Arial" w:eastAsia="Arial" w:hAnsi="Arial" w:cs="Arial"/>
          <w:szCs w:val="24"/>
          <w:lang w:val="mn-MN"/>
        </w:rPr>
      </w:pPr>
    </w:p>
    <w:p w14:paraId="18279F1D" w14:textId="77777777" w:rsidR="005C7637" w:rsidRPr="00AE4D08" w:rsidRDefault="005C7637" w:rsidP="005C7637">
      <w:pPr>
        <w:spacing w:after="0" w:line="240" w:lineRule="auto"/>
        <w:jc w:val="center"/>
        <w:rPr>
          <w:rFonts w:ascii="Arial" w:hAnsi="Arial" w:cs="Arial"/>
          <w:bCs/>
          <w:sz w:val="24"/>
          <w:szCs w:val="24"/>
          <w:lang w:val="mn-MN" w:eastAsia="en-US"/>
        </w:rPr>
      </w:pPr>
      <w:bookmarkStart w:id="0" w:name="_GoBack"/>
      <w:bookmarkEnd w:id="0"/>
      <w:r w:rsidRPr="00AE4D08">
        <w:rPr>
          <w:rFonts w:ascii="Arial" w:hAnsi="Arial" w:cs="Arial"/>
          <w:bCs/>
          <w:sz w:val="24"/>
          <w:szCs w:val="24"/>
          <w:lang w:val="mn-MN"/>
        </w:rPr>
        <w:t xml:space="preserve">ЦЭРГИЙН АЛБА ХААГЧИЙН ТЭТГЭВЭР, ТЭТГЭМЖИЙН </w:t>
      </w:r>
      <w:r w:rsidRPr="00AE4D08">
        <w:rPr>
          <w:rFonts w:ascii="Arial" w:hAnsi="Arial" w:cs="Arial"/>
          <w:bCs/>
          <w:sz w:val="24"/>
          <w:szCs w:val="24"/>
          <w:lang w:val="mn-MN" w:eastAsia="en-US"/>
        </w:rPr>
        <w:t>ТУХАЙ ХУУЛЬД</w:t>
      </w:r>
    </w:p>
    <w:p w14:paraId="430FDB86" w14:textId="77777777" w:rsidR="005C7637" w:rsidRPr="00AE4D08" w:rsidRDefault="005C7637" w:rsidP="005C7637">
      <w:pPr>
        <w:spacing w:after="0" w:line="240" w:lineRule="auto"/>
        <w:jc w:val="center"/>
        <w:rPr>
          <w:rFonts w:ascii="Arial" w:eastAsiaTheme="minorHAnsi" w:hAnsi="Arial" w:cs="Arial"/>
          <w:bCs/>
          <w:sz w:val="24"/>
          <w:szCs w:val="24"/>
          <w:lang w:val="mn-MN" w:eastAsia="en-US"/>
        </w:rPr>
      </w:pPr>
      <w:r w:rsidRPr="00AE4D08">
        <w:rPr>
          <w:rFonts w:ascii="Arial" w:eastAsiaTheme="minorHAnsi" w:hAnsi="Arial" w:cs="Arial"/>
          <w:bCs/>
          <w:sz w:val="24"/>
          <w:szCs w:val="24"/>
          <w:lang w:val="mn-MN" w:eastAsia="en-US"/>
        </w:rPr>
        <w:t>НЭМЭЛТ, ӨӨРЧЛӨЛТ ОРУУЛАХ ТУХАЙ ХУУЛИЙН ТӨСЛИЙН</w:t>
      </w:r>
    </w:p>
    <w:p w14:paraId="52658DAA" w14:textId="77777777" w:rsidR="005C7637" w:rsidRPr="00AE4D08" w:rsidRDefault="005C7637" w:rsidP="005C7637">
      <w:pPr>
        <w:spacing w:after="0" w:line="240" w:lineRule="auto"/>
        <w:jc w:val="center"/>
        <w:rPr>
          <w:rFonts w:ascii="Arial" w:eastAsiaTheme="minorHAnsi" w:hAnsi="Arial" w:cs="Arial"/>
          <w:bCs/>
          <w:sz w:val="24"/>
          <w:szCs w:val="24"/>
          <w:lang w:val="mn-MN" w:eastAsia="en-US"/>
        </w:rPr>
      </w:pPr>
      <w:r w:rsidRPr="00AE4D08">
        <w:rPr>
          <w:rFonts w:ascii="Arial" w:eastAsiaTheme="minorHAnsi" w:hAnsi="Arial" w:cs="Arial"/>
          <w:bCs/>
          <w:sz w:val="24"/>
          <w:szCs w:val="24"/>
          <w:lang w:val="mn-MN" w:eastAsia="en-US"/>
        </w:rPr>
        <w:t xml:space="preserve"> ҮЗЭЛ БАРИМТЛАЛ</w:t>
      </w:r>
    </w:p>
    <w:p w14:paraId="1CF89D29" w14:textId="77777777" w:rsidR="005C7637" w:rsidRPr="00AE4D08" w:rsidRDefault="005C7637" w:rsidP="005C7637">
      <w:pPr>
        <w:spacing w:after="0" w:line="240" w:lineRule="auto"/>
        <w:jc w:val="center"/>
        <w:rPr>
          <w:rFonts w:ascii="Arial" w:eastAsiaTheme="minorHAnsi" w:hAnsi="Arial" w:cs="Arial"/>
          <w:b/>
          <w:bCs/>
          <w:sz w:val="24"/>
          <w:szCs w:val="24"/>
          <w:lang w:val="mn-MN" w:eastAsia="en-US"/>
        </w:rPr>
      </w:pPr>
    </w:p>
    <w:p w14:paraId="08B1DEAD" w14:textId="77777777" w:rsidR="005C7637" w:rsidRPr="00AE4D08" w:rsidRDefault="005C7637" w:rsidP="005C7637">
      <w:pPr>
        <w:spacing w:after="0" w:line="240" w:lineRule="auto"/>
        <w:ind w:firstLine="567"/>
        <w:jc w:val="both"/>
        <w:rPr>
          <w:rFonts w:ascii="Arial" w:eastAsiaTheme="minorHAnsi" w:hAnsi="Arial" w:cs="Arial"/>
          <w:b/>
          <w:bCs/>
          <w:sz w:val="24"/>
          <w:szCs w:val="24"/>
          <w:lang w:val="mn-MN" w:eastAsia="en-US"/>
        </w:rPr>
      </w:pPr>
      <w:r w:rsidRPr="00AE4D08">
        <w:rPr>
          <w:rFonts w:ascii="Arial" w:eastAsiaTheme="minorHAnsi" w:hAnsi="Arial" w:cs="Arial"/>
          <w:b/>
          <w:bCs/>
          <w:sz w:val="24"/>
          <w:szCs w:val="24"/>
          <w:lang w:val="mn-MN" w:eastAsia="en-US"/>
        </w:rPr>
        <w:t>Нэг.Хуулийн төсөл боловсруулах үндэслэл, шаардлага:</w:t>
      </w:r>
    </w:p>
    <w:p w14:paraId="2AB84FD7" w14:textId="77777777" w:rsidR="005C7637" w:rsidRPr="00AE4D08" w:rsidRDefault="005C7637" w:rsidP="005C7637">
      <w:pPr>
        <w:spacing w:after="0" w:line="240" w:lineRule="auto"/>
        <w:ind w:firstLine="567"/>
        <w:jc w:val="both"/>
        <w:rPr>
          <w:rFonts w:ascii="Arial" w:eastAsiaTheme="minorHAnsi" w:hAnsi="Arial" w:cs="Arial"/>
          <w:b/>
          <w:bCs/>
          <w:sz w:val="24"/>
          <w:szCs w:val="24"/>
          <w:lang w:val="mn-MN" w:eastAsia="en-US"/>
        </w:rPr>
      </w:pPr>
    </w:p>
    <w:p w14:paraId="7BDBBF65" w14:textId="77777777" w:rsidR="005C7637" w:rsidRPr="00AE4D08" w:rsidRDefault="005C7637" w:rsidP="005C7637">
      <w:pPr>
        <w:pStyle w:val="BodyText1"/>
        <w:shd w:val="clear" w:color="auto" w:fill="auto"/>
        <w:spacing w:before="0" w:after="0" w:line="240" w:lineRule="auto"/>
        <w:ind w:firstLine="567"/>
        <w:rPr>
          <w:rFonts w:eastAsia="Times New Roman"/>
          <w:sz w:val="24"/>
          <w:szCs w:val="24"/>
          <w:lang w:val="mn-MN"/>
        </w:rPr>
      </w:pPr>
      <w:r w:rsidRPr="00AE4D08">
        <w:rPr>
          <w:sz w:val="24"/>
          <w:szCs w:val="24"/>
          <w:lang w:val="mn-MN"/>
        </w:rPr>
        <w:t>Цэргийн алба хаагчийн тэтгэвэр, тэтгэмжийн тухай хууль нь 1994 онд батлагдсан ба з</w:t>
      </w:r>
      <w:r w:rsidRPr="00AE4D08">
        <w:rPr>
          <w:rFonts w:eastAsia="Times New Roman"/>
          <w:sz w:val="24"/>
          <w:szCs w:val="24"/>
          <w:lang w:val="mn-MN"/>
        </w:rPr>
        <w:t>эвсэгт хүчин, хилийн ба дотоодын цэрэг, тагнуул, төрийн тусгай хамгаалалт, цагдаа, шүүхийн шинжилгээний болон авлигатай тэмцэх, онцгой байдлын асуудал эрхэлсэн болон шүүхийн шийдвэр гүйцэтгэх байгууллагын генерал, офицер, ахлагч, түрүүч, байлдагч, цэрэг, цагдаагийн сургуулийн сонсогч /энэ хуульд цаашид "цэргийн алба хаагч" гэх/ нарт тэтгэвэр, тэтгэмж тогтоож, олгохтой холбоотой олон салбарын алба хаагчдын нийгмийн хамгаалал, эрх зүйн байдалтай холбогдох харилцааг зохицуулах хууль болохын хувьд цаг үеийн шаардлагаар нийт 23 удаа нэмэлт, өөрчлөлт орсон байна.</w:t>
      </w:r>
    </w:p>
    <w:p w14:paraId="384A9328" w14:textId="77777777" w:rsidR="005C7637" w:rsidRPr="00AE4D08" w:rsidRDefault="005C7637" w:rsidP="005C7637">
      <w:pPr>
        <w:pStyle w:val="BodyText1"/>
        <w:shd w:val="clear" w:color="auto" w:fill="auto"/>
        <w:spacing w:before="0" w:after="0" w:line="240" w:lineRule="auto"/>
        <w:ind w:firstLine="567"/>
        <w:rPr>
          <w:rFonts w:eastAsia="Times New Roman"/>
          <w:sz w:val="24"/>
          <w:szCs w:val="24"/>
          <w:lang w:val="mn-MN"/>
        </w:rPr>
      </w:pPr>
    </w:p>
    <w:p w14:paraId="1FFC3CFA" w14:textId="77777777" w:rsidR="005C7637" w:rsidRPr="00AE4D08" w:rsidRDefault="005C7637" w:rsidP="005C7637">
      <w:pPr>
        <w:spacing w:after="0" w:line="240" w:lineRule="auto"/>
        <w:ind w:firstLine="567"/>
        <w:jc w:val="both"/>
        <w:rPr>
          <w:rFonts w:ascii="Arial" w:hAnsi="Arial" w:cs="Arial"/>
          <w:sz w:val="24"/>
          <w:szCs w:val="24"/>
          <w:lang w:val="mn-MN"/>
        </w:rPr>
      </w:pPr>
      <w:r w:rsidRPr="00AE4D08">
        <w:rPr>
          <w:rFonts w:ascii="Arial" w:hAnsi="Arial" w:cs="Arial"/>
          <w:sz w:val="24"/>
          <w:szCs w:val="24"/>
          <w:lang w:val="mn-MN"/>
        </w:rPr>
        <w:t xml:space="preserve">Цэргийн алба хаагчийн тэтгэвэр, тэтгэмжийн тухай хуульд нэмэлт, өөрчлөлт оруулах хуулийн хэрэгцээ, шаардлагыг Хууль тогтоомжийн хэрэгцээ, шаардлагыг урьдчилан тандан судлах аргачлалын /цаашид Аргачлал гэх/ 1.3-т заасан хүрээнд хамаарахгүй тул урьдчилан тандан судлах ажиллагааг Аргачлалын 2.1-т заасан үе шатны дагуу гүйцэтгэж, тус хуулийн төслийн үзэл баримтлалыг боловсрууллаа. </w:t>
      </w:r>
    </w:p>
    <w:p w14:paraId="2ABBF553" w14:textId="77777777" w:rsidR="005C7637" w:rsidRPr="00AE4D08" w:rsidRDefault="005C7637" w:rsidP="005C7637">
      <w:pPr>
        <w:spacing w:after="0" w:line="240" w:lineRule="auto"/>
        <w:ind w:firstLine="720"/>
        <w:jc w:val="both"/>
        <w:rPr>
          <w:rFonts w:ascii="Arial" w:eastAsiaTheme="minorHAnsi" w:hAnsi="Arial" w:cs="Arial"/>
          <w:bCs/>
          <w:sz w:val="24"/>
          <w:szCs w:val="24"/>
          <w:lang w:val="mn-MN" w:eastAsia="en-US"/>
        </w:rPr>
      </w:pPr>
    </w:p>
    <w:p w14:paraId="07BF34F7" w14:textId="77777777" w:rsidR="005C7637" w:rsidRPr="00AE4D08" w:rsidRDefault="005C7637" w:rsidP="005C7637">
      <w:pPr>
        <w:spacing w:after="0" w:line="240" w:lineRule="auto"/>
        <w:ind w:firstLine="567"/>
        <w:jc w:val="both"/>
        <w:rPr>
          <w:rFonts w:ascii="Arial" w:eastAsiaTheme="minorHAnsi" w:hAnsi="Arial" w:cs="Arial"/>
          <w:bCs/>
          <w:sz w:val="24"/>
          <w:szCs w:val="24"/>
          <w:lang w:val="mn-MN" w:eastAsia="en-US"/>
        </w:rPr>
      </w:pPr>
      <w:r w:rsidRPr="00AE4D08">
        <w:rPr>
          <w:rFonts w:ascii="Arial" w:eastAsiaTheme="minorHAnsi" w:hAnsi="Arial" w:cs="Arial"/>
          <w:bCs/>
          <w:sz w:val="24"/>
          <w:szCs w:val="24"/>
          <w:lang w:val="mn-MN" w:eastAsia="en-US"/>
        </w:rPr>
        <w:t>1.1.Хууль зүйн үндэслэл, шаардлага</w:t>
      </w:r>
      <w:bookmarkStart w:id="1" w:name="_Toc358405669"/>
      <w:bookmarkEnd w:id="1"/>
      <w:r w:rsidRPr="00AE4D08">
        <w:rPr>
          <w:rFonts w:ascii="Arial" w:eastAsiaTheme="minorHAnsi" w:hAnsi="Arial" w:cs="Arial"/>
          <w:bCs/>
          <w:sz w:val="24"/>
          <w:szCs w:val="24"/>
          <w:lang w:val="mn-MN" w:eastAsia="en-US"/>
        </w:rPr>
        <w:t>:</w:t>
      </w:r>
    </w:p>
    <w:p w14:paraId="4D5FA9F7" w14:textId="77777777" w:rsidR="005C7637" w:rsidRPr="00AE4D08" w:rsidRDefault="005C7637" w:rsidP="005C7637">
      <w:pPr>
        <w:spacing w:after="0" w:line="240" w:lineRule="auto"/>
        <w:ind w:firstLine="720"/>
        <w:jc w:val="both"/>
        <w:rPr>
          <w:rFonts w:ascii="Arial" w:eastAsiaTheme="minorHAnsi" w:hAnsi="Arial" w:cs="Arial"/>
          <w:bCs/>
          <w:sz w:val="24"/>
          <w:szCs w:val="24"/>
          <w:lang w:val="mn-MN" w:eastAsia="en-US"/>
        </w:rPr>
      </w:pPr>
    </w:p>
    <w:p w14:paraId="6A085872" w14:textId="77777777" w:rsidR="005C7637" w:rsidRPr="00AE4D08" w:rsidRDefault="005C7637" w:rsidP="005C7637">
      <w:pPr>
        <w:widowControl w:val="0"/>
        <w:spacing w:after="0" w:line="240" w:lineRule="auto"/>
        <w:ind w:firstLine="567"/>
        <w:jc w:val="both"/>
        <w:rPr>
          <w:rFonts w:ascii="Arial" w:eastAsia="Arial" w:hAnsi="Arial" w:cs="Arial"/>
          <w:sz w:val="24"/>
          <w:szCs w:val="24"/>
          <w:lang w:val="mn-MN" w:eastAsia="en-US"/>
        </w:rPr>
      </w:pPr>
      <w:r w:rsidRPr="00AE4D08">
        <w:rPr>
          <w:rFonts w:ascii="Arial" w:eastAsia="Times New Roman" w:hAnsi="Arial" w:cs="Arial"/>
          <w:sz w:val="24"/>
          <w:szCs w:val="24"/>
          <w:lang w:val="mn-MN" w:eastAsia="en-US"/>
        </w:rPr>
        <w:t xml:space="preserve">Монгол Улсын Их Хурлын 2021 оны 01 дүгээр сарын 22-ны өдрийн 12 дугаар тогтоолоор баталсан “Монгол Улсын хууль тогтоомжийг 2024 он хүртэл боловсронгуй болгох үндсэн чиглэл”-д батлан хамгаалах чиглэлээр Цэргийн алба хаагчийн тэтгэвэр, тэтгэмжийн тухай хуульд нэмэлт, өөрчлөлт оруулахаар тусгагдаж, </w:t>
      </w:r>
      <w:r w:rsidRPr="00AE4D08">
        <w:rPr>
          <w:rFonts w:ascii="Arial" w:eastAsia="Arial" w:hAnsi="Arial" w:cs="Arial"/>
          <w:sz w:val="24"/>
          <w:szCs w:val="24"/>
          <w:lang w:val="mn-MN" w:eastAsia="en-US"/>
        </w:rPr>
        <w:t xml:space="preserve">цэргийн тэтгэвэр авагч нас барсан тохиолдолд түүний ар гэрт оршуулгын тэтгэмж олгохтой холбоотой эрх зүйн зохицуулалтыг тусгахаар заасан. </w:t>
      </w:r>
    </w:p>
    <w:p w14:paraId="5D3606F2" w14:textId="77777777" w:rsidR="005C7637" w:rsidRPr="00AE4D08" w:rsidRDefault="005C7637" w:rsidP="005C7637">
      <w:pPr>
        <w:pStyle w:val="BodyText1"/>
        <w:shd w:val="clear" w:color="auto" w:fill="auto"/>
        <w:spacing w:before="0" w:after="0" w:line="240" w:lineRule="auto"/>
        <w:ind w:firstLine="567"/>
        <w:rPr>
          <w:sz w:val="24"/>
          <w:szCs w:val="24"/>
          <w:lang w:val="mn-MN"/>
        </w:rPr>
      </w:pPr>
    </w:p>
    <w:p w14:paraId="7CB56394" w14:textId="77777777" w:rsidR="005C7637" w:rsidRPr="00AE4D08" w:rsidRDefault="005C7637" w:rsidP="005C7637">
      <w:pPr>
        <w:pStyle w:val="BodyText1"/>
        <w:shd w:val="clear" w:color="auto" w:fill="auto"/>
        <w:spacing w:before="0" w:after="0" w:line="240" w:lineRule="auto"/>
        <w:ind w:firstLine="567"/>
        <w:rPr>
          <w:sz w:val="24"/>
          <w:szCs w:val="24"/>
          <w:lang w:val="mn-MN"/>
        </w:rPr>
      </w:pPr>
      <w:r w:rsidRPr="00AE4D08">
        <w:rPr>
          <w:sz w:val="24"/>
          <w:szCs w:val="24"/>
          <w:lang w:val="mn-MN"/>
        </w:rPr>
        <w:t>Мөн Улсын Их Хурлын Хүний эрхийн дэд хорооны 2021 оны 02 дугаар тогтоолд цэргийн албаны  үйл ажиллагаанд баримталдаг батлан хамгаалах салбарын хууль тогтоомжуудад хяналт шинжилгээ, хэрэгжилтийн үр дагаварт үнэлгээ хийх талаар тусгасан. Тогтоолын хэрэгжилтийг хангах арга хэмжээний хүрээнд Батлан хамгаалах яам нь Хууль зүйн үндэсний хүрээлэнтэй хоёр талын гэрээг байгуулж Батлан хамгаалах тухай, Зэвсэгт хүчний тухай, Цэргийн албаны тухай, Цэргийн алба хаагчийн эрх зүйн байдлын тухай, Цэргийн алба хаагчийн тэтгэвэр, тэтгэмжийн тухай хуулиудад хяналт шинжилгээ, хэрэгжилтийн үр дагаварт үнэлгээ хийлгэсэн болно. Цэргийн алба хаагчийн тэтгэвэр, тэтгэмжийн тухай хуульд хийсэн  хяналт шинжилгээ, хэрэгжилтийн үр дагавар дахь үнэлгээний зөвлөмжид хуульд өөрчлөлт оруулах замаар тус хуулийн зарим эрх зүйн зохицуулалтыг боловсронгуй болгох талаар заажээ.</w:t>
      </w:r>
    </w:p>
    <w:p w14:paraId="55BA13A9" w14:textId="77777777" w:rsidR="005C7637" w:rsidRPr="00AE4D08" w:rsidRDefault="005C7637" w:rsidP="005C7637">
      <w:pPr>
        <w:tabs>
          <w:tab w:val="left" w:pos="1276"/>
        </w:tabs>
        <w:spacing w:after="0" w:line="240" w:lineRule="auto"/>
        <w:ind w:firstLine="567"/>
        <w:jc w:val="both"/>
        <w:rPr>
          <w:rFonts w:ascii="Arial" w:hAnsi="Arial" w:cs="Arial"/>
          <w:sz w:val="24"/>
          <w:szCs w:val="24"/>
          <w:lang w:val="mn-MN" w:eastAsia="en-US"/>
        </w:rPr>
      </w:pPr>
      <w:r w:rsidRPr="00AE4D08">
        <w:rPr>
          <w:rFonts w:ascii="Arial" w:hAnsi="Arial" w:cs="Arial"/>
          <w:noProof/>
          <w:sz w:val="24"/>
          <w:szCs w:val="24"/>
          <w:lang w:val="mn-MN"/>
        </w:rPr>
        <w:t xml:space="preserve">Улсын Их Хурлын 2015 оны 85 дугаар тогтоолоор баталсан “Монгол Улсын батлан хамгаалах бодлогын үндэс” баримт бичигт </w:t>
      </w:r>
      <w:r w:rsidRPr="00AE4D08">
        <w:rPr>
          <w:rFonts w:ascii="Arial" w:hAnsi="Arial" w:cs="Arial"/>
          <w:sz w:val="24"/>
          <w:szCs w:val="24"/>
          <w:lang w:val="mn-MN"/>
        </w:rPr>
        <w:t xml:space="preserve">5.6 дахь хэсэгт “Цэргийн алба хаагч, цэргийн анги, байгууллагад гэрээгээр ажиллагсдын алба хаах нөхцөлийг бүрдүүлэх, нийгмийн баталгааг хангах эрх зүйн орчныг боловсронгуй болгоно” гэж, Монгол Улсын батлан хамгаалах тухай хуулийн 11 дүгээр зүйлийн 11.1.3-т “цэргийн алба хаагчийн нийгмийн хамгаалал, эрх зүйн байдлыг албаны онцлогт нь тохируулж тогтоох” гэж, мөн хуулийн </w:t>
      </w:r>
      <w:r w:rsidRPr="00AE4D08">
        <w:rPr>
          <w:rFonts w:ascii="Arial" w:hAnsi="Arial" w:cs="Arial"/>
          <w:sz w:val="24"/>
          <w:szCs w:val="24"/>
          <w:lang w:val="mn-MN" w:eastAsia="en-US"/>
        </w:rPr>
        <w:t xml:space="preserve">15 дугаар зүйлийн 15.3.4-т “батлан хамгаалахын хүний нөөцийн бодлогыг тодорхойлж, хэрэгжүүлэх, цэргийн алба хаагч, түүний гэр бүл, </w:t>
      </w:r>
      <w:r w:rsidRPr="00AE4D08">
        <w:rPr>
          <w:rFonts w:ascii="Arial" w:hAnsi="Arial" w:cs="Arial"/>
          <w:sz w:val="24"/>
          <w:szCs w:val="24"/>
          <w:lang w:val="mn-MN" w:eastAsia="en-US"/>
        </w:rPr>
        <w:lastRenderedPageBreak/>
        <w:t xml:space="preserve">бэлтгэл болон чөлөөнд байгаа офицер, ахлагчийн нийгмийн хамгаалал, эрх, хууль ёсны ашиг сонирхлыг хамгаалах” гэж </w:t>
      </w:r>
      <w:r w:rsidRPr="00AE4D08">
        <w:rPr>
          <w:rFonts w:ascii="Arial" w:hAnsi="Arial" w:cs="Arial"/>
          <w:sz w:val="24"/>
          <w:szCs w:val="24"/>
          <w:lang w:val="mn-MN"/>
        </w:rPr>
        <w:t xml:space="preserve">тус тус заасантай нийцүүлэн Цэргийн алба хаагчийн тэтгэвэр, тэтгэмжийн тухай хуульд нэмэлт, өөрчлөлт оруулах тухай хуулийн төслийг боловсруулах эрх зүйн хэрэгцээ, шаардлага тодорхойлогдож байна.  </w:t>
      </w:r>
    </w:p>
    <w:p w14:paraId="5E910DA3" w14:textId="77777777" w:rsidR="005C7637" w:rsidRPr="00AE4D08" w:rsidRDefault="005C7637" w:rsidP="005C7637">
      <w:pPr>
        <w:spacing w:after="0" w:line="240" w:lineRule="auto"/>
        <w:ind w:firstLine="720"/>
        <w:jc w:val="both"/>
        <w:rPr>
          <w:rFonts w:ascii="Arial" w:eastAsiaTheme="minorHAnsi" w:hAnsi="Arial" w:cs="Arial"/>
          <w:bCs/>
          <w:sz w:val="24"/>
          <w:szCs w:val="24"/>
          <w:lang w:val="mn-MN" w:eastAsia="en-US"/>
        </w:rPr>
      </w:pPr>
    </w:p>
    <w:p w14:paraId="7DC51ED9" w14:textId="77777777" w:rsidR="005C7637" w:rsidRPr="00AE4D08" w:rsidRDefault="005C7637" w:rsidP="005C7637">
      <w:pPr>
        <w:spacing w:after="0" w:line="240" w:lineRule="auto"/>
        <w:ind w:firstLine="567"/>
        <w:jc w:val="both"/>
        <w:rPr>
          <w:rFonts w:ascii="Arial" w:eastAsiaTheme="minorHAnsi" w:hAnsi="Arial" w:cs="Arial"/>
          <w:bCs/>
          <w:sz w:val="24"/>
          <w:szCs w:val="24"/>
          <w:lang w:val="mn-MN" w:eastAsia="en-US"/>
        </w:rPr>
      </w:pPr>
      <w:r w:rsidRPr="00AE4D08">
        <w:rPr>
          <w:rFonts w:ascii="Arial" w:eastAsiaTheme="minorHAnsi" w:hAnsi="Arial" w:cs="Arial"/>
          <w:bCs/>
          <w:sz w:val="24"/>
          <w:szCs w:val="24"/>
          <w:lang w:val="mn-MN" w:eastAsia="en-US"/>
        </w:rPr>
        <w:t>1.2.Практик үндэслэл, шаардлага:</w:t>
      </w:r>
    </w:p>
    <w:p w14:paraId="0E3D559C" w14:textId="77777777" w:rsidR="005C7637" w:rsidRPr="00AE4D08" w:rsidRDefault="005C7637" w:rsidP="005C7637">
      <w:pPr>
        <w:spacing w:after="0" w:line="240" w:lineRule="auto"/>
        <w:ind w:firstLine="567"/>
        <w:jc w:val="both"/>
        <w:rPr>
          <w:rFonts w:ascii="Arial" w:eastAsiaTheme="minorHAnsi" w:hAnsi="Arial" w:cs="Arial"/>
          <w:bCs/>
          <w:sz w:val="24"/>
          <w:szCs w:val="24"/>
          <w:lang w:val="mn-MN" w:eastAsia="en-US"/>
        </w:rPr>
      </w:pPr>
    </w:p>
    <w:p w14:paraId="6209EF00" w14:textId="77777777" w:rsidR="005C7637" w:rsidRPr="00AE4D08" w:rsidRDefault="005C7637" w:rsidP="005C7637">
      <w:pPr>
        <w:widowControl w:val="0"/>
        <w:spacing w:after="0" w:line="240" w:lineRule="auto"/>
        <w:ind w:firstLine="567"/>
        <w:jc w:val="both"/>
        <w:rPr>
          <w:rFonts w:ascii="Arial" w:eastAsia="Arial" w:hAnsi="Arial" w:cs="Arial"/>
          <w:sz w:val="24"/>
          <w:szCs w:val="24"/>
          <w:lang w:val="mn-MN" w:eastAsia="en-US"/>
        </w:rPr>
      </w:pPr>
      <w:r w:rsidRPr="00AE4D08">
        <w:rPr>
          <w:rFonts w:ascii="Arial" w:eastAsia="Arial" w:hAnsi="Arial" w:cs="Arial"/>
          <w:sz w:val="24"/>
          <w:szCs w:val="24"/>
          <w:lang w:val="mn-MN" w:eastAsia="en-US"/>
        </w:rPr>
        <w:t xml:space="preserve">Цэргийн албаны тухай хуулийн 10 дугаар зүйлийн 10.5 дахь хэсэг, 11 дүгээр зүйлийн 11.4, 11.5 дахь хэсэгт заасан цэргийн алба хаах хугацаатай холбогдох эрх зүйн зохицуулалтын дагуу эмэгтэй цэргийн алба хаагч нь Цэргийн алба хаагчийн тэтгэвэр, тэтгэмжийн тухай хуулийн цэргийн алба хаасны тэтгэвэр тогтоолгох эрх зүйн үндэслэл бүрдэх ба тус хуулийн хэрэгжилтийн талаар хийсэн дүн шинжилгээ болон Хөдөлмөр, нийгмийн хамгааллын яамтай ажил хэргийн шугамаар тухайн асуудлаар санал солилцоход хуульд нэмэлт, өөрчлөлт оруулах замаар асуудлыг шийдвэрлэх нь оновчтой гэж үзсэн болно. </w:t>
      </w:r>
    </w:p>
    <w:p w14:paraId="3222CF15" w14:textId="77777777" w:rsidR="005C7637" w:rsidRPr="00AE4D08" w:rsidRDefault="005C7637" w:rsidP="005C7637">
      <w:pPr>
        <w:widowControl w:val="0"/>
        <w:spacing w:after="0" w:line="240" w:lineRule="auto"/>
        <w:ind w:firstLine="567"/>
        <w:jc w:val="both"/>
        <w:rPr>
          <w:rFonts w:ascii="Arial" w:eastAsia="Arial" w:hAnsi="Arial" w:cs="Arial"/>
          <w:sz w:val="24"/>
          <w:szCs w:val="24"/>
          <w:lang w:val="mn-MN" w:eastAsia="en-US"/>
        </w:rPr>
      </w:pPr>
    </w:p>
    <w:p w14:paraId="7C6F2AAC" w14:textId="77777777" w:rsidR="005C7637" w:rsidRPr="00AE4D08" w:rsidRDefault="005C7637" w:rsidP="005C7637">
      <w:pPr>
        <w:widowControl w:val="0"/>
        <w:spacing w:after="0" w:line="240" w:lineRule="auto"/>
        <w:ind w:firstLine="567"/>
        <w:jc w:val="both"/>
        <w:rPr>
          <w:rFonts w:ascii="Arial" w:hAnsi="Arial" w:cs="Arial"/>
          <w:sz w:val="24"/>
          <w:szCs w:val="24"/>
          <w:lang w:val="mn-MN"/>
        </w:rPr>
      </w:pPr>
      <w:r w:rsidRPr="00AE4D08">
        <w:rPr>
          <w:rFonts w:ascii="Arial" w:eastAsia="Arial" w:hAnsi="Arial" w:cs="Arial"/>
          <w:sz w:val="24"/>
          <w:szCs w:val="24"/>
          <w:lang w:val="mn-MN" w:eastAsia="en-US"/>
        </w:rPr>
        <w:t>Тодруулбал, т</w:t>
      </w:r>
      <w:r w:rsidRPr="00AE4D08">
        <w:rPr>
          <w:rFonts w:ascii="Arial" w:hAnsi="Arial" w:cs="Arial"/>
          <w:sz w:val="24"/>
          <w:szCs w:val="24"/>
          <w:lang w:val="mn-MN"/>
        </w:rPr>
        <w:t xml:space="preserve">ус хуулийн үйлчлэх хүрээнд хамаарах төрийн цэргийн болон бусад байгууллагын алба хаагч нь Цэргийн албаны тухай хуульд заасны дагуу ахлагчийн албыг 47 нас хүртэл, офицерын албыг цолны ангиллын дагуу дунд офицер 47 нас хүртэл, ахлах офицер 52 нас хүртэл, дээд офицер 57 нас хүртэл хаахаар заасан ба эмэгтэйчүүд офицерын албыг цэргийн цол харгалзахгүйгээр 47 нас хүртэл хаах эрх зүйн зохицуулалт үйлчилж байгаа бол Цагдаагийн албаны тухай хуулийн 91 дүгээр зүйлийн </w:t>
      </w:r>
      <w:r w:rsidRPr="00AE4D08">
        <w:rPr>
          <w:rFonts w:ascii="Arial" w:hAnsi="Arial" w:cs="Arial"/>
          <w:sz w:val="24"/>
          <w:szCs w:val="24"/>
          <w:lang w:val="mn-MN" w:eastAsia="en-US"/>
        </w:rPr>
        <w:t>1 дэх хэсэгт цагдаагийн алба хаагчийн насны дээд хязгаар нь цагдаагийн бага цолтой алба хаагч 47 нас, цагдаагийн дунд цолтой алба хаагч 52 нас, цагдаагийн ахлах цолтой алба хаагч 55 нас, цагдаагийн дээд цолтой алба хаагч 57 нас,</w:t>
      </w:r>
      <w:r w:rsidRPr="00AE4D08">
        <w:rPr>
          <w:rFonts w:ascii="Arial" w:hAnsi="Arial" w:cs="Arial"/>
          <w:sz w:val="24"/>
          <w:szCs w:val="24"/>
          <w:lang w:val="mn-MN"/>
        </w:rPr>
        <w:t xml:space="preserve"> эмэгтэйчүүд цагдаагийн албыг цол харгалзахгүйгээр 47 нас хүртэл хаахаар заажээ.</w:t>
      </w:r>
    </w:p>
    <w:p w14:paraId="4FC504B7" w14:textId="77777777" w:rsidR="005C7637" w:rsidRPr="00AE4D08" w:rsidRDefault="005C7637" w:rsidP="005C7637">
      <w:pPr>
        <w:spacing w:after="0" w:line="240" w:lineRule="auto"/>
        <w:ind w:firstLine="567"/>
        <w:jc w:val="both"/>
        <w:textAlignment w:val="top"/>
        <w:rPr>
          <w:rFonts w:ascii="Arial" w:eastAsia="Times New Roman" w:hAnsi="Arial" w:cs="Arial"/>
          <w:sz w:val="24"/>
          <w:szCs w:val="24"/>
          <w:lang w:val="mn-MN"/>
        </w:rPr>
      </w:pPr>
    </w:p>
    <w:p w14:paraId="5452C09D" w14:textId="77777777" w:rsidR="005C7637" w:rsidRPr="00AE4D08" w:rsidRDefault="005C7637" w:rsidP="005C7637">
      <w:pPr>
        <w:spacing w:after="0" w:line="240" w:lineRule="auto"/>
        <w:ind w:firstLine="567"/>
        <w:jc w:val="both"/>
        <w:textAlignment w:val="top"/>
        <w:rPr>
          <w:rFonts w:ascii="Arial" w:eastAsia="Times New Roman" w:hAnsi="Arial" w:cs="Arial"/>
          <w:sz w:val="24"/>
          <w:szCs w:val="24"/>
          <w:lang w:val="mn-MN"/>
        </w:rPr>
      </w:pPr>
      <w:r w:rsidRPr="00AE4D08">
        <w:rPr>
          <w:rFonts w:ascii="Arial" w:eastAsia="Times New Roman" w:hAnsi="Arial" w:cs="Arial"/>
          <w:sz w:val="24"/>
          <w:szCs w:val="24"/>
          <w:lang w:val="mn-MN"/>
        </w:rPr>
        <w:t xml:space="preserve">Эмэгтэй цэргийн алба хаагч ахлагч болон офицерын албыг цэргийн цол харгалзахгүйгээр дунджаар 47 нас хүртэл хаахаар Цэргийн албаны болон Цагдаагийн албаны тухай хуульд нийтлэг байдлаар хуульчилсантай холбогдуулан эмэгтэй цэргийн алба хаагчийн хувьд жирэмсэн болон хүүхэд асрах чөлөөтэй байх хугацааг цэргийн алба хаасан хугацаанд оруулан тооцох талаар эрх зүйн зохицуулалт хангалтгүй байгааг хуульд нарийвчлан тусгах хэрэгцээ шаардлага байгаа болно. </w:t>
      </w:r>
    </w:p>
    <w:p w14:paraId="05B4229A" w14:textId="77777777" w:rsidR="005C7637" w:rsidRPr="00AE4D08" w:rsidRDefault="005C7637" w:rsidP="005C7637">
      <w:pPr>
        <w:widowControl w:val="0"/>
        <w:spacing w:after="0" w:line="240" w:lineRule="auto"/>
        <w:ind w:firstLine="567"/>
        <w:jc w:val="both"/>
        <w:rPr>
          <w:rFonts w:ascii="Arial" w:hAnsi="Arial" w:cs="Arial"/>
          <w:sz w:val="24"/>
          <w:szCs w:val="24"/>
          <w:lang w:val="mn-MN"/>
        </w:rPr>
      </w:pPr>
    </w:p>
    <w:p w14:paraId="6AA02012" w14:textId="77777777" w:rsidR="005C7637" w:rsidRPr="00AE4D08" w:rsidRDefault="005C7637" w:rsidP="005C7637">
      <w:pPr>
        <w:widowControl w:val="0"/>
        <w:spacing w:after="0" w:line="240" w:lineRule="auto"/>
        <w:ind w:firstLine="567"/>
        <w:jc w:val="both"/>
        <w:rPr>
          <w:rFonts w:ascii="Arial" w:eastAsia="Arial" w:hAnsi="Arial" w:cs="Arial"/>
          <w:sz w:val="24"/>
          <w:szCs w:val="24"/>
          <w:lang w:val="mn-MN" w:eastAsia="en-US"/>
        </w:rPr>
      </w:pPr>
      <w:r w:rsidRPr="00AE4D08">
        <w:rPr>
          <w:rFonts w:ascii="Arial" w:hAnsi="Arial" w:cs="Arial"/>
          <w:sz w:val="24"/>
          <w:szCs w:val="24"/>
          <w:lang w:val="mn-MN"/>
        </w:rPr>
        <w:t xml:space="preserve">Мөн тус хуулийн үйлчлэлд хамаарах байгууллагуудын алба хаагч нь </w:t>
      </w:r>
      <w:r w:rsidRPr="00AE4D08">
        <w:rPr>
          <w:rFonts w:ascii="Arial" w:eastAsia="Arial" w:hAnsi="Arial" w:cs="Arial"/>
          <w:sz w:val="24"/>
          <w:szCs w:val="24"/>
          <w:lang w:val="mn-MN" w:eastAsia="en-US"/>
        </w:rPr>
        <w:t xml:space="preserve"> 47-57 насны хооронд цэргийн алба хаасны тэтгэвэр тогтоолгож, Ахмад настны нийгмийн хамгааллын тухай хуулийн 3 дугаар зүйлийн 3.1 дэх хэсэгт заасан 60, түүнээс дээш настай эрэгтэй, 55 түүнээс дээш настай эмэгтэйд хамаарах насны шаардлагад хамаардаггүйгээс шалтгаалан ахмад настны дэмжлэг, туслалцаанаас гадуур орхигдож байна.</w:t>
      </w:r>
    </w:p>
    <w:p w14:paraId="1BFB403D" w14:textId="77777777" w:rsidR="005C7637" w:rsidRPr="00AE4D08" w:rsidRDefault="005C7637" w:rsidP="005C7637">
      <w:pPr>
        <w:widowControl w:val="0"/>
        <w:spacing w:after="0" w:line="240" w:lineRule="auto"/>
        <w:ind w:firstLine="567"/>
        <w:jc w:val="both"/>
        <w:rPr>
          <w:rFonts w:ascii="Arial" w:hAnsi="Arial" w:cs="Arial"/>
          <w:sz w:val="24"/>
          <w:szCs w:val="24"/>
          <w:lang w:val="mn-MN"/>
        </w:rPr>
      </w:pPr>
    </w:p>
    <w:p w14:paraId="10DC14A4" w14:textId="77777777" w:rsidR="005C7637" w:rsidRPr="00AE4D08" w:rsidRDefault="005C7637" w:rsidP="005C7637">
      <w:pPr>
        <w:widowControl w:val="0"/>
        <w:spacing w:after="0" w:line="240" w:lineRule="auto"/>
        <w:ind w:firstLine="567"/>
        <w:jc w:val="both"/>
        <w:rPr>
          <w:rFonts w:ascii="Arial" w:hAnsi="Arial" w:cs="Arial"/>
          <w:sz w:val="24"/>
          <w:szCs w:val="24"/>
          <w:lang w:val="mn-MN"/>
        </w:rPr>
      </w:pPr>
      <w:r w:rsidRPr="00AE4D08">
        <w:rPr>
          <w:rFonts w:ascii="Arial" w:hAnsi="Arial" w:cs="Arial"/>
          <w:sz w:val="24"/>
          <w:szCs w:val="24"/>
          <w:lang w:val="mn-MN"/>
        </w:rPr>
        <w:t xml:space="preserve">Тодруулбал, Цэргийн алба хаагчийн тэтгэвэр, тэтгэмжийн тухай хуулийн </w:t>
      </w:r>
      <w:r w:rsidRPr="00AE4D08">
        <w:rPr>
          <w:rFonts w:ascii="Arial" w:hAnsi="Arial" w:cs="Arial"/>
          <w:bCs/>
          <w:sz w:val="24"/>
          <w:szCs w:val="24"/>
          <w:lang w:val="mn-MN"/>
        </w:rPr>
        <w:t>20 дугаар зүйлийн 20.1 дэх хэсэгт “</w:t>
      </w:r>
      <w:r w:rsidRPr="00AE4D08">
        <w:rPr>
          <w:rFonts w:ascii="Arial" w:hAnsi="Arial" w:cs="Arial"/>
          <w:sz w:val="24"/>
          <w:szCs w:val="24"/>
          <w:lang w:val="mn-MN"/>
        </w:rPr>
        <w:t>Цэргийн алба хаагч, түүнчлэн дайчилгаатай сургууль цугларалтад оролцож байгаа цэргийн үүрэгтэн нас барахад түүний оршуулгад зориулан нас барагчийн ар гэрт олгох тэтгэмж олгоно.” гэж заасан ба харин цэргийн тэтгэвэр тогтоолгосон иргэн насны хувьд Ахмад настны тухай хуулийн үйлчлэлд хамаарахгүй байгаагаас нас барсан тохиолдолд түүнд нийгмийн халамжаас оршуулгын тэтгэмжийг олгогдохгүй байгаа нь энэ төрлийн эрх зүйн зохицуулалтгүй байгаатай шууд холбоотой юм.</w:t>
      </w:r>
    </w:p>
    <w:p w14:paraId="66109F0F" w14:textId="77777777" w:rsidR="005C7637" w:rsidRPr="00AE4D08" w:rsidRDefault="005C7637" w:rsidP="005C7637">
      <w:pPr>
        <w:spacing w:after="0" w:line="240" w:lineRule="auto"/>
        <w:ind w:firstLine="720"/>
        <w:jc w:val="both"/>
        <w:textAlignment w:val="top"/>
        <w:rPr>
          <w:rFonts w:ascii="Arial" w:eastAsia="Times New Roman" w:hAnsi="Arial" w:cs="Arial"/>
          <w:sz w:val="24"/>
          <w:szCs w:val="24"/>
          <w:lang w:val="mn-MN"/>
        </w:rPr>
      </w:pPr>
    </w:p>
    <w:p w14:paraId="26B2E73B" w14:textId="77777777" w:rsidR="005C7637" w:rsidRPr="00AE4D08" w:rsidRDefault="005C7637" w:rsidP="005C7637">
      <w:pPr>
        <w:spacing w:after="0" w:line="240" w:lineRule="auto"/>
        <w:ind w:firstLine="567"/>
        <w:jc w:val="both"/>
        <w:textAlignment w:val="top"/>
        <w:rPr>
          <w:rFonts w:ascii="Arial" w:eastAsia="Times New Roman" w:hAnsi="Arial" w:cs="Arial"/>
          <w:sz w:val="24"/>
          <w:szCs w:val="24"/>
          <w:lang w:val="mn-MN"/>
        </w:rPr>
      </w:pPr>
      <w:r w:rsidRPr="00AE4D08">
        <w:rPr>
          <w:rFonts w:ascii="Arial" w:eastAsia="Times New Roman" w:hAnsi="Arial" w:cs="Arial"/>
          <w:sz w:val="24"/>
          <w:szCs w:val="24"/>
          <w:lang w:val="mn-MN"/>
        </w:rPr>
        <w:t>Түүнчлэн хүчин төгөлдөр мөрдөж байгаа Цэргийн алба хаагчийн тэтгэвэр, тэтгэмжийн тухай хуулийн 8 дугаар зүйлийн 2 дахь хэсэгт зааснаар цэргийн алба хаагч 10-аас доошгүй жил цэргийн алба хаагаад орон тоо, зохион байгуулалтын өөрчлөлт, биеийн эрүүл мэндээр, түүнчлэн цэргийн алба хаах нас хэтэрч халагдсан тохиолдолд хувь тэнцүүлэн тэтгэвэр авах эрх үүсэхээр хуульчилсан боловч тус хуулийн нэг удаагийн тэтгэмж олгохтой холбогдох 1</w:t>
      </w:r>
      <w:r w:rsidRPr="00AE4D08">
        <w:rPr>
          <w:rFonts w:ascii="Arial" w:eastAsia="Times New Roman" w:hAnsi="Arial" w:cs="Arial"/>
          <w:bCs/>
          <w:sz w:val="24"/>
          <w:szCs w:val="24"/>
          <w:lang w:val="mn-MN"/>
        </w:rPr>
        <w:t>9 дүгээр зүйлийн 2 дахь хэсэгт “</w:t>
      </w:r>
      <w:r w:rsidRPr="00AE4D08">
        <w:rPr>
          <w:rFonts w:ascii="Arial" w:eastAsia="Times New Roman" w:hAnsi="Arial" w:cs="Arial"/>
          <w:sz w:val="24"/>
          <w:szCs w:val="24"/>
          <w:lang w:val="mn-MN"/>
        </w:rPr>
        <w:t xml:space="preserve">Цэргийн алба хаагч орон тоо, зохион байгуулалтын өөрчлөлт, биеийн эрүүл мэндээр, түүнчлэн цэргийн алба хаах нас хэтэрч халагдвал түүнд 18 сарын цалин хөлстэй тэнцэх хэмжээний тэтгэмжийг нэг удаа олгоно.” гэж заасны дагуу цэргийн алба хаагч 10-аас доош жил ажиллаад хуулийн 19 дүгээр зүйлд заасан үндэслэлээр цэргийн албанаас халагдах тохиолдолд жил хамаарахгүйгээр нэг удаагийн хувь тэнцүүлсэн тэтгэмж авахаар ойлгогдож байх тул энэхүү эрх зүйн зохицуулалтыг нэг мөр ойлгож, хэрэглэх боломжийг бүрдүүлэх ажлын хүрээнд нэг удаагийн тэтгэмж олгохтой холбогдсон харилцааг хуулийн 8 дугаар зүйлийн 2 дахь хэсэгтэй уялдуулан нарийвчлан тодорхойлох шаардлага байгаа болно. </w:t>
      </w:r>
    </w:p>
    <w:p w14:paraId="385D81AD" w14:textId="77777777" w:rsidR="005C7637" w:rsidRPr="00AE4D08" w:rsidRDefault="005C7637" w:rsidP="005C7637">
      <w:pPr>
        <w:spacing w:after="0" w:line="240" w:lineRule="auto"/>
        <w:ind w:firstLine="567"/>
        <w:jc w:val="both"/>
        <w:textAlignment w:val="top"/>
        <w:rPr>
          <w:rFonts w:ascii="Arial" w:eastAsia="Times New Roman" w:hAnsi="Arial" w:cs="Arial"/>
          <w:sz w:val="24"/>
          <w:szCs w:val="24"/>
          <w:lang w:val="mn-MN"/>
        </w:rPr>
      </w:pPr>
    </w:p>
    <w:p w14:paraId="76448902" w14:textId="77777777" w:rsidR="005C7637" w:rsidRPr="00AE4D08" w:rsidRDefault="005C7637" w:rsidP="005C7637">
      <w:pPr>
        <w:spacing w:after="0" w:line="240" w:lineRule="auto"/>
        <w:ind w:firstLine="567"/>
        <w:jc w:val="both"/>
        <w:textAlignment w:val="top"/>
        <w:rPr>
          <w:rFonts w:ascii="Arial" w:eastAsia="Times New Roman" w:hAnsi="Arial" w:cs="Arial"/>
          <w:sz w:val="24"/>
          <w:szCs w:val="24"/>
          <w:lang w:val="mn-MN"/>
        </w:rPr>
      </w:pPr>
      <w:r w:rsidRPr="00AE4D08">
        <w:rPr>
          <w:rFonts w:ascii="Arial" w:eastAsia="Times New Roman" w:hAnsi="Arial" w:cs="Arial"/>
          <w:sz w:val="24"/>
          <w:szCs w:val="24"/>
          <w:lang w:val="mn-MN"/>
        </w:rPr>
        <w:t xml:space="preserve">Цэргийн алба хаагчийн тэтгэвэр, тэтгэмжийн тухай хуулийн хэрэгжилтийн үр дагаварт Хууль зүйн үндэсний хүрээлэнгийн Хууль зүйн судалгааны төвөөс хийгдсэн судалгааны тайлангаас гарсан зөвлөмжөөр тус хуульд нэмэлт, өөрчлөлт оруулах замаар эрх зүйн харилцааг боловсронгуй болгох практик хэрэгцээ, шаардлага байгаа болно. </w:t>
      </w:r>
    </w:p>
    <w:p w14:paraId="3E4916A6" w14:textId="77777777" w:rsidR="005C7637" w:rsidRPr="00AE4D08" w:rsidRDefault="005C7637" w:rsidP="005C7637">
      <w:pPr>
        <w:spacing w:after="0" w:line="240" w:lineRule="auto"/>
        <w:ind w:firstLine="567"/>
        <w:jc w:val="both"/>
        <w:rPr>
          <w:rFonts w:ascii="Arial" w:eastAsia="Times New Roman" w:hAnsi="Arial" w:cs="Arial"/>
          <w:sz w:val="24"/>
          <w:szCs w:val="24"/>
          <w:lang w:val="mn-MN"/>
        </w:rPr>
      </w:pPr>
    </w:p>
    <w:p w14:paraId="14F6C123" w14:textId="77777777" w:rsidR="005C7637" w:rsidRPr="00AE4D08" w:rsidRDefault="005C7637" w:rsidP="005C7637">
      <w:pPr>
        <w:spacing w:after="0" w:line="240" w:lineRule="auto"/>
        <w:ind w:firstLine="567"/>
        <w:jc w:val="both"/>
        <w:rPr>
          <w:rFonts w:ascii="Arial" w:eastAsiaTheme="minorHAnsi" w:hAnsi="Arial" w:cs="Arial"/>
          <w:sz w:val="24"/>
          <w:szCs w:val="24"/>
          <w:lang w:val="mn-MN" w:eastAsia="en-US"/>
        </w:rPr>
      </w:pPr>
      <w:r w:rsidRPr="00AE4D08">
        <w:rPr>
          <w:rFonts w:ascii="Arial" w:eastAsia="Times New Roman" w:hAnsi="Arial" w:cs="Arial"/>
          <w:sz w:val="24"/>
          <w:szCs w:val="24"/>
          <w:lang w:val="mn-MN"/>
        </w:rPr>
        <w:t>Иймд дээрх хууль зүйн болон практик хэрэгцээ шаардлагад нийцүүлэн Цэргийн алба хаагчийн тэтгэвэр, тэтгэмжийн тухай хуульд нэмэлт, өөрчлөлт оруулж, хуулийн зарим</w:t>
      </w:r>
      <w:r w:rsidRPr="00AE4D08">
        <w:rPr>
          <w:rFonts w:ascii="Arial" w:eastAsia="Times New Roman" w:hAnsi="Arial" w:cs="Arial"/>
          <w:sz w:val="24"/>
          <w:szCs w:val="24"/>
          <w:lang w:val="mn-MN" w:eastAsia="en-US"/>
        </w:rPr>
        <w:t xml:space="preserve"> </w:t>
      </w:r>
      <w:r w:rsidRPr="00AE4D08">
        <w:rPr>
          <w:rFonts w:ascii="Arial" w:eastAsiaTheme="minorHAnsi" w:hAnsi="Arial" w:cs="Arial"/>
          <w:sz w:val="24"/>
          <w:szCs w:val="24"/>
          <w:lang w:val="mn-MN" w:eastAsia="en-US"/>
        </w:rPr>
        <w:t xml:space="preserve">эрх зүйн зохицуулалтыг боловсронгуй болгох үүднээс хуулийн төслийн үзэл баримтлалыг боловсрууллаа. </w:t>
      </w:r>
    </w:p>
    <w:p w14:paraId="595C2598" w14:textId="77777777" w:rsidR="005C7637" w:rsidRPr="00AE4D08" w:rsidRDefault="005C7637" w:rsidP="005C7637">
      <w:pPr>
        <w:spacing w:after="0" w:line="240" w:lineRule="auto"/>
        <w:ind w:firstLine="567"/>
        <w:jc w:val="both"/>
        <w:rPr>
          <w:rFonts w:ascii="Arial" w:eastAsiaTheme="minorHAnsi" w:hAnsi="Arial" w:cs="Arial"/>
          <w:b/>
          <w:bCs/>
          <w:sz w:val="24"/>
          <w:szCs w:val="24"/>
          <w:lang w:val="mn-MN" w:eastAsia="en-US"/>
        </w:rPr>
      </w:pPr>
    </w:p>
    <w:p w14:paraId="3F1B15CE" w14:textId="77777777" w:rsidR="005C7637" w:rsidRPr="00AE4D08" w:rsidRDefault="005C7637" w:rsidP="005C7637">
      <w:pPr>
        <w:spacing w:after="0" w:line="240" w:lineRule="auto"/>
        <w:ind w:firstLine="567"/>
        <w:jc w:val="both"/>
        <w:rPr>
          <w:rFonts w:ascii="Arial" w:eastAsiaTheme="minorHAnsi" w:hAnsi="Arial" w:cs="Arial"/>
          <w:b/>
          <w:bCs/>
          <w:sz w:val="24"/>
          <w:szCs w:val="24"/>
          <w:lang w:val="mn-MN" w:eastAsia="en-US"/>
        </w:rPr>
      </w:pPr>
      <w:r w:rsidRPr="00AE4D08">
        <w:rPr>
          <w:rFonts w:ascii="Arial" w:eastAsiaTheme="minorHAnsi" w:hAnsi="Arial" w:cs="Arial"/>
          <w:b/>
          <w:bCs/>
          <w:sz w:val="24"/>
          <w:szCs w:val="24"/>
          <w:lang w:val="mn-MN" w:eastAsia="en-US"/>
        </w:rPr>
        <w:t>Хоёр.Хуулийн төслийн ерөнхий бүтэц, зохицуулах харилцаа, хамрах хүрээний талаар:</w:t>
      </w:r>
    </w:p>
    <w:p w14:paraId="0D2054A8" w14:textId="77777777" w:rsidR="005C7637" w:rsidRPr="00AE4D08" w:rsidRDefault="005C7637" w:rsidP="005C7637">
      <w:pPr>
        <w:spacing w:after="0" w:line="240" w:lineRule="auto"/>
        <w:ind w:firstLine="567"/>
        <w:jc w:val="both"/>
        <w:rPr>
          <w:rFonts w:ascii="Arial" w:eastAsiaTheme="minorHAnsi" w:hAnsi="Arial" w:cs="Arial"/>
          <w:sz w:val="24"/>
          <w:szCs w:val="24"/>
          <w:lang w:val="mn-MN" w:eastAsia="en-US"/>
        </w:rPr>
      </w:pPr>
    </w:p>
    <w:p w14:paraId="2C5C7C30" w14:textId="77777777" w:rsidR="005C7637" w:rsidRPr="00AE4D08" w:rsidRDefault="005C7637" w:rsidP="005C7637">
      <w:pPr>
        <w:spacing w:after="0" w:line="240" w:lineRule="auto"/>
        <w:ind w:right="20" w:firstLine="567"/>
        <w:jc w:val="both"/>
        <w:rPr>
          <w:rFonts w:ascii="Arial" w:eastAsiaTheme="minorHAnsi" w:hAnsi="Arial" w:cs="Arial"/>
          <w:sz w:val="24"/>
          <w:szCs w:val="24"/>
          <w:lang w:val="mn-MN" w:eastAsia="mn-MN"/>
        </w:rPr>
      </w:pPr>
      <w:r w:rsidRPr="00AE4D08">
        <w:rPr>
          <w:rFonts w:ascii="Arial" w:eastAsia="Times New Roman" w:hAnsi="Arial" w:cs="Arial"/>
          <w:sz w:val="24"/>
          <w:szCs w:val="24"/>
          <w:lang w:val="mn-MN"/>
        </w:rPr>
        <w:t>Цэргийн алба хаагчийн тэтгэвэр, тэтгэмжийн тухай хуульд</w:t>
      </w:r>
      <w:r w:rsidRPr="00AE4D08">
        <w:rPr>
          <w:rFonts w:ascii="Arial" w:eastAsiaTheme="minorHAnsi" w:hAnsi="Arial" w:cs="Arial"/>
          <w:sz w:val="24"/>
          <w:szCs w:val="24"/>
          <w:lang w:val="mn-MN" w:eastAsia="mn-MN"/>
        </w:rPr>
        <w:t xml:space="preserve"> нэмэлт, өөрчлөлт оруулах тухай хуулийн төслөөр </w:t>
      </w:r>
      <w:r w:rsidRPr="00AE4D08">
        <w:rPr>
          <w:rFonts w:ascii="Arial" w:hAnsi="Arial" w:cs="Arial"/>
          <w:sz w:val="24"/>
          <w:szCs w:val="24"/>
          <w:lang w:val="mn-MN"/>
        </w:rPr>
        <w:t xml:space="preserve">цэргийн тэтгэвэр тогтоолгосон иргэн </w:t>
      </w:r>
      <w:r w:rsidRPr="00AE4D08">
        <w:rPr>
          <w:rFonts w:ascii="Arial" w:eastAsia="Times New Roman" w:hAnsi="Arial" w:cs="Arial"/>
          <w:sz w:val="24"/>
          <w:szCs w:val="24"/>
          <w:lang w:val="mn-MN"/>
        </w:rPr>
        <w:t xml:space="preserve">нас барсан тохиолдолд оршуулгын тэтгэмж авах, эмэгтэй цэргийн алба хаагчийн хувьд жирэмсний болон хүүхэд асрах чөлөөтэй байх хугацааг цэргийн алба хаасан хугацаанд оруулан тооцох, тус хуулийн </w:t>
      </w:r>
      <w:r w:rsidRPr="00AE4D08">
        <w:rPr>
          <w:rFonts w:ascii="Arial" w:eastAsia="Times New Roman" w:hAnsi="Arial" w:cs="Arial"/>
          <w:bCs/>
          <w:sz w:val="24"/>
          <w:szCs w:val="24"/>
          <w:lang w:val="mn-MN"/>
        </w:rPr>
        <w:t>19 дүгээр зүйлийн 2 дахь хэсэгт</w:t>
      </w:r>
      <w:r w:rsidRPr="00AE4D08">
        <w:rPr>
          <w:rFonts w:ascii="Arial" w:eastAsiaTheme="minorHAnsi" w:hAnsi="Arial" w:cs="Arial"/>
          <w:sz w:val="24"/>
          <w:szCs w:val="24"/>
          <w:lang w:val="mn-MN" w:eastAsia="mn-MN"/>
        </w:rPr>
        <w:t xml:space="preserve"> заасан хувь тэнцүүлэн тэтгэвэр тогтоолгоход нэг удаагийн тэтгэмж олгохтой холбогдсон харилцааг</w:t>
      </w:r>
      <w:r w:rsidRPr="00AE4D08">
        <w:rPr>
          <w:rFonts w:ascii="Arial" w:eastAsia="Times New Roman" w:hAnsi="Arial" w:cs="Arial"/>
          <w:sz w:val="24"/>
          <w:szCs w:val="24"/>
          <w:lang w:val="mn-MN"/>
        </w:rPr>
        <w:t xml:space="preserve"> хуулийн 8 дугаар зүйлийн 2 дахь хэсэгтэй уялдуулан нарийвчлан тодорхойлох,</w:t>
      </w:r>
      <w:r w:rsidRPr="00AE4D08">
        <w:rPr>
          <w:rFonts w:ascii="Arial" w:eastAsiaTheme="minorHAnsi" w:hAnsi="Arial" w:cs="Arial"/>
          <w:sz w:val="24"/>
          <w:szCs w:val="24"/>
          <w:lang w:val="mn-MN" w:eastAsia="mn-MN"/>
        </w:rPr>
        <w:t xml:space="preserve"> </w:t>
      </w:r>
      <w:r w:rsidRPr="00AE4D08">
        <w:rPr>
          <w:rFonts w:ascii="Arial" w:eastAsia="Times New Roman" w:hAnsi="Arial" w:cs="Arial"/>
          <w:sz w:val="24"/>
          <w:szCs w:val="24"/>
          <w:lang w:val="mn-MN"/>
        </w:rPr>
        <w:t xml:space="preserve">хуулийг нэг мөр ойлгож, хэрэглэх боломжийг бүрдүүлэх ажлын хүрээнд батлан мөрдөж байгаа зарим аргачлалын эрх зүйн үндэслэлийг хуульчлах зэрэг </w:t>
      </w:r>
      <w:r w:rsidRPr="00AE4D08">
        <w:rPr>
          <w:rFonts w:ascii="Arial" w:eastAsiaTheme="minorHAnsi" w:hAnsi="Arial" w:cs="Arial"/>
          <w:sz w:val="24"/>
          <w:szCs w:val="24"/>
          <w:lang w:val="mn-MN" w:eastAsia="mn-MN"/>
        </w:rPr>
        <w:t xml:space="preserve">эрх зүйн зохицуулалтуудыг тусгана. </w:t>
      </w:r>
    </w:p>
    <w:p w14:paraId="7314F807" w14:textId="77777777" w:rsidR="005C7637" w:rsidRPr="00AE4D08" w:rsidRDefault="005C7637" w:rsidP="005C7637">
      <w:pPr>
        <w:spacing w:after="0" w:line="240" w:lineRule="auto"/>
        <w:ind w:right="20" w:firstLine="567"/>
        <w:jc w:val="both"/>
        <w:rPr>
          <w:rFonts w:ascii="Arial" w:eastAsiaTheme="minorHAnsi" w:hAnsi="Arial" w:cs="Arial"/>
          <w:sz w:val="24"/>
          <w:szCs w:val="24"/>
          <w:lang w:val="mn-MN" w:eastAsia="mn-MN"/>
        </w:rPr>
      </w:pPr>
    </w:p>
    <w:p w14:paraId="067C2666" w14:textId="77777777" w:rsidR="005C7637" w:rsidRPr="00AE4D08" w:rsidRDefault="005C7637" w:rsidP="005C7637">
      <w:pPr>
        <w:spacing w:after="0" w:line="240" w:lineRule="auto"/>
        <w:ind w:right="20" w:firstLine="567"/>
        <w:jc w:val="both"/>
        <w:rPr>
          <w:rFonts w:ascii="Arial" w:eastAsiaTheme="minorHAnsi" w:hAnsi="Arial" w:cs="Arial"/>
          <w:sz w:val="24"/>
          <w:szCs w:val="24"/>
          <w:lang w:val="mn-MN" w:eastAsia="mn-MN"/>
        </w:rPr>
      </w:pPr>
      <w:r w:rsidRPr="00AE4D08">
        <w:rPr>
          <w:rFonts w:ascii="Arial" w:eastAsiaTheme="minorHAnsi" w:hAnsi="Arial" w:cs="Arial"/>
          <w:sz w:val="24"/>
          <w:szCs w:val="24"/>
          <w:lang w:val="mn-MN" w:eastAsia="mn-MN"/>
        </w:rPr>
        <w:t xml:space="preserve">Мөн Хууль тогтоомжийн тухай хуулийн 7 дугаар зүйлийн 7.3 дахь хэсэгт заасны дагуу Цэргийн алба хаагчийн тэтгэвэр, тэтгэмжийн тухай </w:t>
      </w:r>
      <w:r w:rsidRPr="00AE4D08">
        <w:rPr>
          <w:rFonts w:ascii="Arial" w:hAnsi="Arial" w:cs="Arial"/>
          <w:sz w:val="24"/>
          <w:szCs w:val="24"/>
          <w:lang w:val="mn-MN"/>
        </w:rPr>
        <w:t xml:space="preserve">хуулийн хэрэгжилтийн үр дагаварт </w:t>
      </w:r>
      <w:r w:rsidRPr="00AE4D08">
        <w:rPr>
          <w:rFonts w:ascii="Arial" w:eastAsiaTheme="minorHAnsi" w:hAnsi="Arial" w:cs="Arial"/>
          <w:sz w:val="24"/>
          <w:szCs w:val="24"/>
          <w:lang w:val="mn-MN" w:eastAsia="mn-MN"/>
        </w:rPr>
        <w:t>Хууль зүйн үндэсний хүрээлэнгээр хийлгэсэн судалгааны үр дүнд үндэслэн хуулийн зарим нэр томьёог өөрчлөх, нэг мөр ойлгож хэрэглэх боломжийг хуулийн төсөлд тусгах юм. Тухайлбал:</w:t>
      </w:r>
    </w:p>
    <w:p w14:paraId="63D9C249" w14:textId="77777777" w:rsidR="005C7637" w:rsidRPr="00AE4D08" w:rsidRDefault="005C7637" w:rsidP="005C7637">
      <w:pPr>
        <w:spacing w:after="0" w:line="240" w:lineRule="auto"/>
        <w:ind w:right="20" w:firstLine="567"/>
        <w:jc w:val="both"/>
        <w:rPr>
          <w:rFonts w:ascii="Arial" w:eastAsiaTheme="minorHAnsi" w:hAnsi="Arial" w:cs="Arial"/>
          <w:sz w:val="24"/>
          <w:szCs w:val="24"/>
          <w:lang w:val="mn-MN" w:eastAsia="mn-MN"/>
        </w:rPr>
      </w:pPr>
    </w:p>
    <w:p w14:paraId="33FF634E" w14:textId="77777777" w:rsidR="005C7637" w:rsidRPr="00AE4D08" w:rsidRDefault="005C7637" w:rsidP="005C7637">
      <w:pPr>
        <w:spacing w:after="0" w:line="240" w:lineRule="auto"/>
        <w:ind w:right="20" w:firstLine="567"/>
        <w:jc w:val="both"/>
        <w:rPr>
          <w:rFonts w:ascii="Arial" w:eastAsiaTheme="minorHAnsi" w:hAnsi="Arial" w:cs="Arial"/>
          <w:sz w:val="24"/>
          <w:szCs w:val="24"/>
          <w:lang w:val="mn-MN" w:eastAsia="mn-MN"/>
        </w:rPr>
      </w:pPr>
      <w:r w:rsidRPr="00AE4D08">
        <w:rPr>
          <w:rFonts w:ascii="Arial" w:eastAsiaTheme="minorHAnsi" w:hAnsi="Arial" w:cs="Arial"/>
          <w:sz w:val="24"/>
          <w:szCs w:val="24"/>
          <w:lang w:val="mn-MN" w:eastAsia="mn-MN"/>
        </w:rPr>
        <w:t xml:space="preserve">Цэргийн алба хаагчийн тэтгэвэр, тэтгэмжийн тухай хуулийн </w:t>
      </w:r>
      <w:r w:rsidRPr="00AE4D08">
        <w:rPr>
          <w:rFonts w:ascii="Arial" w:hAnsi="Arial" w:cs="Arial"/>
          <w:sz w:val="24"/>
          <w:szCs w:val="24"/>
          <w:lang w:val="mn-MN"/>
        </w:rPr>
        <w:t xml:space="preserve">8 дугаар зүйлийн 8.2 дахь хэсгийг “халагдсан бол” гэснийг “чөлөөлөгдсөн бол” гэж, 18 дугаар зүйлийн 18.1 дэх хэсгийн “халагдах тохиолдолд” гэснийг “чөлөөлөгдсөн тохиолдолд” гэж, 19 дүгээр зүйлийн 19.2 дахь хэсэг “халагдвал” гэснийг “чөлөөлөгдвөл” гэж тус тус өөрчлөх шаардлагатай байгаа юм. </w:t>
      </w:r>
    </w:p>
    <w:p w14:paraId="679179AE" w14:textId="77777777" w:rsidR="005C7637" w:rsidRPr="00AE4D08" w:rsidRDefault="005C7637" w:rsidP="005C7637">
      <w:pPr>
        <w:spacing w:after="0" w:line="240" w:lineRule="auto"/>
        <w:ind w:right="20" w:firstLine="709"/>
        <w:jc w:val="both"/>
        <w:rPr>
          <w:rFonts w:ascii="Arial" w:eastAsiaTheme="minorHAnsi" w:hAnsi="Arial" w:cs="Arial"/>
          <w:sz w:val="24"/>
          <w:szCs w:val="24"/>
          <w:lang w:val="mn-MN" w:eastAsia="mn-MN"/>
        </w:rPr>
      </w:pPr>
    </w:p>
    <w:p w14:paraId="52F5F9F4" w14:textId="77777777" w:rsidR="005C7637" w:rsidRPr="00AE4D08" w:rsidRDefault="005C7637" w:rsidP="005C7637">
      <w:pPr>
        <w:spacing w:after="0" w:line="240" w:lineRule="auto"/>
        <w:ind w:firstLine="567"/>
        <w:jc w:val="both"/>
        <w:rPr>
          <w:rFonts w:ascii="Arial" w:eastAsiaTheme="minorHAnsi" w:hAnsi="Arial" w:cs="Arial"/>
          <w:b/>
          <w:bCs/>
          <w:sz w:val="24"/>
          <w:szCs w:val="24"/>
          <w:lang w:val="mn-MN" w:eastAsia="en-US"/>
        </w:rPr>
      </w:pPr>
      <w:r w:rsidRPr="00AE4D08">
        <w:rPr>
          <w:rFonts w:ascii="Arial" w:eastAsiaTheme="minorHAnsi" w:hAnsi="Arial" w:cs="Arial"/>
          <w:b/>
          <w:bCs/>
          <w:sz w:val="24"/>
          <w:szCs w:val="24"/>
          <w:lang w:val="mn-MN" w:eastAsia="en-US"/>
        </w:rPr>
        <w:t>Гурав.Хуулийн төсөл батлагдсаны дараа үүсэж болох нийгэм, эдийн засаг, хууль зүйн үр дагавар, тэдгээрийг шийдвэрлэх саналын талаар:</w:t>
      </w:r>
    </w:p>
    <w:p w14:paraId="4182D524" w14:textId="77777777" w:rsidR="005C7637" w:rsidRPr="00AE4D08" w:rsidRDefault="005C7637" w:rsidP="005C7637">
      <w:pPr>
        <w:spacing w:after="0" w:line="240" w:lineRule="auto"/>
        <w:ind w:firstLine="567"/>
        <w:jc w:val="both"/>
        <w:rPr>
          <w:rFonts w:ascii="Arial" w:eastAsiaTheme="minorHAnsi" w:hAnsi="Arial" w:cs="Arial"/>
          <w:b/>
          <w:bCs/>
          <w:sz w:val="24"/>
          <w:szCs w:val="24"/>
          <w:lang w:val="mn-MN" w:eastAsia="en-US"/>
        </w:rPr>
      </w:pPr>
    </w:p>
    <w:p w14:paraId="53379534" w14:textId="77777777" w:rsidR="005C7637" w:rsidRPr="00AE4D08" w:rsidRDefault="005C7637" w:rsidP="005C7637">
      <w:pPr>
        <w:pStyle w:val="NormalWeb"/>
        <w:spacing w:before="0" w:beforeAutospacing="0" w:after="0" w:afterAutospacing="0"/>
        <w:ind w:firstLine="567"/>
        <w:jc w:val="both"/>
        <w:rPr>
          <w:rFonts w:ascii="Arial" w:eastAsiaTheme="minorHAnsi" w:hAnsi="Arial" w:cs="Arial"/>
          <w:lang w:val="mn-MN" w:eastAsia="mn-MN"/>
        </w:rPr>
      </w:pPr>
      <w:r w:rsidRPr="00AE4D08">
        <w:rPr>
          <w:rFonts w:ascii="Arial" w:hAnsi="Arial" w:cs="Arial"/>
          <w:lang w:val="mn-MN"/>
        </w:rPr>
        <w:t>Цэргийн алба хаагчийн тэтгэвэр, тэтгэмжийн тухай хуульд</w:t>
      </w:r>
      <w:r w:rsidRPr="00AE4D08">
        <w:rPr>
          <w:rFonts w:ascii="Arial" w:eastAsiaTheme="minorHAnsi" w:hAnsi="Arial" w:cs="Arial"/>
          <w:lang w:val="mn-MN" w:eastAsia="mn-MN"/>
        </w:rPr>
        <w:t xml:space="preserve"> нэмэлт, өөрчлөлт оруулснаар хуулийн үйлчлэлд хамаарах байгууллагын </w:t>
      </w:r>
      <w:r w:rsidRPr="00AE4D08">
        <w:rPr>
          <w:rFonts w:ascii="Arial" w:hAnsi="Arial" w:cs="Arial"/>
          <w:lang w:val="mn-MN"/>
        </w:rPr>
        <w:t>алба хаагчдын эрх зүйн байдал, нийгмийн баталгаа сайжирч, хууль тогтоомжийг нэг мөр ойлгож хэрэглэх боломж нэмэгдэх зэрэг олон давуу тал бий болж,</w:t>
      </w:r>
      <w:r w:rsidRPr="00AE4D08">
        <w:rPr>
          <w:rFonts w:ascii="Arial" w:eastAsiaTheme="minorHAnsi" w:hAnsi="Arial" w:cs="Arial"/>
          <w:lang w:val="mn-MN" w:eastAsia="mn-MN"/>
        </w:rPr>
        <w:t xml:space="preserve"> хууль эрх зүйн орчин боловсронгуй болно.</w:t>
      </w:r>
    </w:p>
    <w:p w14:paraId="1663BE8A" w14:textId="77777777" w:rsidR="005C7637" w:rsidRPr="00AE4D08" w:rsidRDefault="005C7637" w:rsidP="005C7637">
      <w:pPr>
        <w:pStyle w:val="NormalWeb"/>
        <w:spacing w:before="0" w:beforeAutospacing="0" w:after="0" w:afterAutospacing="0"/>
        <w:ind w:firstLine="567"/>
        <w:jc w:val="both"/>
        <w:rPr>
          <w:rFonts w:ascii="Arial" w:eastAsiaTheme="minorHAnsi" w:hAnsi="Arial" w:cs="Arial"/>
          <w:lang w:val="mn-MN" w:eastAsia="mn-MN"/>
        </w:rPr>
      </w:pPr>
    </w:p>
    <w:p w14:paraId="0B917506" w14:textId="77777777" w:rsidR="005C7637" w:rsidRPr="00AE4D08" w:rsidRDefault="005C7637" w:rsidP="005C7637">
      <w:pPr>
        <w:spacing w:after="0" w:line="240" w:lineRule="auto"/>
        <w:ind w:right="20" w:firstLine="567"/>
        <w:jc w:val="both"/>
        <w:rPr>
          <w:rFonts w:ascii="Arial" w:eastAsiaTheme="minorHAnsi" w:hAnsi="Arial" w:cs="Arial"/>
          <w:sz w:val="24"/>
          <w:szCs w:val="24"/>
          <w:lang w:val="mn-MN" w:eastAsia="en-US"/>
        </w:rPr>
      </w:pPr>
      <w:r w:rsidRPr="00AE4D08">
        <w:rPr>
          <w:rFonts w:ascii="Arial" w:eastAsiaTheme="minorHAnsi" w:hAnsi="Arial" w:cs="Arial"/>
          <w:sz w:val="24"/>
          <w:szCs w:val="24"/>
          <w:lang w:val="mn-MN" w:eastAsia="en-US"/>
        </w:rPr>
        <w:t>Тус хуулийг баталснаар нийгэм, эдийн засаг, хууль зүйн сөрөг үр дагавар үүсэхгүй бөгөөд улсын төсвөөс нэмэлт зардал гарахгүй.</w:t>
      </w:r>
    </w:p>
    <w:p w14:paraId="66432631" w14:textId="77777777" w:rsidR="005C7637" w:rsidRPr="00AE4D08" w:rsidRDefault="005C7637" w:rsidP="005C7637">
      <w:pPr>
        <w:spacing w:after="0" w:line="240" w:lineRule="auto"/>
        <w:ind w:right="20" w:firstLine="567"/>
        <w:jc w:val="both"/>
        <w:rPr>
          <w:rFonts w:ascii="Arial" w:eastAsiaTheme="minorHAnsi" w:hAnsi="Arial" w:cs="Arial"/>
          <w:sz w:val="24"/>
          <w:szCs w:val="24"/>
          <w:lang w:val="mn-MN" w:eastAsia="en-US"/>
        </w:rPr>
      </w:pPr>
    </w:p>
    <w:p w14:paraId="391D1CCA" w14:textId="77777777" w:rsidR="005C7637" w:rsidRPr="00AE4D08" w:rsidRDefault="005C7637" w:rsidP="005C7637">
      <w:pPr>
        <w:spacing w:after="0" w:line="240" w:lineRule="auto"/>
        <w:ind w:right="20" w:firstLine="567"/>
        <w:jc w:val="both"/>
        <w:rPr>
          <w:rFonts w:ascii="Arial" w:eastAsiaTheme="minorHAnsi" w:hAnsi="Arial" w:cs="Arial"/>
          <w:b/>
          <w:bCs/>
          <w:sz w:val="24"/>
          <w:szCs w:val="24"/>
          <w:lang w:val="mn-MN" w:eastAsia="mn-MN"/>
        </w:rPr>
      </w:pPr>
      <w:r w:rsidRPr="00AE4D08">
        <w:rPr>
          <w:rFonts w:ascii="Arial" w:eastAsiaTheme="minorHAnsi" w:hAnsi="Arial" w:cs="Arial"/>
          <w:b/>
          <w:bCs/>
          <w:sz w:val="24"/>
          <w:szCs w:val="24"/>
          <w:lang w:val="mn-MN" w:eastAsia="mn-MN"/>
        </w:rPr>
        <w:t>Дөрөв.Хуулийг хэрэгжүүлэхтэй холбогдон цаашид шинээр боловсруулах буюу нэмэлт, өөрчлөлт оруулах, хүчингүй болгох хуулийн талаар:</w:t>
      </w:r>
    </w:p>
    <w:p w14:paraId="2CE635F2" w14:textId="77777777" w:rsidR="005C7637" w:rsidRPr="00AE4D08" w:rsidRDefault="005C7637" w:rsidP="005C7637">
      <w:pPr>
        <w:spacing w:after="0" w:line="240" w:lineRule="auto"/>
        <w:ind w:right="20" w:firstLine="567"/>
        <w:jc w:val="both"/>
        <w:rPr>
          <w:rFonts w:ascii="Arial" w:eastAsiaTheme="minorHAnsi" w:hAnsi="Arial" w:cs="Arial"/>
          <w:bCs/>
          <w:sz w:val="24"/>
          <w:szCs w:val="24"/>
          <w:lang w:val="mn-MN" w:eastAsia="mn-MN"/>
        </w:rPr>
      </w:pPr>
    </w:p>
    <w:p w14:paraId="16B0401C" w14:textId="77777777" w:rsidR="005C7637" w:rsidRPr="00AE4D08" w:rsidRDefault="005C7637" w:rsidP="005C7637">
      <w:pPr>
        <w:autoSpaceDE w:val="0"/>
        <w:autoSpaceDN w:val="0"/>
        <w:spacing w:after="0" w:line="240" w:lineRule="auto"/>
        <w:ind w:firstLine="567"/>
        <w:jc w:val="both"/>
        <w:rPr>
          <w:rFonts w:ascii="Arial" w:eastAsiaTheme="minorHAnsi" w:hAnsi="Arial" w:cs="Arial"/>
          <w:sz w:val="24"/>
          <w:szCs w:val="24"/>
          <w:lang w:val="mn-MN" w:eastAsia="mn-MN"/>
        </w:rPr>
      </w:pPr>
      <w:r w:rsidRPr="00AE4D08">
        <w:rPr>
          <w:rFonts w:ascii="Arial" w:eastAsiaTheme="minorHAnsi" w:hAnsi="Arial" w:cs="Arial"/>
          <w:sz w:val="24"/>
          <w:szCs w:val="24"/>
          <w:lang w:val="mn-MN" w:eastAsia="mn-MN"/>
        </w:rPr>
        <w:t xml:space="preserve">Уг хуулийн төсөл нь Монгол Улсын Үндсэн хууль болон батлан хамгаалахын хууль тогтоомжтой нийцэж байгаа бөгөөд хуулийн төсөлтэй холбогдуулан </w:t>
      </w:r>
      <w:r w:rsidRPr="00AE4D08">
        <w:rPr>
          <w:rFonts w:ascii="Arial" w:eastAsiaTheme="minorHAnsi" w:hAnsi="Arial" w:cs="Arial"/>
          <w:sz w:val="24"/>
          <w:szCs w:val="24"/>
          <w:lang w:val="mn-MN" w:eastAsia="en-US"/>
        </w:rPr>
        <w:t>хуульд нэмэлт, өөрчлөлт оруулах бусад хууль тогтоомжууд байхгүй болно.</w:t>
      </w:r>
    </w:p>
    <w:p w14:paraId="029838AF" w14:textId="77777777" w:rsidR="005C7637" w:rsidRPr="00AE4D08" w:rsidRDefault="005C7637" w:rsidP="005C7637">
      <w:pPr>
        <w:spacing w:after="0" w:line="240" w:lineRule="auto"/>
        <w:jc w:val="center"/>
        <w:rPr>
          <w:rFonts w:ascii="Arial" w:eastAsiaTheme="minorHAnsi" w:hAnsi="Arial" w:cs="Arial"/>
          <w:sz w:val="24"/>
          <w:szCs w:val="24"/>
          <w:lang w:val="mn-MN" w:eastAsia="en-US"/>
        </w:rPr>
      </w:pPr>
    </w:p>
    <w:p w14:paraId="24C34221" w14:textId="77777777" w:rsidR="005C7637" w:rsidRPr="00AE4D08" w:rsidRDefault="005C7637" w:rsidP="005C7637">
      <w:pPr>
        <w:spacing w:after="0" w:line="240" w:lineRule="auto"/>
        <w:rPr>
          <w:rFonts w:ascii="Arial" w:eastAsiaTheme="minorHAnsi" w:hAnsi="Arial" w:cs="Arial"/>
          <w:sz w:val="24"/>
          <w:szCs w:val="24"/>
          <w:lang w:val="mn-MN" w:eastAsia="en-US"/>
        </w:rPr>
      </w:pPr>
    </w:p>
    <w:p w14:paraId="71CCBA70" w14:textId="77777777" w:rsidR="005C7637" w:rsidRPr="00AE4D08" w:rsidRDefault="005C7637" w:rsidP="005C7637">
      <w:pPr>
        <w:spacing w:after="0" w:line="240" w:lineRule="auto"/>
        <w:jc w:val="center"/>
        <w:rPr>
          <w:rFonts w:ascii="Arial" w:eastAsiaTheme="minorHAnsi" w:hAnsi="Arial" w:cs="Arial"/>
          <w:sz w:val="24"/>
          <w:szCs w:val="24"/>
          <w:lang w:val="mn-MN" w:eastAsia="en-US"/>
        </w:rPr>
      </w:pPr>
    </w:p>
    <w:p w14:paraId="56195259" w14:textId="77777777" w:rsidR="005C7637" w:rsidRPr="00AE4D08" w:rsidRDefault="005C7637" w:rsidP="005C7637">
      <w:pPr>
        <w:spacing w:after="0" w:line="240" w:lineRule="auto"/>
        <w:jc w:val="center"/>
        <w:rPr>
          <w:rFonts w:ascii="Arial" w:eastAsiaTheme="minorHAnsi" w:hAnsi="Arial" w:cs="Arial"/>
          <w:sz w:val="24"/>
          <w:szCs w:val="24"/>
          <w:lang w:val="mn-MN" w:eastAsia="mn-MN"/>
        </w:rPr>
      </w:pPr>
      <w:bookmarkStart w:id="2" w:name="_Hlk47120682"/>
      <w:bookmarkEnd w:id="2"/>
      <w:r w:rsidRPr="00AE4D08">
        <w:rPr>
          <w:rFonts w:ascii="Arial" w:eastAsiaTheme="minorHAnsi" w:hAnsi="Arial" w:cs="Arial"/>
          <w:sz w:val="24"/>
          <w:szCs w:val="24"/>
          <w:lang w:val="mn-MN" w:eastAsia="mn-MN"/>
        </w:rPr>
        <w:t>-оОо-</w:t>
      </w:r>
    </w:p>
    <w:p w14:paraId="2478FD52" w14:textId="77777777" w:rsidR="005C7637" w:rsidRPr="00AE4D08" w:rsidRDefault="005C7637" w:rsidP="005C7637">
      <w:pPr>
        <w:widowControl w:val="0"/>
        <w:tabs>
          <w:tab w:val="left" w:pos="5517"/>
        </w:tabs>
        <w:spacing w:after="0" w:line="240" w:lineRule="auto"/>
        <w:ind w:firstLine="567"/>
        <w:jc w:val="right"/>
        <w:rPr>
          <w:rFonts w:ascii="Arial" w:eastAsia="Arial" w:hAnsi="Arial" w:cs="Arial"/>
          <w:sz w:val="24"/>
          <w:szCs w:val="24"/>
          <w:lang w:val="mn-MN" w:eastAsia="en-US"/>
        </w:rPr>
      </w:pPr>
    </w:p>
    <w:p w14:paraId="509AF639" w14:textId="77777777" w:rsidR="005C7637" w:rsidRPr="00AE4D08" w:rsidRDefault="005C7637" w:rsidP="005C7637">
      <w:pPr>
        <w:widowControl w:val="0"/>
        <w:tabs>
          <w:tab w:val="left" w:pos="5517"/>
        </w:tabs>
        <w:spacing w:after="0" w:line="240" w:lineRule="auto"/>
        <w:ind w:firstLine="567"/>
        <w:jc w:val="right"/>
        <w:rPr>
          <w:rFonts w:ascii="Arial" w:eastAsia="Arial" w:hAnsi="Arial" w:cs="Arial"/>
          <w:sz w:val="24"/>
          <w:szCs w:val="24"/>
          <w:lang w:val="mn-MN" w:eastAsia="en-US"/>
        </w:rPr>
      </w:pPr>
    </w:p>
    <w:p w14:paraId="63E4D4D4" w14:textId="77777777" w:rsidR="005C7637" w:rsidRPr="00AE4D08" w:rsidRDefault="005C7637" w:rsidP="005C7637">
      <w:pPr>
        <w:spacing w:after="120"/>
        <w:ind w:firstLine="720"/>
        <w:jc w:val="center"/>
        <w:rPr>
          <w:rFonts w:ascii="Arial" w:eastAsia="Calibri" w:hAnsi="Arial" w:cs="Arial"/>
          <w:lang w:val="mn-MN" w:eastAsia="en-US"/>
        </w:rPr>
      </w:pPr>
    </w:p>
    <w:p w14:paraId="5CC5A6F9" w14:textId="77777777" w:rsidR="005C7637" w:rsidRPr="00AE4D08" w:rsidRDefault="005C7637" w:rsidP="005C7637">
      <w:pPr>
        <w:rPr>
          <w:rFonts w:ascii="Arial" w:eastAsia="Calibri" w:hAnsi="Arial" w:cs="Arial"/>
          <w:lang w:val="mn-MN"/>
        </w:rPr>
      </w:pPr>
    </w:p>
    <w:p w14:paraId="25A3961F" w14:textId="77777777" w:rsidR="005C7637" w:rsidRPr="00AE4D08" w:rsidRDefault="005C7637" w:rsidP="005C7637">
      <w:pPr>
        <w:autoSpaceDE w:val="0"/>
        <w:autoSpaceDN w:val="0"/>
        <w:jc w:val="center"/>
        <w:rPr>
          <w:rFonts w:ascii="Arial" w:eastAsia="Calibri" w:hAnsi="Arial" w:cs="Arial"/>
          <w:lang w:val="mn-MN"/>
        </w:rPr>
      </w:pPr>
    </w:p>
    <w:p w14:paraId="0FC2D9D0" w14:textId="77777777" w:rsidR="005C7637" w:rsidRPr="00AE4D08" w:rsidRDefault="005C7637" w:rsidP="005C7637">
      <w:pPr>
        <w:autoSpaceDE w:val="0"/>
        <w:autoSpaceDN w:val="0"/>
        <w:jc w:val="center"/>
        <w:rPr>
          <w:rFonts w:ascii="Arial" w:eastAsia="Calibri" w:hAnsi="Arial" w:cs="Arial"/>
          <w:lang w:val="mn-MN"/>
        </w:rPr>
      </w:pPr>
    </w:p>
    <w:p w14:paraId="412ABD08" w14:textId="77777777" w:rsidR="005C7637" w:rsidRPr="00AE4D08" w:rsidRDefault="005C7637" w:rsidP="005C7637">
      <w:pPr>
        <w:autoSpaceDE w:val="0"/>
        <w:autoSpaceDN w:val="0"/>
        <w:jc w:val="center"/>
        <w:rPr>
          <w:rFonts w:ascii="Arial" w:eastAsia="Calibri" w:hAnsi="Arial" w:cs="Arial"/>
          <w:lang w:val="mn-MN"/>
        </w:rPr>
      </w:pPr>
    </w:p>
    <w:p w14:paraId="1FA2A5CA" w14:textId="77777777" w:rsidR="005C7637" w:rsidRPr="00AE4D08" w:rsidRDefault="005C7637" w:rsidP="005C7637">
      <w:pPr>
        <w:autoSpaceDE w:val="0"/>
        <w:autoSpaceDN w:val="0"/>
        <w:jc w:val="center"/>
        <w:rPr>
          <w:rFonts w:ascii="Arial" w:eastAsia="Calibri" w:hAnsi="Arial" w:cs="Arial"/>
          <w:lang w:val="mn-MN"/>
        </w:rPr>
      </w:pPr>
    </w:p>
    <w:p w14:paraId="3DBEED9B" w14:textId="77777777" w:rsidR="005C7637" w:rsidRPr="00AE4D08" w:rsidRDefault="005C7637" w:rsidP="005C7637">
      <w:pPr>
        <w:autoSpaceDE w:val="0"/>
        <w:autoSpaceDN w:val="0"/>
        <w:jc w:val="center"/>
        <w:rPr>
          <w:rFonts w:ascii="Arial" w:eastAsia="Calibri" w:hAnsi="Arial" w:cs="Arial"/>
          <w:lang w:val="mn-MN"/>
        </w:rPr>
      </w:pPr>
    </w:p>
    <w:p w14:paraId="60AE2820" w14:textId="77777777" w:rsidR="005C7637" w:rsidRPr="00AE4D08" w:rsidRDefault="005C7637" w:rsidP="005C7637">
      <w:pPr>
        <w:autoSpaceDE w:val="0"/>
        <w:autoSpaceDN w:val="0"/>
        <w:jc w:val="center"/>
        <w:rPr>
          <w:rFonts w:ascii="Arial" w:eastAsia="Calibri" w:hAnsi="Arial" w:cs="Arial"/>
          <w:lang w:val="mn-MN"/>
        </w:rPr>
      </w:pPr>
    </w:p>
    <w:p w14:paraId="14464525" w14:textId="77777777" w:rsidR="00BB1842" w:rsidRDefault="005C7637"/>
    <w:sectPr w:rsidR="00BB1842" w:rsidSect="00112B1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37"/>
    <w:rsid w:val="000734DE"/>
    <w:rsid w:val="000E7364"/>
    <w:rsid w:val="002B1859"/>
    <w:rsid w:val="0046428C"/>
    <w:rsid w:val="005C7637"/>
    <w:rsid w:val="005E2DCB"/>
    <w:rsid w:val="008C7C65"/>
    <w:rsid w:val="00B424A1"/>
    <w:rsid w:val="00D15E89"/>
    <w:rsid w:val="00E019FF"/>
    <w:rsid w:val="00F4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2834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637"/>
    <w:pPr>
      <w:spacing w:after="160" w:line="259" w:lineRule="auto"/>
    </w:pPr>
    <w:rPr>
      <w:rFonts w:ascii="Calibri" w:eastAsia="MS Mincho" w:hAnsi="Calibri" w:cs="Times New Roman"/>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7637"/>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 Text1"/>
    <w:basedOn w:val="Normal"/>
    <w:uiPriority w:val="99"/>
    <w:rsid w:val="005C7637"/>
    <w:pPr>
      <w:widowControl w:val="0"/>
      <w:shd w:val="clear" w:color="auto" w:fill="FFFFFF"/>
      <w:spacing w:before="480" w:after="240" w:line="274" w:lineRule="exact"/>
      <w:jc w:val="both"/>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1550</Words>
  <Characters>8841</Characters>
  <Application>Microsoft Macintosh Word</Application>
  <DocSecurity>0</DocSecurity>
  <Lines>73</Lines>
  <Paragraphs>20</Paragraphs>
  <ScaleCrop>false</ScaleCrop>
  <LinksUpToDate>false</LinksUpToDate>
  <CharactersWithSpaces>10371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2022-03-09T00:23:00Z</dcterms:created>
  <dcterms:modified xsi:type="dcterms:W3CDTF">2022-03-09T00:24:00Z</dcterms:modified>
</cp:coreProperties>
</file>