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F28D" w14:textId="77777777" w:rsidR="00FC67C1" w:rsidRPr="0085179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</w:rPr>
      </w:pPr>
    </w:p>
    <w:p w14:paraId="5B22C8E3" w14:textId="77777777" w:rsidR="00FC67C1" w:rsidRPr="0085179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</w:rPr>
      </w:pPr>
    </w:p>
    <w:p w14:paraId="6081991C" w14:textId="77777777" w:rsidR="00FC67C1" w:rsidRPr="0085179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</w:rPr>
      </w:pPr>
      <w:r w:rsidRPr="0085179D">
        <w:rPr>
          <w:rFonts w:ascii="Arial" w:eastAsia="Arial" w:hAnsi="Arial" w:cs="Arial"/>
          <w:smallCaps/>
        </w:rPr>
        <w:t xml:space="preserve"> КАДАСТРЫН ТУХАЙ ХУУЛИЙН ШИНЭЧИЛСЭН НАЙРУУЛГЫН</w:t>
      </w:r>
    </w:p>
    <w:p w14:paraId="66DBAF8C" w14:textId="77777777" w:rsidR="00FC67C1" w:rsidRPr="0085179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</w:rPr>
      </w:pPr>
      <w:r w:rsidRPr="0085179D">
        <w:rPr>
          <w:rFonts w:ascii="Arial" w:eastAsia="Arial" w:hAnsi="Arial" w:cs="Arial"/>
          <w:smallCaps/>
        </w:rPr>
        <w:t>ТӨСӨЛД ЯАМДААС ИРҮҮЛСЭН САНАЛЫН ТОВЪЁОГ</w:t>
      </w:r>
    </w:p>
    <w:p w14:paraId="14EA68AD" w14:textId="77777777" w:rsidR="00FC67C1" w:rsidRPr="002D735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  <w:lang w:val="ru-RU"/>
        </w:rPr>
      </w:pPr>
      <w:r w:rsidRPr="002D735D">
        <w:rPr>
          <w:rFonts w:ascii="Arial" w:eastAsia="Arial" w:hAnsi="Arial" w:cs="Arial"/>
          <w:lang w:val="ru-RU"/>
        </w:rPr>
        <w:t>/БХБЯ-ны 2021.04.16-ны 1/1416 албан тоотын хариу/</w:t>
      </w:r>
    </w:p>
    <w:p w14:paraId="7FBE6E04" w14:textId="77777777" w:rsidR="00FC67C1" w:rsidRPr="002D735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  <w:lang w:val="ru-RU"/>
        </w:rPr>
      </w:pPr>
    </w:p>
    <w:tbl>
      <w:tblPr>
        <w:tblW w:w="14317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2"/>
        <w:gridCol w:w="2214"/>
        <w:gridCol w:w="1449"/>
        <w:gridCol w:w="5953"/>
        <w:gridCol w:w="3969"/>
      </w:tblGrid>
      <w:tr w:rsidR="00FC67C1" w:rsidRPr="0085179D" w14:paraId="48BB42B3" w14:textId="77777777" w:rsidTr="00AF5818">
        <w:tc>
          <w:tcPr>
            <w:tcW w:w="732" w:type="dxa"/>
            <w:vAlign w:val="center"/>
          </w:tcPr>
          <w:p w14:paraId="478F7FFF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85179D">
              <w:rPr>
                <w:rFonts w:ascii="Arial" w:eastAsia="Arial" w:hAnsi="Arial" w:cs="Arial"/>
              </w:rPr>
              <w:t>№</w:t>
            </w:r>
          </w:p>
        </w:tc>
        <w:tc>
          <w:tcPr>
            <w:tcW w:w="2214" w:type="dxa"/>
            <w:vAlign w:val="center"/>
          </w:tcPr>
          <w:p w14:paraId="672E2CE1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Яамд</w:t>
            </w:r>
            <w:proofErr w:type="spellEnd"/>
          </w:p>
        </w:tc>
        <w:tc>
          <w:tcPr>
            <w:tcW w:w="1449" w:type="dxa"/>
            <w:vAlign w:val="center"/>
          </w:tcPr>
          <w:p w14:paraId="717CAC5F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Ирүүлсэн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саналын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тайлбар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56EDA349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Ирүүлсэн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санал</w:t>
            </w:r>
            <w:proofErr w:type="spellEnd"/>
          </w:p>
        </w:tc>
        <w:tc>
          <w:tcPr>
            <w:tcW w:w="3969" w:type="dxa"/>
            <w:vAlign w:val="center"/>
          </w:tcPr>
          <w:p w14:paraId="759DFB36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Тайлбар</w:t>
            </w:r>
            <w:proofErr w:type="spellEnd"/>
          </w:p>
        </w:tc>
      </w:tr>
      <w:tr w:rsidR="00FC67C1" w:rsidRPr="0085179D" w14:paraId="0F92B427" w14:textId="77777777" w:rsidTr="00AF5818">
        <w:tc>
          <w:tcPr>
            <w:tcW w:w="732" w:type="dxa"/>
          </w:tcPr>
          <w:p w14:paraId="52FA9F13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1</w:t>
            </w:r>
          </w:p>
        </w:tc>
        <w:tc>
          <w:tcPr>
            <w:tcW w:w="2214" w:type="dxa"/>
          </w:tcPr>
          <w:p w14:paraId="73B571C4" w14:textId="77777777" w:rsidR="00FC67C1" w:rsidRPr="002D735D" w:rsidRDefault="00FC67C1" w:rsidP="00AF5818">
            <w:pPr>
              <w:spacing w:after="0"/>
              <w:jc w:val="both"/>
              <w:rPr>
                <w:rFonts w:ascii="Arial" w:hAnsi="Arial" w:cs="Arial"/>
                <w:lang w:val="ru-RU"/>
              </w:rPr>
            </w:pPr>
            <w:r w:rsidRPr="002D735D">
              <w:rPr>
                <w:rFonts w:ascii="Arial" w:hAnsi="Arial" w:cs="Arial"/>
                <w:lang w:val="ru-RU"/>
              </w:rPr>
              <w:t>Байгаль орчин, аялал жуулчлалын яам</w:t>
            </w:r>
          </w:p>
        </w:tc>
        <w:tc>
          <w:tcPr>
            <w:tcW w:w="1449" w:type="dxa"/>
            <w:vAlign w:val="center"/>
          </w:tcPr>
          <w:p w14:paraId="12DA728D" w14:textId="77777777" w:rsidR="00FC67C1" w:rsidRPr="002D735D" w:rsidRDefault="00FC67C1" w:rsidP="00AF5818">
            <w:pPr>
              <w:spacing w:after="0"/>
              <w:jc w:val="both"/>
              <w:rPr>
                <w:rFonts w:ascii="Arial" w:eastAsia="Arial" w:hAnsi="Arial" w:cs="Arial"/>
                <w:lang w:val="ru-RU"/>
              </w:rPr>
            </w:pPr>
          </w:p>
        </w:tc>
        <w:tc>
          <w:tcPr>
            <w:tcW w:w="5953" w:type="dxa"/>
            <w:vAlign w:val="center"/>
          </w:tcPr>
          <w:p w14:paraId="616958EC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Санал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ирүүлээгүй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14:paraId="21853D70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FC67C1" w:rsidRPr="0085179D" w14:paraId="465F683D" w14:textId="77777777" w:rsidTr="00AF5818">
        <w:tc>
          <w:tcPr>
            <w:tcW w:w="732" w:type="dxa"/>
          </w:tcPr>
          <w:p w14:paraId="0A15F411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2</w:t>
            </w:r>
          </w:p>
        </w:tc>
        <w:tc>
          <w:tcPr>
            <w:tcW w:w="2214" w:type="dxa"/>
          </w:tcPr>
          <w:p w14:paraId="0740F6FD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Батлан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хамгаалах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624FEDF9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</w:tcPr>
          <w:p w14:paraId="2F694DCA" w14:textId="77777777" w:rsidR="00FC67C1" w:rsidRPr="0085179D" w:rsidRDefault="00FC67C1" w:rsidP="00AF5818">
            <w:pPr>
              <w:spacing w:after="0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Санал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ирүүлээгүй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14:paraId="75D9FA2C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FC67C1" w:rsidRPr="0085179D" w14:paraId="32EC8FB7" w14:textId="77777777" w:rsidTr="00AF5818">
        <w:tc>
          <w:tcPr>
            <w:tcW w:w="732" w:type="dxa"/>
          </w:tcPr>
          <w:p w14:paraId="552EC88C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3</w:t>
            </w:r>
          </w:p>
        </w:tc>
        <w:tc>
          <w:tcPr>
            <w:tcW w:w="2214" w:type="dxa"/>
          </w:tcPr>
          <w:p w14:paraId="7ED07B45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Боловсрол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соёл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шинжлэх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ухаан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спортын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1F161329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</w:tcPr>
          <w:p w14:paraId="2CE9C092" w14:textId="77777777" w:rsidR="00FC67C1" w:rsidRPr="0085179D" w:rsidRDefault="00FC67C1" w:rsidP="00AF5818">
            <w:pPr>
              <w:spacing w:after="0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Санал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ирүүлээгүй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14:paraId="1E8D6F1E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FC67C1" w:rsidRPr="0085179D" w14:paraId="7559A3EF" w14:textId="77777777" w:rsidTr="00AF5818">
        <w:tc>
          <w:tcPr>
            <w:tcW w:w="732" w:type="dxa"/>
          </w:tcPr>
          <w:p w14:paraId="385233B3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4</w:t>
            </w:r>
          </w:p>
        </w:tc>
        <w:tc>
          <w:tcPr>
            <w:tcW w:w="2214" w:type="dxa"/>
          </w:tcPr>
          <w:p w14:paraId="44963A29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Зам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тээврийн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хөгжлийн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52421275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4BCAEAFE" w14:textId="77777777" w:rsidR="00FC67C1" w:rsidRPr="0085179D" w:rsidRDefault="00FC67C1" w:rsidP="00AF5818">
            <w:pPr>
              <w:spacing w:after="0"/>
              <w:ind w:left="3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Хуулийн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төслийн</w:t>
            </w:r>
            <w:proofErr w:type="spellEnd"/>
            <w:r w:rsidRPr="0085179D">
              <w:rPr>
                <w:rFonts w:ascii="Arial" w:hAnsi="Arial" w:cs="Arial"/>
              </w:rPr>
              <w:t xml:space="preserve"> 2 </w:t>
            </w:r>
            <w:proofErr w:type="spellStart"/>
            <w:r w:rsidRPr="0085179D">
              <w:rPr>
                <w:rFonts w:ascii="Arial" w:hAnsi="Arial" w:cs="Arial"/>
              </w:rPr>
              <w:t>дугаар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зүйлийн</w:t>
            </w:r>
            <w:proofErr w:type="spellEnd"/>
            <w:r w:rsidRPr="0085179D">
              <w:rPr>
                <w:rFonts w:ascii="Arial" w:hAnsi="Arial" w:cs="Arial"/>
              </w:rPr>
              <w:t xml:space="preserve"> 2.1-д ”</w:t>
            </w:r>
            <w:proofErr w:type="spellStart"/>
            <w:r w:rsidRPr="0085179D">
              <w:rPr>
                <w:rFonts w:ascii="Arial" w:hAnsi="Arial" w:cs="Arial"/>
              </w:rPr>
              <w:t>Кадастрын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тухай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хууль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тогтоомж</w:t>
            </w:r>
            <w:proofErr w:type="spellEnd"/>
            <w:r w:rsidRPr="0085179D">
              <w:rPr>
                <w:rFonts w:ascii="Arial" w:hAnsi="Arial" w:cs="Arial"/>
              </w:rPr>
              <w:t>”-</w:t>
            </w:r>
            <w:proofErr w:type="spellStart"/>
            <w:r w:rsidRPr="0085179D">
              <w:rPr>
                <w:rFonts w:ascii="Arial" w:hAnsi="Arial" w:cs="Arial"/>
              </w:rPr>
              <w:t>ийг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дурдсан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боловч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кадастрын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зарим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зохицуулалтыг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тусгасан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Хот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байгуулалтын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тухай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хуулийг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орхигдуулсан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байх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тул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нэмж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оруулах</w:t>
            </w:r>
            <w:proofErr w:type="spellEnd"/>
            <w:r w:rsidRPr="0085179D">
              <w:rPr>
                <w:rFonts w:ascii="Arial" w:hAnsi="Arial" w:cs="Arial"/>
              </w:rPr>
              <w:t>;</w:t>
            </w:r>
          </w:p>
        </w:tc>
        <w:tc>
          <w:tcPr>
            <w:tcW w:w="3969" w:type="dxa"/>
            <w:vAlign w:val="center"/>
          </w:tcPr>
          <w:p w14:paraId="42A5FFF8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Кадастрын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тухай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хуулийн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төслийн</w:t>
            </w:r>
            <w:proofErr w:type="spellEnd"/>
            <w:r w:rsidRPr="0085179D">
              <w:rPr>
                <w:rFonts w:ascii="Arial" w:hAnsi="Arial" w:cs="Arial"/>
              </w:rPr>
              <w:t xml:space="preserve"> 2.1-д </w:t>
            </w:r>
            <w:proofErr w:type="spellStart"/>
            <w:r w:rsidRPr="0085179D">
              <w:rPr>
                <w:rFonts w:ascii="Arial" w:hAnsi="Arial" w:cs="Arial"/>
              </w:rPr>
              <w:t>Хот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байгуулалтын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тухай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хуулийг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нэмсэн</w:t>
            </w:r>
            <w:proofErr w:type="spellEnd"/>
            <w:r w:rsidRPr="0085179D">
              <w:rPr>
                <w:rFonts w:ascii="Arial" w:hAnsi="Arial" w:cs="Arial"/>
              </w:rPr>
              <w:t>.</w:t>
            </w:r>
          </w:p>
        </w:tc>
      </w:tr>
      <w:tr w:rsidR="00FC67C1" w:rsidRPr="0085179D" w14:paraId="0C9C34F1" w14:textId="77777777" w:rsidTr="00AF5818">
        <w:tc>
          <w:tcPr>
            <w:tcW w:w="732" w:type="dxa"/>
            <w:vMerge w:val="restart"/>
          </w:tcPr>
          <w:p w14:paraId="0AF2F5AC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5</w:t>
            </w:r>
          </w:p>
        </w:tc>
        <w:tc>
          <w:tcPr>
            <w:tcW w:w="2214" w:type="dxa"/>
            <w:vMerge w:val="restart"/>
          </w:tcPr>
          <w:p w14:paraId="25C7860D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Уул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уурхай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хүнд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үйлдвэрийн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726E6DE5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85179D">
              <w:rPr>
                <w:rFonts w:ascii="Arial" w:eastAsia="Arial" w:hAnsi="Arial" w:cs="Arial"/>
              </w:rPr>
              <w:t xml:space="preserve">12.1.”... </w:t>
            </w:r>
            <w:proofErr w:type="spellStart"/>
            <w:r w:rsidRPr="0085179D">
              <w:rPr>
                <w:rFonts w:ascii="Arial" w:eastAsia="Arial" w:hAnsi="Arial" w:cs="Arial"/>
              </w:rPr>
              <w:t>ашигт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85179D">
              <w:rPr>
                <w:rFonts w:ascii="Arial" w:eastAsia="Arial" w:hAnsi="Arial" w:cs="Arial"/>
              </w:rPr>
              <w:t>малтмал</w:t>
            </w:r>
            <w:proofErr w:type="spellEnd"/>
            <w:r w:rsidRPr="0085179D">
              <w:rPr>
                <w:rFonts w:ascii="Arial" w:eastAsia="Arial" w:hAnsi="Arial" w:cs="Arial"/>
              </w:rPr>
              <w:t>..</w:t>
            </w:r>
            <w:proofErr w:type="gramEnd"/>
            <w:r w:rsidRPr="0085179D">
              <w:rPr>
                <w:rFonts w:ascii="Arial" w:eastAsia="Arial" w:hAnsi="Arial" w:cs="Arial"/>
              </w:rPr>
              <w:t>”</w:t>
            </w:r>
          </w:p>
        </w:tc>
        <w:tc>
          <w:tcPr>
            <w:tcW w:w="5953" w:type="dxa"/>
            <w:vAlign w:val="center"/>
          </w:tcPr>
          <w:p w14:paraId="117AEDD8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85179D">
              <w:rPr>
                <w:rFonts w:ascii="Arial" w:eastAsia="Arial" w:hAnsi="Arial" w:cs="Arial"/>
              </w:rPr>
              <w:t xml:space="preserve">12.1.”... </w:t>
            </w:r>
            <w:proofErr w:type="spellStart"/>
            <w:r w:rsidRPr="0085179D">
              <w:rPr>
                <w:rFonts w:ascii="Arial" w:eastAsia="Arial" w:hAnsi="Arial" w:cs="Arial"/>
              </w:rPr>
              <w:t>ашигт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малтмал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..” </w:t>
            </w:r>
            <w:proofErr w:type="spellStart"/>
            <w:r w:rsidRPr="0085179D">
              <w:rPr>
                <w:rFonts w:ascii="Arial" w:eastAsia="Arial" w:hAnsi="Arial" w:cs="Arial"/>
              </w:rPr>
              <w:t>гэсний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дараа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хайх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гэж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нэмэх</w:t>
            </w:r>
            <w:proofErr w:type="spellEnd"/>
          </w:p>
          <w:p w14:paraId="3403307E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Тайлбар</w:t>
            </w:r>
            <w:proofErr w:type="spellEnd"/>
            <w:r w:rsidRPr="0085179D">
              <w:rPr>
                <w:rFonts w:ascii="Arial" w:eastAsia="Arial" w:hAnsi="Arial" w:cs="Arial"/>
              </w:rPr>
              <w:t>:</w:t>
            </w:r>
          </w:p>
          <w:p w14:paraId="79680E03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Ашигт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малтмалын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хайгуулын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тусгай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зөвшөөрлөөр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ашигт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малтмал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хайх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үйл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ажиллагааг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орхигдуулсан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14:paraId="27EE8ACB" w14:textId="77777777" w:rsidR="00FC67C1" w:rsidRPr="0085179D" w:rsidRDefault="00FC67C1" w:rsidP="002D7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right="-45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Саналыг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авч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хуулийн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төслийн</w:t>
            </w:r>
            <w:proofErr w:type="spellEnd"/>
            <w:r w:rsidRPr="0085179D">
              <w:rPr>
                <w:rFonts w:ascii="Arial" w:hAnsi="Arial" w:cs="Arial"/>
              </w:rPr>
              <w:t xml:space="preserve"> 34.1.6-д “</w:t>
            </w:r>
            <w:proofErr w:type="spellStart"/>
            <w:r w:rsidRPr="0085179D">
              <w:rPr>
                <w:rFonts w:ascii="Arial" w:hAnsi="Arial" w:cs="Arial"/>
              </w:rPr>
              <w:t>газрын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асуудал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эрхэлсэн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төрийн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захиргааны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байгууллагаас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холбогдох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ашигт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малтмалын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хайгуулын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болон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ашиглалтын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үйл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ажиллагаанаас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бусад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лавлагааг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авалгүйгээр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газрын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эрх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газар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ашиглахтай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холбоотой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шийдвэр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гаргах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нэгж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талбарт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өөрчлөлт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оруулах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газрын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эрхийг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шилжүүлэх</w:t>
            </w:r>
            <w:proofErr w:type="spellEnd"/>
            <w:r w:rsidRPr="0085179D">
              <w:rPr>
                <w:rFonts w:ascii="Arial" w:hAnsi="Arial" w:cs="Arial"/>
              </w:rPr>
              <w:t xml:space="preserve">.” </w:t>
            </w:r>
            <w:proofErr w:type="spellStart"/>
            <w:r w:rsidRPr="0085179D">
              <w:rPr>
                <w:rFonts w:ascii="Arial" w:hAnsi="Arial" w:cs="Arial"/>
              </w:rPr>
              <w:t>гэж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тусгав</w:t>
            </w:r>
            <w:proofErr w:type="spellEnd"/>
            <w:r w:rsidRPr="0085179D">
              <w:rPr>
                <w:rFonts w:ascii="Arial" w:hAnsi="Arial" w:cs="Arial"/>
              </w:rPr>
              <w:t>.</w:t>
            </w:r>
          </w:p>
          <w:p w14:paraId="054F5169" w14:textId="77777777" w:rsidR="00FC67C1" w:rsidRPr="0085179D" w:rsidRDefault="00FC67C1" w:rsidP="00AF5818">
            <w:pPr>
              <w:spacing w:after="0"/>
              <w:ind w:right="-45" w:firstLine="720"/>
              <w:jc w:val="both"/>
              <w:rPr>
                <w:rFonts w:ascii="Arial" w:hAnsi="Arial" w:cs="Arial"/>
              </w:rPr>
            </w:pPr>
          </w:p>
          <w:p w14:paraId="4EF2DD72" w14:textId="77777777" w:rsidR="00FC67C1" w:rsidRPr="0085179D" w:rsidRDefault="00FC67C1" w:rsidP="00AF5818">
            <w:pPr>
              <w:spacing w:after="0"/>
              <w:ind w:right="-45" w:firstLine="720"/>
              <w:jc w:val="both"/>
              <w:rPr>
                <w:rFonts w:ascii="Arial" w:hAnsi="Arial" w:cs="Arial"/>
              </w:rPr>
            </w:pPr>
          </w:p>
          <w:p w14:paraId="56263003" w14:textId="77777777" w:rsidR="00FC67C1" w:rsidRPr="0085179D" w:rsidRDefault="00FC67C1" w:rsidP="00AF5818">
            <w:pPr>
              <w:spacing w:after="0"/>
              <w:ind w:right="-45" w:firstLine="720"/>
              <w:jc w:val="both"/>
              <w:rPr>
                <w:rFonts w:ascii="Arial" w:hAnsi="Arial" w:cs="Arial"/>
              </w:rPr>
            </w:pPr>
          </w:p>
          <w:p w14:paraId="120CB584" w14:textId="77777777" w:rsidR="00FC67C1" w:rsidRPr="0085179D" w:rsidRDefault="00FC67C1" w:rsidP="00AF5818">
            <w:pPr>
              <w:spacing w:after="0"/>
              <w:ind w:right="-45" w:firstLine="720"/>
              <w:jc w:val="both"/>
              <w:rPr>
                <w:rFonts w:ascii="Arial" w:eastAsia="Arial" w:hAnsi="Arial" w:cs="Arial"/>
                <w:b/>
                <w:strike/>
              </w:rPr>
            </w:pPr>
          </w:p>
        </w:tc>
      </w:tr>
      <w:tr w:rsidR="00FC67C1" w:rsidRPr="0085179D" w14:paraId="7F40B1B0" w14:textId="77777777" w:rsidTr="00AF5818">
        <w:trPr>
          <w:trHeight w:val="2623"/>
        </w:trPr>
        <w:tc>
          <w:tcPr>
            <w:tcW w:w="732" w:type="dxa"/>
            <w:vMerge/>
          </w:tcPr>
          <w:p w14:paraId="5FA7A690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14" w:type="dxa"/>
            <w:vMerge/>
          </w:tcPr>
          <w:p w14:paraId="3DADD82D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514B0579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461DC59A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85179D">
              <w:rPr>
                <w:rFonts w:ascii="Arial" w:eastAsia="Arial" w:hAnsi="Arial" w:cs="Arial"/>
              </w:rPr>
              <w:t xml:space="preserve">“30.1.5 </w:t>
            </w:r>
            <w:proofErr w:type="spellStart"/>
            <w:r w:rsidRPr="0085179D">
              <w:rPr>
                <w:rFonts w:ascii="Arial" w:eastAsia="Arial" w:hAnsi="Arial" w:cs="Arial"/>
              </w:rPr>
              <w:t>газрын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асуудал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эрхэлсэн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төрийн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захиргааны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байгууллагаас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холбогдох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ашигт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малтмалын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хайгуулын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болон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ашиглалтын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үйл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ажиллагаанаас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бусад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лавлагаа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авалгүй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газрын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эрх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eastAsia="Arial" w:hAnsi="Arial" w:cs="Arial"/>
              </w:rPr>
              <w:t>газар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ашиглахтай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холбоотой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шийдвэр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гаргах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eastAsia="Arial" w:hAnsi="Arial" w:cs="Arial"/>
              </w:rPr>
              <w:t>нэгж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талбарт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өөрчлөлт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оруулах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eastAsia="Arial" w:hAnsi="Arial" w:cs="Arial"/>
              </w:rPr>
              <w:t>газрын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эрхийг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шилжүүлэх</w:t>
            </w:r>
            <w:proofErr w:type="spellEnd"/>
          </w:p>
          <w:p w14:paraId="7F328C31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Тайлбар</w:t>
            </w:r>
            <w:proofErr w:type="spellEnd"/>
            <w:r w:rsidRPr="0085179D">
              <w:rPr>
                <w:rFonts w:ascii="Arial" w:eastAsia="Arial" w:hAnsi="Arial" w:cs="Arial"/>
              </w:rPr>
              <w:t>:</w:t>
            </w:r>
          </w:p>
          <w:p w14:paraId="51393F8B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85179D">
              <w:rPr>
                <w:rFonts w:ascii="Arial" w:eastAsia="Arial" w:hAnsi="Arial" w:cs="Arial"/>
              </w:rPr>
              <w:t xml:space="preserve">“... </w:t>
            </w:r>
            <w:proofErr w:type="spellStart"/>
            <w:r w:rsidRPr="0085179D">
              <w:rPr>
                <w:rFonts w:ascii="Arial" w:eastAsia="Arial" w:hAnsi="Arial" w:cs="Arial"/>
              </w:rPr>
              <w:t>ашигт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малталын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хайгуулын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болон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ашиглалтын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үйл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ажиллагаанаас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бусад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85179D">
              <w:rPr>
                <w:rFonts w:ascii="Arial" w:eastAsia="Arial" w:hAnsi="Arial" w:cs="Arial"/>
              </w:rPr>
              <w:t>гэж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нэмэх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шаардлагатай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бөгөөд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Ашигт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малтмалын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тухай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хуультай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нийцүүлэх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шаардлагатай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байна</w:t>
            </w:r>
            <w:proofErr w:type="spellEnd"/>
            <w:r w:rsidRPr="0085179D">
              <w:rPr>
                <w:rFonts w:ascii="Arial" w:eastAsia="Arial" w:hAnsi="Arial" w:cs="Arial"/>
              </w:rPr>
              <w:t>.</w:t>
            </w:r>
          </w:p>
        </w:tc>
        <w:tc>
          <w:tcPr>
            <w:tcW w:w="3969" w:type="dxa"/>
            <w:vMerge/>
            <w:vAlign w:val="center"/>
          </w:tcPr>
          <w:p w14:paraId="1C478832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FC67C1" w:rsidRPr="0085179D" w14:paraId="771D6269" w14:textId="77777777" w:rsidTr="00AF5818">
        <w:trPr>
          <w:trHeight w:val="565"/>
        </w:trPr>
        <w:tc>
          <w:tcPr>
            <w:tcW w:w="732" w:type="dxa"/>
          </w:tcPr>
          <w:p w14:paraId="6FEDB0BC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214" w:type="dxa"/>
          </w:tcPr>
          <w:p w14:paraId="0CA2099F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Хөдөлмөр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нийгмийн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хамгааллын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3F57CCD6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65A10CD" w14:textId="77777777" w:rsidR="00FC67C1" w:rsidRPr="0085179D" w:rsidRDefault="00FC67C1" w:rsidP="00AF5818">
            <w:pPr>
              <w:pStyle w:val="NormalWeb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85179D">
              <w:rPr>
                <w:rFonts w:ascii="Arial" w:eastAsia="Arial" w:hAnsi="Arial" w:cs="Arial"/>
                <w:sz w:val="22"/>
                <w:szCs w:val="22"/>
                <w:lang w:val="mn-MN"/>
              </w:rPr>
              <w:t>Санал ирүүлээгүй.</w:t>
            </w:r>
          </w:p>
        </w:tc>
        <w:tc>
          <w:tcPr>
            <w:tcW w:w="3969" w:type="dxa"/>
            <w:vAlign w:val="center"/>
          </w:tcPr>
          <w:p w14:paraId="684340E4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FC67C1" w:rsidRPr="0085179D" w14:paraId="6C1F81A2" w14:textId="77777777" w:rsidTr="00AF5818">
        <w:tc>
          <w:tcPr>
            <w:tcW w:w="732" w:type="dxa"/>
          </w:tcPr>
          <w:p w14:paraId="3D555273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7</w:t>
            </w:r>
          </w:p>
        </w:tc>
        <w:tc>
          <w:tcPr>
            <w:tcW w:w="2214" w:type="dxa"/>
          </w:tcPr>
          <w:p w14:paraId="0D48ECCF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Хууль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зүй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дотоод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хэргийн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41B16B4F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4E6E92AF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2FE2D61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FC67C1" w:rsidRPr="0085179D" w14:paraId="206A4B60" w14:textId="77777777" w:rsidTr="00AF5818">
        <w:tc>
          <w:tcPr>
            <w:tcW w:w="732" w:type="dxa"/>
          </w:tcPr>
          <w:p w14:paraId="0FBD01D1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8</w:t>
            </w:r>
          </w:p>
        </w:tc>
        <w:tc>
          <w:tcPr>
            <w:tcW w:w="2214" w:type="dxa"/>
          </w:tcPr>
          <w:p w14:paraId="60FB70F0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Эрчим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хүчний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29288201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12101989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Санал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ирүүлээгүй</w:t>
            </w:r>
            <w:proofErr w:type="spellEnd"/>
            <w:r w:rsidRPr="0085179D">
              <w:rPr>
                <w:rFonts w:ascii="Arial" w:eastAsia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0EB066F4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FC67C1" w:rsidRPr="0085179D" w14:paraId="053ABF26" w14:textId="77777777" w:rsidTr="00AF5818">
        <w:tc>
          <w:tcPr>
            <w:tcW w:w="732" w:type="dxa"/>
          </w:tcPr>
          <w:p w14:paraId="28DA6636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9</w:t>
            </w:r>
          </w:p>
        </w:tc>
        <w:tc>
          <w:tcPr>
            <w:tcW w:w="2214" w:type="dxa"/>
          </w:tcPr>
          <w:p w14:paraId="5D8FF244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Эрүүл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мэндийн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764E13EF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C5FB3FB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Санал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ирүүлээгүй</w:t>
            </w:r>
            <w:proofErr w:type="spellEnd"/>
            <w:r w:rsidRPr="0085179D">
              <w:rPr>
                <w:rFonts w:ascii="Arial" w:eastAsia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6E887D45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FC67C1" w:rsidRPr="0085179D" w14:paraId="14699CAC" w14:textId="77777777" w:rsidTr="00AF5818">
        <w:tc>
          <w:tcPr>
            <w:tcW w:w="732" w:type="dxa"/>
          </w:tcPr>
          <w:p w14:paraId="39C3CAAE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10</w:t>
            </w:r>
          </w:p>
        </w:tc>
        <w:tc>
          <w:tcPr>
            <w:tcW w:w="2214" w:type="dxa"/>
          </w:tcPr>
          <w:p w14:paraId="27433FB1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Гадаад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харилцааны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59EF31E8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485A6B7F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Санал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ирүүлээгүй</w:t>
            </w:r>
            <w:proofErr w:type="spellEnd"/>
          </w:p>
        </w:tc>
        <w:tc>
          <w:tcPr>
            <w:tcW w:w="3969" w:type="dxa"/>
            <w:vAlign w:val="center"/>
          </w:tcPr>
          <w:p w14:paraId="4FDAB549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FC67C1" w:rsidRPr="0085179D" w14:paraId="31E1C7FC" w14:textId="77777777" w:rsidTr="00AF5818">
        <w:tc>
          <w:tcPr>
            <w:tcW w:w="732" w:type="dxa"/>
          </w:tcPr>
          <w:p w14:paraId="32AC1C38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11</w:t>
            </w:r>
          </w:p>
        </w:tc>
        <w:tc>
          <w:tcPr>
            <w:tcW w:w="2214" w:type="dxa"/>
          </w:tcPr>
          <w:p w14:paraId="0FC370DB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Хүнс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хөдөө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аж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ахуй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хөнгөн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үйлдвэрийн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57CD333C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76336F0B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Санал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ирүүлээгүй</w:t>
            </w:r>
            <w:proofErr w:type="spellEnd"/>
            <w:r w:rsidRPr="0085179D">
              <w:rPr>
                <w:rFonts w:ascii="Arial" w:eastAsia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2E37E891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FC67C1" w:rsidRPr="0085179D" w14:paraId="126B26D1" w14:textId="77777777" w:rsidTr="00AF5818">
        <w:tc>
          <w:tcPr>
            <w:tcW w:w="732" w:type="dxa"/>
          </w:tcPr>
          <w:p w14:paraId="3DC1E910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12</w:t>
            </w:r>
          </w:p>
        </w:tc>
        <w:tc>
          <w:tcPr>
            <w:tcW w:w="2214" w:type="dxa"/>
          </w:tcPr>
          <w:p w14:paraId="5316CE79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Сангийн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2CFBD29F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53CBEF5C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Санал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ирүүлээгүй</w:t>
            </w:r>
            <w:proofErr w:type="spellEnd"/>
            <w:r w:rsidRPr="0085179D">
              <w:rPr>
                <w:rFonts w:ascii="Arial" w:eastAsia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51AA6ED8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FC67C1" w:rsidRPr="0085179D" w14:paraId="7CDAAE83" w14:textId="77777777" w:rsidTr="00AF5818">
        <w:tc>
          <w:tcPr>
            <w:tcW w:w="732" w:type="dxa"/>
          </w:tcPr>
          <w:p w14:paraId="33BCEB4E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13</w:t>
            </w:r>
          </w:p>
        </w:tc>
        <w:tc>
          <w:tcPr>
            <w:tcW w:w="2214" w:type="dxa"/>
          </w:tcPr>
          <w:p w14:paraId="719BDED5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Соёлын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яам</w:t>
            </w:r>
            <w:proofErr w:type="spellEnd"/>
          </w:p>
        </w:tc>
        <w:tc>
          <w:tcPr>
            <w:tcW w:w="1449" w:type="dxa"/>
            <w:vAlign w:val="center"/>
          </w:tcPr>
          <w:p w14:paraId="03C086DF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0C02C54C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Хуулийн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төслийн</w:t>
            </w:r>
            <w:proofErr w:type="spellEnd"/>
            <w:r w:rsidRPr="0085179D">
              <w:rPr>
                <w:rFonts w:ascii="Arial" w:hAnsi="Arial" w:cs="Arial"/>
              </w:rPr>
              <w:t xml:space="preserve"> 18 </w:t>
            </w:r>
            <w:proofErr w:type="spellStart"/>
            <w:r w:rsidRPr="0085179D">
              <w:rPr>
                <w:rFonts w:ascii="Arial" w:hAnsi="Arial" w:cs="Arial"/>
              </w:rPr>
              <w:t>дугаар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зуйлд</w:t>
            </w:r>
            <w:proofErr w:type="spellEnd"/>
            <w:r w:rsidRPr="0085179D">
              <w:rPr>
                <w:rFonts w:ascii="Arial" w:hAnsi="Arial" w:cs="Arial"/>
              </w:rPr>
              <w:t xml:space="preserve"> “</w:t>
            </w:r>
            <w:proofErr w:type="spellStart"/>
            <w:r w:rsidRPr="0085179D">
              <w:rPr>
                <w:rFonts w:ascii="Arial" w:hAnsi="Arial" w:cs="Arial"/>
              </w:rPr>
              <w:t>Түүх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соёлын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дурсгалт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газарт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хамгаалалтын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бүс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тогтооход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энэ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хуулийн</w:t>
            </w:r>
            <w:proofErr w:type="spellEnd"/>
            <w:r w:rsidRPr="0085179D">
              <w:rPr>
                <w:rFonts w:ascii="Arial" w:hAnsi="Arial" w:cs="Arial"/>
              </w:rPr>
              <w:t xml:space="preserve"> 18.2.2-18.2.6-д </w:t>
            </w:r>
            <w:proofErr w:type="spellStart"/>
            <w:r w:rsidRPr="0085179D">
              <w:rPr>
                <w:rFonts w:ascii="Arial" w:hAnsi="Arial" w:cs="Arial"/>
              </w:rPr>
              <w:t>заасан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үйл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ажиллагааг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гүйцэтгэнэ</w:t>
            </w:r>
            <w:proofErr w:type="spellEnd"/>
            <w:r w:rsidRPr="0085179D">
              <w:rPr>
                <w:rFonts w:ascii="Arial" w:hAnsi="Arial" w:cs="Arial"/>
              </w:rPr>
              <w:t xml:space="preserve">.” </w:t>
            </w:r>
            <w:proofErr w:type="spellStart"/>
            <w:r w:rsidRPr="0085179D">
              <w:rPr>
                <w:rFonts w:ascii="Arial" w:hAnsi="Arial" w:cs="Arial"/>
              </w:rPr>
              <w:t>гэсэн</w:t>
            </w:r>
            <w:proofErr w:type="spellEnd"/>
            <w:r w:rsidRPr="0085179D">
              <w:rPr>
                <w:rFonts w:ascii="Arial" w:hAnsi="Arial" w:cs="Arial"/>
              </w:rPr>
              <w:t xml:space="preserve"> 18.16 </w:t>
            </w:r>
            <w:proofErr w:type="spellStart"/>
            <w:r w:rsidRPr="0085179D">
              <w:rPr>
                <w:rFonts w:ascii="Arial" w:hAnsi="Arial" w:cs="Arial"/>
              </w:rPr>
              <w:t>дахь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хэсэг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нэмж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тусгах</w:t>
            </w:r>
            <w:proofErr w:type="spellEnd"/>
            <w:r w:rsidRPr="0085179D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6157B57F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Эрхийн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кадастрын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үйл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ажиллагааг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энэ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хуулийн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7 </w:t>
            </w:r>
            <w:proofErr w:type="spellStart"/>
            <w:r w:rsidRPr="0085179D">
              <w:rPr>
                <w:rFonts w:ascii="Arial" w:eastAsia="Arial" w:hAnsi="Arial" w:cs="Arial"/>
              </w:rPr>
              <w:t>дугаар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зүйлд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тусгасан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бөгөөд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ямар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нэг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хамгаалалтын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зурвасыг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баталгаажуулах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боломжгүй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энэ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нь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өөрөө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дэглэм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тул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холбогдох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хуулиараа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хамгаалалтын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зурвас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нь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тогтоогдоод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нэгдсэн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бүртгэлд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дэглэмээр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бүртгэгдэх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учир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  <w:bCs/>
              </w:rPr>
              <w:t>хуулийн</w:t>
            </w:r>
            <w:proofErr w:type="spellEnd"/>
            <w:r w:rsidRPr="0085179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  <w:bCs/>
              </w:rPr>
              <w:t>төсөлд</w:t>
            </w:r>
            <w:proofErr w:type="spellEnd"/>
            <w:r w:rsidRPr="0085179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  <w:bCs/>
              </w:rPr>
              <w:t>саналыг</w:t>
            </w:r>
            <w:proofErr w:type="spellEnd"/>
            <w:r w:rsidRPr="0085179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  <w:bCs/>
              </w:rPr>
              <w:t>тусгах</w:t>
            </w:r>
            <w:proofErr w:type="spellEnd"/>
            <w:r w:rsidRPr="0085179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  <w:bCs/>
              </w:rPr>
              <w:t>шаардлагагүй</w:t>
            </w:r>
            <w:proofErr w:type="spellEnd"/>
            <w:r w:rsidRPr="0085179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FC67C1" w:rsidRPr="0085179D" w14:paraId="7341FAA5" w14:textId="77777777" w:rsidTr="00AF5818">
        <w:tc>
          <w:tcPr>
            <w:tcW w:w="732" w:type="dxa"/>
            <w:vMerge w:val="restart"/>
          </w:tcPr>
          <w:p w14:paraId="6C65CE93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14</w:t>
            </w:r>
          </w:p>
        </w:tc>
        <w:tc>
          <w:tcPr>
            <w:tcW w:w="2214" w:type="dxa"/>
            <w:vMerge w:val="restart"/>
          </w:tcPr>
          <w:p w14:paraId="18B2C854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  <w:shd w:val="clear" w:color="auto" w:fill="FFFFFF"/>
              </w:rPr>
              <w:t>Мэдээлэл</w:t>
            </w:r>
            <w:proofErr w:type="spellEnd"/>
            <w:r w:rsidRPr="0085179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  <w:shd w:val="clear" w:color="auto" w:fill="FFFFFF"/>
              </w:rPr>
              <w:t>Холбооны</w:t>
            </w:r>
            <w:proofErr w:type="spellEnd"/>
            <w:r w:rsidRPr="0085179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  <w:shd w:val="clear" w:color="auto" w:fill="FFFFFF"/>
              </w:rPr>
              <w:t>Операторуудын</w:t>
            </w:r>
            <w:proofErr w:type="spellEnd"/>
            <w:r w:rsidRPr="0085179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  <w:shd w:val="clear" w:color="auto" w:fill="FFFFFF"/>
              </w:rPr>
              <w:t>Ассоциаци</w:t>
            </w:r>
            <w:proofErr w:type="spellEnd"/>
          </w:p>
        </w:tc>
        <w:tc>
          <w:tcPr>
            <w:tcW w:w="1449" w:type="dxa"/>
            <w:vAlign w:val="center"/>
          </w:tcPr>
          <w:p w14:paraId="1DBBF9C9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Нэр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томъёоны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тодорхойлол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шинэ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заалт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нэмэх</w:t>
            </w:r>
            <w:proofErr w:type="spellEnd"/>
          </w:p>
        </w:tc>
        <w:tc>
          <w:tcPr>
            <w:tcW w:w="5953" w:type="dxa"/>
            <w:vAlign w:val="center"/>
          </w:tcPr>
          <w:p w14:paraId="4F6A617F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 xml:space="preserve">3.1.19 </w:t>
            </w:r>
            <w:proofErr w:type="spellStart"/>
            <w:r w:rsidRPr="0085179D">
              <w:rPr>
                <w:rFonts w:ascii="Arial" w:hAnsi="Arial" w:cs="Arial"/>
              </w:rPr>
              <w:t>дэх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хэсэгт</w:t>
            </w:r>
            <w:proofErr w:type="spellEnd"/>
            <w:r w:rsidRPr="0085179D">
              <w:rPr>
                <w:rFonts w:ascii="Arial" w:hAnsi="Arial" w:cs="Arial"/>
              </w:rPr>
              <w:t xml:space="preserve"> “</w:t>
            </w:r>
            <w:proofErr w:type="spellStart"/>
            <w:r w:rsidRPr="0085179D">
              <w:rPr>
                <w:rFonts w:ascii="Arial" w:hAnsi="Arial" w:cs="Arial"/>
              </w:rPr>
              <w:t>Инженерийн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шугам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сүлжээ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тэдгээрийн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дэд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бүтэц</w:t>
            </w:r>
            <w:proofErr w:type="spellEnd"/>
            <w:r w:rsidRPr="0085179D">
              <w:rPr>
                <w:rFonts w:ascii="Arial" w:hAnsi="Arial" w:cs="Arial"/>
              </w:rPr>
              <w:t xml:space="preserve">” </w:t>
            </w:r>
            <w:proofErr w:type="spellStart"/>
            <w:r w:rsidRPr="0085179D">
              <w:rPr>
                <w:rFonts w:ascii="Arial" w:hAnsi="Arial" w:cs="Arial"/>
              </w:rPr>
              <w:t>гэж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зам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шугам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сүлжээний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газарт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цахилгаан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дулаан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хий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ус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хангамж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ариутгах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татуурга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зам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замын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зурвас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газар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тээвэр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мэдээлэл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харилцаа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холбооны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зориулалтаар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хот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тосгон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бусад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суурины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гадна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олгогдсон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газар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хамаарна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гэсэн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агуулгыг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нэмж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оруулах</w:t>
            </w:r>
            <w:proofErr w:type="spellEnd"/>
            <w:r w:rsidRPr="0085179D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3969" w:type="dxa"/>
            <w:vAlign w:val="center"/>
          </w:tcPr>
          <w:p w14:paraId="3F2B17EF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Энэхүү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нэр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томъёо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нь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  <w:bCs/>
              </w:rPr>
              <w:t>Хот</w:t>
            </w:r>
            <w:proofErr w:type="spellEnd"/>
            <w:r w:rsidRPr="0085179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  <w:bCs/>
              </w:rPr>
              <w:t>байгуулалтын</w:t>
            </w:r>
            <w:proofErr w:type="spellEnd"/>
            <w:r w:rsidRPr="0085179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  <w:bCs/>
              </w:rPr>
              <w:t>тухай</w:t>
            </w:r>
            <w:proofErr w:type="spellEnd"/>
            <w:r w:rsidRPr="0085179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  <w:bCs/>
              </w:rPr>
              <w:t>хуулиар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тодорхойлогдож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байгаа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тул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энэ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хуульд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тусгах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шаардлагагүй</w:t>
            </w:r>
            <w:proofErr w:type="spellEnd"/>
            <w:r w:rsidRPr="0085179D">
              <w:rPr>
                <w:rFonts w:ascii="Arial" w:eastAsia="Arial" w:hAnsi="Arial" w:cs="Arial"/>
              </w:rPr>
              <w:t>.</w:t>
            </w:r>
          </w:p>
        </w:tc>
      </w:tr>
      <w:tr w:rsidR="00FC67C1" w:rsidRPr="0085179D" w14:paraId="37D1C405" w14:textId="77777777" w:rsidTr="00AF5818">
        <w:tc>
          <w:tcPr>
            <w:tcW w:w="732" w:type="dxa"/>
            <w:vMerge/>
          </w:tcPr>
          <w:p w14:paraId="45398F71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14" w:type="dxa"/>
            <w:vMerge/>
          </w:tcPr>
          <w:p w14:paraId="4C40B37F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  <w:tc>
          <w:tcPr>
            <w:tcW w:w="1449" w:type="dxa"/>
            <w:vAlign w:val="center"/>
          </w:tcPr>
          <w:p w14:paraId="6932F9FB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85179D">
              <w:rPr>
                <w:rFonts w:ascii="Arial" w:eastAsia="Arial" w:hAnsi="Arial" w:cs="Arial"/>
              </w:rPr>
              <w:t xml:space="preserve">14-р </w:t>
            </w:r>
            <w:proofErr w:type="spellStart"/>
            <w:r w:rsidRPr="0085179D">
              <w:rPr>
                <w:rFonts w:ascii="Arial" w:eastAsia="Arial" w:hAnsi="Arial" w:cs="Arial"/>
              </w:rPr>
              <w:t>зүйл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85179D">
              <w:rPr>
                <w:rFonts w:ascii="Arial" w:eastAsia="Arial" w:hAnsi="Arial" w:cs="Arial"/>
              </w:rPr>
              <w:t>Улсын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чанартай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авто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зам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eastAsia="Arial" w:hAnsi="Arial" w:cs="Arial"/>
              </w:rPr>
              <w:t>шугам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сүлжээ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eastAsia="Arial" w:hAnsi="Arial" w:cs="Arial"/>
              </w:rPr>
              <w:lastRenderedPageBreak/>
              <w:t>төмөр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замын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суурь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бүтэц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шинээр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байгуулахад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газрын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ангилал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шилжүүлэх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/</w:t>
            </w:r>
            <w:proofErr w:type="spellStart"/>
            <w:r w:rsidRPr="0085179D">
              <w:rPr>
                <w:rFonts w:ascii="Arial" w:eastAsia="Arial" w:hAnsi="Arial" w:cs="Arial"/>
              </w:rPr>
              <w:t>Хуулийн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төслийн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заалт</w:t>
            </w:r>
            <w:proofErr w:type="spellEnd"/>
            <w:r w:rsidRPr="0085179D">
              <w:rPr>
                <w:rFonts w:ascii="Arial" w:eastAsia="Arial" w:hAnsi="Arial" w:cs="Arial"/>
              </w:rPr>
              <w:t>/</w:t>
            </w:r>
          </w:p>
        </w:tc>
        <w:tc>
          <w:tcPr>
            <w:tcW w:w="5953" w:type="dxa"/>
            <w:vAlign w:val="center"/>
          </w:tcPr>
          <w:p w14:paraId="63AD1322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lastRenderedPageBreak/>
              <w:t>"</w:t>
            </w:r>
            <w:proofErr w:type="spellStart"/>
            <w:r w:rsidRPr="0085179D">
              <w:rPr>
                <w:rFonts w:ascii="Arial" w:hAnsi="Arial" w:cs="Arial"/>
              </w:rPr>
              <w:t>шугам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сүлжээ</w:t>
            </w:r>
            <w:proofErr w:type="spellEnd"/>
            <w:r w:rsidRPr="0085179D">
              <w:rPr>
                <w:rFonts w:ascii="Arial" w:hAnsi="Arial" w:cs="Arial"/>
              </w:rPr>
              <w:t xml:space="preserve">" </w:t>
            </w:r>
            <w:proofErr w:type="spellStart"/>
            <w:r w:rsidRPr="0085179D">
              <w:rPr>
                <w:rFonts w:ascii="Arial" w:hAnsi="Arial" w:cs="Arial"/>
              </w:rPr>
              <w:t>гэдгийг</w:t>
            </w:r>
            <w:proofErr w:type="spellEnd"/>
            <w:r w:rsidRPr="0085179D">
              <w:rPr>
                <w:rFonts w:ascii="Arial" w:hAnsi="Arial" w:cs="Arial"/>
              </w:rPr>
              <w:t xml:space="preserve"> "</w:t>
            </w:r>
            <w:proofErr w:type="spellStart"/>
            <w:r w:rsidRPr="0085179D">
              <w:rPr>
                <w:rFonts w:ascii="Arial" w:hAnsi="Arial" w:cs="Arial"/>
              </w:rPr>
              <w:t>инженерийн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шугам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сүлжээ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тэдгээрийн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дэд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бүтэц</w:t>
            </w:r>
            <w:proofErr w:type="spellEnd"/>
            <w:r w:rsidRPr="0085179D">
              <w:rPr>
                <w:rFonts w:ascii="Arial" w:hAnsi="Arial" w:cs="Arial"/>
              </w:rPr>
              <w:t xml:space="preserve">” </w:t>
            </w:r>
            <w:proofErr w:type="spellStart"/>
            <w:r w:rsidRPr="0085179D">
              <w:rPr>
                <w:rFonts w:ascii="Arial" w:hAnsi="Arial" w:cs="Arial"/>
              </w:rPr>
              <w:t>гэж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өөрчлөх</w:t>
            </w:r>
            <w:proofErr w:type="spellEnd"/>
          </w:p>
          <w:p w14:paraId="01C3F059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  <w:b/>
              </w:rPr>
            </w:pPr>
            <w:proofErr w:type="spellStart"/>
            <w:r w:rsidRPr="0085179D">
              <w:rPr>
                <w:rFonts w:ascii="Arial" w:hAnsi="Arial" w:cs="Arial"/>
                <w:b/>
              </w:rPr>
              <w:t>Ирүүлсэн</w:t>
            </w:r>
            <w:proofErr w:type="spellEnd"/>
            <w:r w:rsidRPr="0085179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  <w:b/>
              </w:rPr>
              <w:t>саналын</w:t>
            </w:r>
            <w:proofErr w:type="spellEnd"/>
            <w:r w:rsidRPr="0085179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  <w:b/>
              </w:rPr>
              <w:t>тайлбар</w:t>
            </w:r>
            <w:proofErr w:type="spellEnd"/>
            <w:r w:rsidRPr="0085179D">
              <w:rPr>
                <w:rFonts w:ascii="Arial" w:hAnsi="Arial" w:cs="Arial"/>
                <w:b/>
              </w:rPr>
              <w:t>:</w:t>
            </w:r>
          </w:p>
          <w:p w14:paraId="54E83683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Холбогдох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төрийн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захиргааны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байгууллага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болон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хуулийн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этгээд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нь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улсын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чанартай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авто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зам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шугам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сүлжээ</w:t>
            </w:r>
            <w:proofErr w:type="spellEnd"/>
            <w:r w:rsidRPr="0085179D">
              <w:rPr>
                <w:rFonts w:ascii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hAnsi="Arial" w:cs="Arial"/>
              </w:rPr>
              <w:t>төмөр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замын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суурь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бүтэц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шинээр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байгуулах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lastRenderedPageBreak/>
              <w:t>тухай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хүсэлтээ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газрын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асуудал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эрхэлсэн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төрийн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захиргааны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байгууллагад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гаргана</w:t>
            </w:r>
            <w:proofErr w:type="spellEnd"/>
            <w:r w:rsidRPr="0085179D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6B801190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lastRenderedPageBreak/>
              <w:t>Хуулийн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шинэчилсэн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найрууллагын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төсөлд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саналыг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тусгав</w:t>
            </w:r>
            <w:proofErr w:type="spellEnd"/>
            <w:r w:rsidRPr="0085179D">
              <w:rPr>
                <w:rFonts w:ascii="Arial" w:eastAsia="Arial" w:hAnsi="Arial" w:cs="Arial"/>
              </w:rPr>
              <w:t>.</w:t>
            </w:r>
          </w:p>
          <w:p w14:paraId="2B2EA737" w14:textId="77777777" w:rsidR="00FC67C1" w:rsidRPr="0085179D" w:rsidRDefault="00FC67C1" w:rsidP="00AF5818">
            <w:pPr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 w:rsidRPr="0085179D">
              <w:rPr>
                <w:rFonts w:ascii="Arial" w:eastAsia="Arial" w:hAnsi="Arial" w:cs="Arial"/>
              </w:rPr>
              <w:t>Хуулийн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төслийн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11.3, 16.3, 20.5-д “... </w:t>
            </w:r>
            <w:proofErr w:type="spellStart"/>
            <w:r w:rsidRPr="0085179D">
              <w:rPr>
                <w:rFonts w:ascii="Arial" w:eastAsia="Arial" w:hAnsi="Arial" w:cs="Arial"/>
              </w:rPr>
              <w:t>шугам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сүлжээ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5179D">
              <w:rPr>
                <w:rFonts w:ascii="Arial" w:eastAsia="Arial" w:hAnsi="Arial" w:cs="Arial"/>
              </w:rPr>
              <w:t>тэдгээрийн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дэд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бүтэц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...” </w:t>
            </w:r>
            <w:proofErr w:type="spellStart"/>
            <w:r w:rsidRPr="0085179D">
              <w:rPr>
                <w:rFonts w:ascii="Arial" w:eastAsia="Arial" w:hAnsi="Arial" w:cs="Arial"/>
              </w:rPr>
              <w:t>гэж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тус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тус</w:t>
            </w:r>
            <w:proofErr w:type="spellEnd"/>
            <w:r w:rsidRPr="008517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eastAsia="Arial" w:hAnsi="Arial" w:cs="Arial"/>
              </w:rPr>
              <w:t>нэмэв</w:t>
            </w:r>
            <w:proofErr w:type="spellEnd"/>
            <w:r w:rsidRPr="0085179D">
              <w:rPr>
                <w:rFonts w:ascii="Arial" w:eastAsia="Arial" w:hAnsi="Arial" w:cs="Arial"/>
              </w:rPr>
              <w:t>.</w:t>
            </w:r>
          </w:p>
        </w:tc>
      </w:tr>
      <w:tr w:rsidR="00FC67C1" w:rsidRPr="002D735D" w14:paraId="25BA915B" w14:textId="77777777" w:rsidTr="00AF5818">
        <w:tc>
          <w:tcPr>
            <w:tcW w:w="732" w:type="dxa"/>
          </w:tcPr>
          <w:p w14:paraId="0559C1E5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r w:rsidRPr="0085179D">
              <w:rPr>
                <w:rFonts w:ascii="Arial" w:hAnsi="Arial" w:cs="Arial"/>
              </w:rPr>
              <w:t>15</w:t>
            </w:r>
          </w:p>
        </w:tc>
        <w:tc>
          <w:tcPr>
            <w:tcW w:w="2214" w:type="dxa"/>
          </w:tcPr>
          <w:p w14:paraId="5F702C01" w14:textId="77777777" w:rsidR="00FC67C1" w:rsidRPr="002D735D" w:rsidRDefault="00FC67C1" w:rsidP="00AF5818">
            <w:pPr>
              <w:spacing w:after="0"/>
              <w:jc w:val="both"/>
              <w:rPr>
                <w:rFonts w:ascii="Arial" w:hAnsi="Arial" w:cs="Arial"/>
                <w:color w:val="FF0000"/>
                <w:shd w:val="clear" w:color="auto" w:fill="FFFFFF"/>
                <w:lang w:val="ru-RU"/>
              </w:rPr>
            </w:pPr>
            <w:r w:rsidRPr="002D735D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Төрийн өмчийн бодлого зохицуулалтын газар</w:t>
            </w:r>
          </w:p>
        </w:tc>
        <w:tc>
          <w:tcPr>
            <w:tcW w:w="1449" w:type="dxa"/>
            <w:vAlign w:val="center"/>
          </w:tcPr>
          <w:p w14:paraId="6D551CF2" w14:textId="77777777" w:rsidR="00FC67C1" w:rsidRPr="002D735D" w:rsidRDefault="00FC67C1" w:rsidP="00AF5818">
            <w:pPr>
              <w:spacing w:after="0"/>
              <w:jc w:val="both"/>
              <w:rPr>
                <w:rFonts w:ascii="Arial" w:eastAsia="Arial" w:hAnsi="Arial" w:cs="Arial"/>
                <w:lang w:val="ru-RU"/>
              </w:rPr>
            </w:pPr>
            <w:r w:rsidRPr="002D735D">
              <w:rPr>
                <w:rFonts w:ascii="Arial" w:eastAsia="Arial" w:hAnsi="Arial" w:cs="Arial"/>
                <w:lang w:val="ru-RU"/>
              </w:rPr>
              <w:t>6 дугаар зүйл. Кадастрын талаар төрийн байгууллагын чиг үүрэг.</w:t>
            </w:r>
          </w:p>
        </w:tc>
        <w:tc>
          <w:tcPr>
            <w:tcW w:w="5953" w:type="dxa"/>
            <w:vAlign w:val="center"/>
          </w:tcPr>
          <w:p w14:paraId="7544500B" w14:textId="77777777" w:rsidR="00FC67C1" w:rsidRPr="0085179D" w:rsidRDefault="00FC67C1" w:rsidP="00AF5818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85179D">
              <w:rPr>
                <w:rFonts w:ascii="Arial" w:hAnsi="Arial" w:cs="Arial"/>
              </w:rPr>
              <w:t>Энэ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  <w:proofErr w:type="spellStart"/>
            <w:r w:rsidRPr="0085179D">
              <w:rPr>
                <w:rFonts w:ascii="Arial" w:hAnsi="Arial" w:cs="Arial"/>
              </w:rPr>
              <w:t>зүйлд</w:t>
            </w:r>
            <w:proofErr w:type="spellEnd"/>
            <w:r w:rsidRPr="0085179D">
              <w:rPr>
                <w:rFonts w:ascii="Arial" w:hAnsi="Arial" w:cs="Arial"/>
              </w:rPr>
              <w:t xml:space="preserve"> </w:t>
            </w:r>
          </w:p>
          <w:p w14:paraId="58BFB7FF" w14:textId="77777777" w:rsidR="00FC67C1" w:rsidRPr="0085179D" w:rsidRDefault="00FC67C1" w:rsidP="00FC67C1">
            <w:pPr>
              <w:pStyle w:val="ListParagraph"/>
              <w:numPr>
                <w:ilvl w:val="1"/>
                <w:numId w:val="1"/>
              </w:numPr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85179D">
              <w:rPr>
                <w:rFonts w:ascii="Arial" w:hAnsi="Arial" w:cs="Arial"/>
                <w:lang w:val="mn-MN"/>
              </w:rPr>
              <w:t>Төрийн болон орон нутгийн өмчит, өмчийн оролцоотой хуулийн этгээдийн газрын тухай мэдээллийг дундын мэдээллийн санд байршуулах</w:t>
            </w:r>
          </w:p>
          <w:p w14:paraId="4E02912B" w14:textId="77777777" w:rsidR="00FC67C1" w:rsidRPr="0085179D" w:rsidRDefault="00FC67C1" w:rsidP="00AF5818">
            <w:pPr>
              <w:pStyle w:val="ListParagraph"/>
              <w:spacing w:after="0"/>
              <w:ind w:left="1440"/>
              <w:jc w:val="both"/>
              <w:rPr>
                <w:rFonts w:ascii="Arial" w:hAnsi="Arial" w:cs="Arial"/>
                <w:lang w:val="mn-MN"/>
              </w:rPr>
            </w:pPr>
            <w:r w:rsidRPr="0085179D">
              <w:rPr>
                <w:rFonts w:ascii="Arial" w:hAnsi="Arial" w:cs="Arial"/>
                <w:lang w:val="mn-MN"/>
              </w:rPr>
              <w:t>Мэдээллийн санд өмчийн асуудал эрхэлсэн байгууллага холбогдох боломжтой байхаар зохицуулах</w:t>
            </w:r>
          </w:p>
        </w:tc>
        <w:tc>
          <w:tcPr>
            <w:tcW w:w="3969" w:type="dxa"/>
            <w:vAlign w:val="center"/>
          </w:tcPr>
          <w:p w14:paraId="53880F2A" w14:textId="77777777" w:rsidR="00FC67C1" w:rsidRPr="002D735D" w:rsidRDefault="00FC67C1" w:rsidP="00AF5818">
            <w:pPr>
              <w:spacing w:after="0"/>
              <w:jc w:val="both"/>
              <w:rPr>
                <w:rFonts w:ascii="Arial" w:eastAsia="Arial" w:hAnsi="Arial" w:cs="Arial"/>
                <w:color w:val="FF0000"/>
                <w:lang w:val="mn-MN"/>
              </w:rPr>
            </w:pPr>
            <w:r w:rsidRPr="002D735D">
              <w:rPr>
                <w:rFonts w:ascii="Arial" w:eastAsia="Arial" w:hAnsi="Arial" w:cs="Arial"/>
                <w:lang w:val="mn-MN"/>
              </w:rPr>
              <w:t>Энэ асуудлыг Газрын ерөнхий хуульд тусгасан.</w:t>
            </w:r>
          </w:p>
        </w:tc>
      </w:tr>
    </w:tbl>
    <w:p w14:paraId="01671466" w14:textId="77777777" w:rsidR="00FC67C1" w:rsidRPr="002D735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  <w:lang w:val="mn-MN"/>
        </w:rPr>
      </w:pPr>
    </w:p>
    <w:p w14:paraId="6A863357" w14:textId="77777777" w:rsidR="00FC67C1" w:rsidRPr="002D735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  <w:lang w:val="mn-MN"/>
        </w:rPr>
      </w:pPr>
    </w:p>
    <w:p w14:paraId="396C89D7" w14:textId="77777777" w:rsidR="00FC67C1" w:rsidRPr="0085179D" w:rsidRDefault="00FC67C1" w:rsidP="00FC67C1">
      <w:pPr>
        <w:shd w:val="clear" w:color="auto" w:fill="FFFFFF"/>
        <w:tabs>
          <w:tab w:val="left" w:pos="851"/>
          <w:tab w:val="left" w:pos="1134"/>
        </w:tabs>
        <w:spacing w:after="150"/>
        <w:ind w:left="720"/>
        <w:contextualSpacing/>
        <w:jc w:val="center"/>
        <w:textAlignment w:val="top"/>
        <w:rPr>
          <w:rFonts w:ascii="Arial" w:eastAsia="Times New Roman" w:hAnsi="Arial" w:cs="Arial"/>
        </w:rPr>
      </w:pPr>
      <w:r w:rsidRPr="0085179D">
        <w:rPr>
          <w:rFonts w:ascii="Arial" w:eastAsia="Times New Roman" w:hAnsi="Arial" w:cs="Arial"/>
        </w:rPr>
        <w:t>БАРИЛГА, ХОТ БАЙГУУЛАЛТЫН ЯАМ</w:t>
      </w:r>
    </w:p>
    <w:p w14:paraId="13F0DE5E" w14:textId="77777777" w:rsidR="00FC67C1" w:rsidRPr="0085179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</w:rPr>
      </w:pPr>
    </w:p>
    <w:p w14:paraId="1A8F66C9" w14:textId="77777777" w:rsidR="00FC67C1" w:rsidRPr="0085179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</w:rPr>
      </w:pPr>
    </w:p>
    <w:p w14:paraId="0A66EE10" w14:textId="77777777" w:rsidR="00FC67C1" w:rsidRPr="0085179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</w:rPr>
      </w:pPr>
    </w:p>
    <w:p w14:paraId="29C78267" w14:textId="77777777" w:rsidR="00FC67C1" w:rsidRPr="0085179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</w:rPr>
      </w:pPr>
    </w:p>
    <w:p w14:paraId="65E271CC" w14:textId="77777777" w:rsidR="00FC67C1" w:rsidRPr="0085179D" w:rsidRDefault="00FC67C1" w:rsidP="00FC67C1">
      <w:pPr>
        <w:spacing w:after="0" w:line="240" w:lineRule="auto"/>
        <w:jc w:val="center"/>
        <w:rPr>
          <w:rFonts w:ascii="Arial" w:eastAsia="Arial" w:hAnsi="Arial" w:cs="Arial"/>
          <w:smallCaps/>
        </w:rPr>
      </w:pPr>
    </w:p>
    <w:p w14:paraId="09B2BDF5" w14:textId="77777777" w:rsidR="000B70E3" w:rsidRDefault="000B70E3"/>
    <w:sectPr w:rsidR="000B70E3" w:rsidSect="00FC67C1">
      <w:pgSz w:w="16839" w:h="11907" w:orient="landscape" w:code="9"/>
      <w:pgMar w:top="851" w:right="238" w:bottom="993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642"/>
    <w:multiLevelType w:val="hybridMultilevel"/>
    <w:tmpl w:val="9D2AE054"/>
    <w:lvl w:ilvl="0" w:tplc="65DE6DA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/>
        <w:b w:val="0"/>
        <w:bCs w:val="0"/>
      </w:rPr>
    </w:lvl>
    <w:lvl w:ilvl="1" w:tplc="053E688A">
      <w:start w:val="1967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C1"/>
    <w:rsid w:val="00012E31"/>
    <w:rsid w:val="000164B0"/>
    <w:rsid w:val="000B70E3"/>
    <w:rsid w:val="00264A03"/>
    <w:rsid w:val="002D735D"/>
    <w:rsid w:val="00A60911"/>
    <w:rsid w:val="00DC11EE"/>
    <w:rsid w:val="00F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7510"/>
  <w15:chartTrackingRefBased/>
  <w15:docId w15:val="{C0D8285E-60FA-41D0-BC07-15AE1B61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Paragraphe de liste1,List Paragraph1,List Paragraph11,Heading Number,References,Dot pt,No Spacing1,List Paragraph Char Char Char,Indicator Text,Numbered Para 1,List Paragraph12,Bullet Points,MAIN CONTENT,Bullet 1,LIST,Дэд гарчиг,L"/>
    <w:basedOn w:val="Normal"/>
    <w:link w:val="ListParagraphChar"/>
    <w:uiPriority w:val="34"/>
    <w:qFormat/>
    <w:rsid w:val="00FC67C1"/>
    <w:pPr>
      <w:ind w:left="720"/>
      <w:contextualSpacing/>
    </w:pPr>
    <w:rPr>
      <w:lang w:val="en-AU"/>
    </w:rPr>
  </w:style>
  <w:style w:type="character" w:customStyle="1" w:styleId="ListParagraphChar">
    <w:name w:val="List Paragraph Char"/>
    <w:aliases w:val="Bullets Char,Paragraphe de liste1 Char,List Paragraph1 Char,List Paragraph11 Char,Heading Number Char,References Char,Dot pt Char,No Spacing1 Char,List Paragraph Char Char Char Char,Indicator Text Char,Numbered Para 1 Char,LIST Char"/>
    <w:link w:val="ListParagraph"/>
    <w:uiPriority w:val="34"/>
    <w:qFormat/>
    <w:locked/>
    <w:rsid w:val="00FC67C1"/>
    <w:rPr>
      <w:lang w:val="en-AU"/>
    </w:rPr>
  </w:style>
  <w:style w:type="paragraph" w:styleId="NormalWeb">
    <w:name w:val="Normal (Web)"/>
    <w:basedOn w:val="Normal"/>
    <w:uiPriority w:val="99"/>
    <w:unhideWhenUsed/>
    <w:rsid w:val="00FC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MCUD</dc:creator>
  <cp:keywords/>
  <dc:description/>
  <cp:lastModifiedBy>MCUD</cp:lastModifiedBy>
  <cp:revision>2</cp:revision>
  <dcterms:created xsi:type="dcterms:W3CDTF">2022-05-24T02:48:00Z</dcterms:created>
  <dcterms:modified xsi:type="dcterms:W3CDTF">2022-05-24T02:48:00Z</dcterms:modified>
</cp:coreProperties>
</file>