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E64EC" w14:textId="77777777" w:rsidR="00543CAB" w:rsidRDefault="00543CAB" w:rsidP="00543CAB">
      <w:pPr>
        <w:spacing w:line="180" w:lineRule="atLeast"/>
        <w:jc w:val="center"/>
        <w:rPr>
          <w:color w:val="000000"/>
          <w:sz w:val="18"/>
          <w:szCs w:val="18"/>
        </w:rPr>
      </w:pPr>
    </w:p>
    <w:p w14:paraId="57C26A4E" w14:textId="77777777" w:rsidR="00543CAB" w:rsidRPr="00906410" w:rsidRDefault="00543CAB" w:rsidP="00A47C9F">
      <w:pPr>
        <w:spacing w:line="360" w:lineRule="auto"/>
        <w:jc w:val="center"/>
        <w:rPr>
          <w:rFonts w:ascii="Arial" w:hAnsi="Arial" w:cs="Arial"/>
          <w:b/>
          <w:bCs/>
        </w:rPr>
      </w:pPr>
      <w:r w:rsidRPr="00906410">
        <w:rPr>
          <w:rFonts w:ascii="Arial" w:hAnsi="Arial" w:cs="Arial"/>
          <w:b/>
          <w:bCs/>
        </w:rPr>
        <w:t>МОНГОЛ УЛСЫН ХУУЛЬ</w:t>
      </w:r>
    </w:p>
    <w:p w14:paraId="5875117E" w14:textId="77777777" w:rsidR="00543CAB" w:rsidRPr="00906410" w:rsidRDefault="00543CAB" w:rsidP="00CF150F">
      <w:pPr>
        <w:spacing w:line="360" w:lineRule="auto"/>
        <w:jc w:val="both"/>
        <w:rPr>
          <w:rFonts w:ascii="Arial" w:hAnsi="Arial" w:cs="Arial"/>
        </w:rPr>
      </w:pPr>
      <w:r w:rsidRPr="00906410">
        <w:rPr>
          <w:rFonts w:ascii="Arial" w:hAnsi="Arial" w:cs="Arial"/>
        </w:rPr>
        <w:t>20</w:t>
      </w:r>
      <w:r w:rsidRPr="00906410">
        <w:rPr>
          <w:rFonts w:ascii="Arial" w:hAnsi="Arial" w:cs="Arial"/>
          <w:lang w:val="mn-MN"/>
        </w:rPr>
        <w:t>22</w:t>
      </w:r>
      <w:r w:rsidRPr="00906410">
        <w:rPr>
          <w:rFonts w:ascii="Arial" w:hAnsi="Arial" w:cs="Arial"/>
        </w:rPr>
        <w:t xml:space="preserve"> оны </w:t>
      </w:r>
      <w:r w:rsidRPr="00906410">
        <w:rPr>
          <w:rFonts w:ascii="Arial" w:hAnsi="Arial" w:cs="Arial"/>
          <w:lang w:val="mn-MN"/>
        </w:rPr>
        <w:t>...</w:t>
      </w:r>
      <w:r w:rsidRPr="00906410">
        <w:rPr>
          <w:rFonts w:ascii="Arial" w:hAnsi="Arial" w:cs="Arial"/>
        </w:rPr>
        <w:t xml:space="preserve"> дүгээр сарын </w:t>
      </w:r>
      <w:r w:rsidRPr="00906410">
        <w:rPr>
          <w:rFonts w:ascii="Arial" w:hAnsi="Arial" w:cs="Arial"/>
          <w:lang w:val="mn-MN"/>
        </w:rPr>
        <w:t>...</w:t>
      </w:r>
      <w:r w:rsidRPr="00906410">
        <w:rPr>
          <w:rFonts w:ascii="Arial" w:hAnsi="Arial" w:cs="Arial"/>
        </w:rPr>
        <w:t>-ний өдөр</w:t>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00A47C9F" w:rsidRPr="00906410">
        <w:rPr>
          <w:rFonts w:ascii="Arial" w:hAnsi="Arial" w:cs="Arial"/>
        </w:rPr>
        <w:tab/>
      </w:r>
      <w:r w:rsidRPr="00906410">
        <w:rPr>
          <w:rFonts w:ascii="Arial" w:hAnsi="Arial" w:cs="Arial"/>
        </w:rPr>
        <w:t>Улаанбаатар хот</w:t>
      </w:r>
    </w:p>
    <w:p w14:paraId="1E2D02D7" w14:textId="77777777" w:rsidR="00A47C9F" w:rsidRPr="00906410" w:rsidRDefault="00A47C9F" w:rsidP="00A47C9F">
      <w:pPr>
        <w:pStyle w:val="NormalWeb"/>
        <w:spacing w:after="0" w:line="360" w:lineRule="auto"/>
        <w:jc w:val="center"/>
        <w:rPr>
          <w:rFonts w:ascii="Arial" w:hAnsi="Arial" w:cs="Arial"/>
          <w:b/>
          <w:bCs/>
          <w:caps/>
        </w:rPr>
      </w:pPr>
    </w:p>
    <w:p w14:paraId="3FD2B371" w14:textId="77777777" w:rsidR="00543CAB" w:rsidRPr="00906410" w:rsidRDefault="00543CAB" w:rsidP="00A47C9F">
      <w:pPr>
        <w:pStyle w:val="NormalWeb"/>
        <w:spacing w:after="0" w:line="360" w:lineRule="auto"/>
        <w:jc w:val="center"/>
        <w:rPr>
          <w:rFonts w:ascii="Arial" w:hAnsi="Arial" w:cs="Arial"/>
          <w:b/>
          <w:bCs/>
          <w:caps/>
          <w:lang w:val="mn-MN"/>
        </w:rPr>
      </w:pPr>
      <w:r w:rsidRPr="00906410">
        <w:rPr>
          <w:rFonts w:ascii="Arial" w:hAnsi="Arial" w:cs="Arial"/>
          <w:b/>
          <w:bCs/>
          <w:caps/>
        </w:rPr>
        <w:t>ДОНОРЫН ТУХАЙ</w:t>
      </w:r>
      <w:r w:rsidRPr="00906410">
        <w:rPr>
          <w:rFonts w:ascii="Arial" w:hAnsi="Arial" w:cs="Arial"/>
          <w:b/>
          <w:bCs/>
          <w:caps/>
          <w:lang w:val="mn-MN"/>
        </w:rPr>
        <w:t xml:space="preserve"> хуульд өөрчлөлт оруулах тухай</w:t>
      </w:r>
    </w:p>
    <w:p w14:paraId="113ADEE1" w14:textId="77777777" w:rsidR="00543CAB" w:rsidRPr="00906410" w:rsidRDefault="00543CAB" w:rsidP="00CF150F">
      <w:pPr>
        <w:spacing w:line="360" w:lineRule="auto"/>
        <w:jc w:val="both"/>
        <w:rPr>
          <w:rFonts w:ascii="Arial" w:hAnsi="Arial" w:cs="Arial"/>
          <w:b/>
          <w:bCs/>
          <w:caps/>
        </w:rPr>
      </w:pPr>
    </w:p>
    <w:p w14:paraId="1A8515A3" w14:textId="77777777" w:rsidR="00543CAB" w:rsidRPr="00906410" w:rsidRDefault="00543CAB" w:rsidP="00CF150F">
      <w:pPr>
        <w:spacing w:line="360" w:lineRule="auto"/>
        <w:ind w:firstLine="567"/>
        <w:jc w:val="both"/>
        <w:rPr>
          <w:rFonts w:ascii="Arial" w:hAnsi="Arial" w:cs="Arial"/>
          <w:b/>
          <w:bCs/>
          <w:lang w:val="mn-MN"/>
        </w:rPr>
      </w:pPr>
      <w:r w:rsidRPr="00906410">
        <w:rPr>
          <w:rFonts w:ascii="Arial" w:hAnsi="Arial" w:cs="Arial"/>
          <w:b/>
          <w:bCs/>
        </w:rPr>
        <w:t>1 дүгээр зүйл</w:t>
      </w:r>
      <w:r w:rsidRPr="00906410">
        <w:rPr>
          <w:rFonts w:ascii="Arial" w:hAnsi="Arial" w:cs="Arial"/>
          <w:b/>
          <w:bCs/>
          <w:lang w:val="mn-MN"/>
        </w:rPr>
        <w:t xml:space="preserve">. </w:t>
      </w:r>
      <w:r w:rsidR="00CF150F" w:rsidRPr="00906410">
        <w:rPr>
          <w:rFonts w:ascii="Arial" w:hAnsi="Arial" w:cs="Arial"/>
          <w:bCs/>
          <w:lang w:val="mn-MN"/>
        </w:rPr>
        <w:t>Дөрөвдүгээр бүлгийн нэрийг “Донороос эс, эд, эрхтэн авах, шинжлэх, хадгалах, тээвэрлэх, шилжүүлэн суулгах, устгах” гэж, 19 дүгээр зүйлийн нэрийг “Донороос эс, эд, эрхтнийг эмчилгээний зориулалтаар авах, шинжлэх, хадгалах, тээвэрлэх, шилжүүлэн суулгах, устгах” гэж</w:t>
      </w:r>
      <w:r w:rsidR="00A47C9F" w:rsidRPr="00906410">
        <w:rPr>
          <w:rFonts w:ascii="Arial" w:hAnsi="Arial" w:cs="Arial"/>
          <w:bCs/>
          <w:lang w:val="mn-MN"/>
        </w:rPr>
        <w:t>, 20 дугаар зүйлийн нэрийг “Донорын эс, эд эрхтнийг улсын хилээр нэвтрүүлэх” гэж тус тус ө</w:t>
      </w:r>
      <w:r w:rsidRPr="00906410">
        <w:rPr>
          <w:rFonts w:ascii="Arial" w:hAnsi="Arial" w:cs="Arial"/>
          <w:bCs/>
          <w:lang w:val="mn-MN"/>
        </w:rPr>
        <w:t>өрчилсүгэй</w:t>
      </w:r>
    </w:p>
    <w:p w14:paraId="7E9BD505" w14:textId="77777777" w:rsidR="00543CAB" w:rsidRPr="00906410" w:rsidRDefault="00543CAB" w:rsidP="00CF150F">
      <w:pPr>
        <w:spacing w:line="360" w:lineRule="auto"/>
        <w:ind w:firstLine="567"/>
        <w:jc w:val="both"/>
        <w:rPr>
          <w:rFonts w:ascii="Arial" w:hAnsi="Arial" w:cs="Arial"/>
          <w:b/>
          <w:bCs/>
          <w:lang w:val="mn-MN"/>
        </w:rPr>
      </w:pPr>
      <w:r w:rsidRPr="00906410">
        <w:rPr>
          <w:rFonts w:ascii="Arial" w:hAnsi="Arial" w:cs="Arial"/>
          <w:b/>
          <w:bCs/>
          <w:lang w:val="mn-MN"/>
        </w:rPr>
        <w:t xml:space="preserve">2 дугаар зүйл. </w:t>
      </w:r>
      <w:r w:rsidR="0017003C" w:rsidRPr="00906410">
        <w:rPr>
          <w:rFonts w:ascii="Arial" w:hAnsi="Arial" w:cs="Arial"/>
          <w:bCs/>
          <w:lang w:val="mn-MN"/>
        </w:rPr>
        <w:t>Донорын тухай хуулийн 1 дүгээр зүлийн 1.1 дэх хэсгийн , 10 дугаар зүйлийн 10.1 дэх хэсгийн 10.1.1 дэх заалтын, 12 дугаар зүйлийн 12.1 дэх хэсгийн, 13 дугаар зүйлийн 13.1 дэх хэсгийн 13.1.1 дэх заалтын</w:t>
      </w:r>
      <w:r w:rsidR="00CF150F" w:rsidRPr="00906410">
        <w:rPr>
          <w:rFonts w:ascii="Arial" w:hAnsi="Arial" w:cs="Arial"/>
          <w:bCs/>
          <w:lang w:val="mn-MN"/>
        </w:rPr>
        <w:t>, 13 дугаар зүйлийн 13.1 дэх хэсгийн 13.1.4 дэх заалтын, , 19 дүгээр зүйлийн 19.1 дэх хэсгийн</w:t>
      </w:r>
      <w:r w:rsidR="0017003C" w:rsidRPr="00906410">
        <w:rPr>
          <w:rFonts w:ascii="Arial" w:hAnsi="Arial" w:cs="Arial"/>
          <w:bCs/>
          <w:lang w:val="mn-MN"/>
        </w:rPr>
        <w:t xml:space="preserve"> “цус,” гэснийг, 1 дүгээр зүлийн 1.1 дэх хэсгийн “,цусны аюулгүй байдлыг хангах цогц үйл ажиллагаа” гэснийг, 2 дугаар зүйлийн 2.1 дэх хэсгийн “Монголын улаан загалмай нийгэмлэгийн эрх зүйн байдлын тухай хууль,” гэснийг, 3 дугаар зүйлийн 3.1 дэх хэсгийн “,цус, цусан бүтээгдэхүүн сэлбүүлэх” гэснийг, 6 дугаар зүйлийн 6.1 дэх хэсгийн 6.1.1 дэх заалтын, мөн зүйлийн мөн хэсгийн 6.1.3 дахь заалтын 7 дугаар зүйлийн 7.1 дэх хэсгийн 7.1.2 дахь заалтын, мөн зүйлийн мөн хэсгийн  7.1.3 дахь заалтын, мөн зүйлийн мөн хэсгийн  7.1.5 дахь заалтын “цусны аюулгүй байдал,” гэснийг, 11 дүгээр зүйлийн 11.3 дахь хэсгийн “Донорын цус, цусан бүтээгдэхүүн болон” гэснийг</w:t>
      </w:r>
      <w:r w:rsidR="00CF150F" w:rsidRPr="00906410">
        <w:rPr>
          <w:rFonts w:ascii="Arial" w:hAnsi="Arial" w:cs="Arial"/>
          <w:bCs/>
          <w:lang w:val="mn-MN"/>
        </w:rPr>
        <w:t>, 13 дугаар зүйлийн 13.1 дэх хэсгийн 13.1.3 дахь заалтын “цус сэлбүүлэх,” гэснийг, 13 дугаар зүйлийн 13.1 дэх хэсгийн 13.1.3 дахь заалтын “донор цус сэлбэсэн,” гэснийг, 16 дугаар зүйлийн 16.1 дэх хэсгийн “цус, цусан бүтээгдэхүүн сэлбүүлэх,” гэснийг, 16 дугаар зүйлийн 16.2 дахь хэсгийн “цус, цусан бүтээгдэхүүн сэлбэх,” гэснийг, 19 дүгээр зүйлийн 19.2 дахь хэсгийн, 20 дугаар зүйлийн 20.3 дахь хэсгийн “цус, цусан бүтээгдэхүүн,” гэснийг, 20 дугаар зүйлийн 20.2 дахь хэсгийн “,цус, цусан бүтээгдэхүүнийг экспортолж, импортолж” гэснийг тус тус х</w:t>
      </w:r>
      <w:r w:rsidRPr="00906410">
        <w:rPr>
          <w:rFonts w:ascii="Arial" w:hAnsi="Arial" w:cs="Arial"/>
          <w:bCs/>
          <w:lang w:val="mn-MN"/>
        </w:rPr>
        <w:t>ассугай</w:t>
      </w:r>
      <w:r w:rsidRPr="00906410">
        <w:rPr>
          <w:rFonts w:ascii="Arial" w:hAnsi="Arial" w:cs="Arial"/>
          <w:b/>
          <w:bCs/>
          <w:lang w:val="mn-MN"/>
        </w:rPr>
        <w:t xml:space="preserve"> </w:t>
      </w:r>
    </w:p>
    <w:p w14:paraId="3B48139B" w14:textId="77777777" w:rsidR="00543CAB" w:rsidRPr="00906410" w:rsidRDefault="00543CAB" w:rsidP="00CF150F">
      <w:pPr>
        <w:spacing w:line="360" w:lineRule="auto"/>
        <w:ind w:firstLine="567"/>
        <w:jc w:val="both"/>
        <w:rPr>
          <w:rFonts w:ascii="Arial" w:hAnsi="Arial" w:cs="Arial"/>
          <w:bCs/>
          <w:lang w:val="mn-MN"/>
        </w:rPr>
      </w:pPr>
      <w:r w:rsidRPr="00906410">
        <w:rPr>
          <w:rFonts w:ascii="Arial" w:hAnsi="Arial" w:cs="Arial"/>
          <w:b/>
          <w:bCs/>
          <w:lang w:val="mn-MN"/>
        </w:rPr>
        <w:t xml:space="preserve">3 дугаар зүйл. </w:t>
      </w:r>
      <w:r w:rsidRPr="00906410">
        <w:rPr>
          <w:rFonts w:ascii="Arial" w:hAnsi="Arial" w:cs="Arial"/>
          <w:bCs/>
          <w:lang w:val="mn-MN"/>
        </w:rPr>
        <w:t xml:space="preserve">Донорын тухай хуулийн Тавдугаар бүлгийг, 8 дугаар зүйлийг, 5 дугаар зүйлийн 5.1 дэх хэсгийг, 11 дүгээр зүйлийн 11.1 дэх хэсгийг, 12 дугаар зүйлийн 12.4 дэх хэсгийг, 20 дугаар зүйлийн 20.1 дэх хэсгийг, 3 дугаар зүйлийн 3.1 дэх хэсгийн 3.1.5 дахь заалтыг, 3 дугаар зүйлийн 3.1 дэх хэсгийн 3.1.6 дахь заалтыг, 3 дугаар зүйлийн 3.1 дэх хэсгийн 3.1.7 дахь заалтыг, 3 дугаар зүйлийн 3.1 дэх хэсгийн 3.1.8 дахь заалтыг, 3 дугаар зүйлийн 3.1 дэх хэсгийн 3.1.9 дэх заалтыг, 6 дугаар зүйлийн </w:t>
      </w:r>
      <w:r w:rsidRPr="00906410">
        <w:rPr>
          <w:rFonts w:ascii="Arial" w:hAnsi="Arial" w:cs="Arial"/>
          <w:bCs/>
          <w:lang w:val="mn-MN"/>
        </w:rPr>
        <w:lastRenderedPageBreak/>
        <w:t>6.1 дэх хэсгийн 6.1.4 дэх заалтыг, 13 дугаар зүйлийн 13.1 дэх хэсгийн 13.1.6 дахь заалтыг тус тус хүч</w:t>
      </w:r>
      <w:r w:rsidR="00906410">
        <w:rPr>
          <w:rFonts w:ascii="Arial" w:hAnsi="Arial" w:cs="Arial"/>
          <w:bCs/>
          <w:lang w:val="mn-MN"/>
        </w:rPr>
        <w:t>и</w:t>
      </w:r>
      <w:r w:rsidRPr="00906410">
        <w:rPr>
          <w:rFonts w:ascii="Arial" w:hAnsi="Arial" w:cs="Arial"/>
          <w:bCs/>
          <w:lang w:val="mn-MN"/>
        </w:rPr>
        <w:t>нгүй болсонд тооцсугай.</w:t>
      </w:r>
    </w:p>
    <w:p w14:paraId="572505A3" w14:textId="77777777" w:rsidR="00543CAB" w:rsidRPr="00906410" w:rsidRDefault="00543CAB" w:rsidP="00CF150F">
      <w:pPr>
        <w:spacing w:line="360" w:lineRule="auto"/>
        <w:ind w:firstLine="567"/>
        <w:jc w:val="both"/>
        <w:rPr>
          <w:rFonts w:ascii="Arial" w:hAnsi="Arial" w:cs="Arial"/>
          <w:bCs/>
          <w:caps/>
          <w:lang w:val="mn-MN"/>
        </w:rPr>
      </w:pPr>
      <w:r w:rsidRPr="00906410">
        <w:rPr>
          <w:rFonts w:ascii="Arial" w:hAnsi="Arial" w:cs="Arial"/>
          <w:bCs/>
          <w:lang w:val="mn-MN"/>
        </w:rPr>
        <w:t xml:space="preserve"> </w:t>
      </w:r>
    </w:p>
    <w:p w14:paraId="4256205F" w14:textId="77777777" w:rsidR="00543CAB" w:rsidRPr="00906410" w:rsidRDefault="00543CAB" w:rsidP="00543CAB">
      <w:pPr>
        <w:spacing w:line="180" w:lineRule="atLeast"/>
        <w:jc w:val="center"/>
        <w:rPr>
          <w:rFonts w:ascii="Arial" w:hAnsi="Arial" w:cs="Arial"/>
          <w:b/>
          <w:bCs/>
          <w:caps/>
          <w:sz w:val="20"/>
          <w:szCs w:val="20"/>
        </w:rPr>
      </w:pPr>
    </w:p>
    <w:p w14:paraId="7D24B466" w14:textId="77777777" w:rsidR="00543CAB" w:rsidRPr="00906410" w:rsidRDefault="00543CAB" w:rsidP="00543CAB">
      <w:pPr>
        <w:spacing w:line="180" w:lineRule="atLeast"/>
        <w:jc w:val="center"/>
        <w:rPr>
          <w:rFonts w:ascii="Arial" w:hAnsi="Arial" w:cs="Arial"/>
          <w:b/>
          <w:bCs/>
          <w:caps/>
          <w:sz w:val="20"/>
          <w:szCs w:val="20"/>
        </w:rPr>
      </w:pPr>
    </w:p>
    <w:p w14:paraId="0429AFBC" w14:textId="77777777" w:rsidR="00A47C9F" w:rsidRPr="00906410" w:rsidRDefault="00A47C9F" w:rsidP="00543CAB">
      <w:pPr>
        <w:spacing w:line="180" w:lineRule="atLeast"/>
        <w:jc w:val="center"/>
        <w:rPr>
          <w:rFonts w:ascii="Arial" w:hAnsi="Arial" w:cs="Arial"/>
          <w:b/>
          <w:bCs/>
          <w:caps/>
          <w:sz w:val="20"/>
          <w:szCs w:val="20"/>
        </w:rPr>
      </w:pPr>
    </w:p>
    <w:p w14:paraId="4E476A61" w14:textId="77777777" w:rsidR="00A47C9F" w:rsidRPr="00906410" w:rsidRDefault="00A47C9F" w:rsidP="00543CAB">
      <w:pPr>
        <w:spacing w:line="180" w:lineRule="atLeast"/>
        <w:jc w:val="center"/>
        <w:rPr>
          <w:rFonts w:ascii="Arial" w:hAnsi="Arial" w:cs="Arial"/>
          <w:b/>
          <w:bCs/>
          <w:caps/>
          <w:sz w:val="20"/>
          <w:szCs w:val="20"/>
          <w:lang w:val="mn-MN"/>
        </w:rPr>
      </w:pPr>
      <w:r w:rsidRPr="00906410">
        <w:rPr>
          <w:rFonts w:ascii="Arial" w:hAnsi="Arial" w:cs="Arial"/>
          <w:b/>
          <w:bCs/>
          <w:caps/>
          <w:sz w:val="20"/>
          <w:szCs w:val="20"/>
          <w:lang w:val="mn-MN"/>
        </w:rPr>
        <w:t>хууль санаачлагч</w:t>
      </w:r>
      <w:r w:rsidR="0088647C" w:rsidRPr="00906410">
        <w:rPr>
          <w:rFonts w:ascii="Arial" w:hAnsi="Arial" w:cs="Arial"/>
          <w:b/>
          <w:bCs/>
          <w:caps/>
          <w:sz w:val="20"/>
          <w:szCs w:val="20"/>
          <w:lang w:val="mn-MN"/>
        </w:rPr>
        <w:t>ид</w:t>
      </w:r>
    </w:p>
    <w:sectPr w:rsidR="00A47C9F" w:rsidRPr="00906410">
      <w:pgSz w:w="11909" w:h="16834"/>
      <w:pgMar w:top="864" w:right="864" w:bottom="864" w:left="1440" w:header="288"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A3F"/>
    <w:rsid w:val="00051DD5"/>
    <w:rsid w:val="000F7249"/>
    <w:rsid w:val="0017003C"/>
    <w:rsid w:val="00543CAB"/>
    <w:rsid w:val="00687A3F"/>
    <w:rsid w:val="006D6713"/>
    <w:rsid w:val="006E0DD0"/>
    <w:rsid w:val="0088647C"/>
    <w:rsid w:val="00906410"/>
    <w:rsid w:val="00A47C9F"/>
    <w:rsid w:val="00B04177"/>
    <w:rsid w:val="00CF150F"/>
    <w:rsid w:val="00DD14E7"/>
    <w:rsid w:val="00EC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8494"/>
  <w15:chartTrackingRefBased/>
  <w15:docId w15:val="{31B9868B-91DB-4E96-BEBE-D4C3516F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
    <w:basedOn w:val="Normal"/>
    <w:link w:val="ListParagraphChar"/>
    <w:uiPriority w:val="34"/>
    <w:qFormat/>
    <w:rsid w:val="00DD14E7"/>
    <w:pPr>
      <w:spacing w:after="200" w:line="276" w:lineRule="auto"/>
      <w:ind w:left="720"/>
      <w:contextualSpacing/>
    </w:pPr>
    <w:rPr>
      <w:rFonts w:asciiTheme="minorHAnsi" w:eastAsiaTheme="minorHAnsi" w:hAnsiTheme="minorHAnsi" w:cstheme="minorBidi"/>
      <w:sz w:val="22"/>
      <w:szCs w:val="22"/>
    </w:rPr>
  </w:style>
  <w:style w:type="paragraph" w:customStyle="1" w:styleId="NoSpacing1">
    <w:name w:val="No Spacing1"/>
    <w:uiPriority w:val="1"/>
    <w:qFormat/>
    <w:rsid w:val="00DD14E7"/>
    <w:pPr>
      <w:spacing w:after="0" w:line="240" w:lineRule="auto"/>
    </w:pPr>
    <w:rPr>
      <w:rFonts w:ascii="Calibri" w:eastAsia="Calibri" w:hAnsi="Calibri" w:cs="Times New Roman"/>
    </w:rPr>
  </w:style>
  <w:style w:type="character" w:customStyle="1" w:styleId="ListParagraphChar">
    <w:name w:val="List Paragraph Char"/>
    <w:aliases w:val="Дэд гарчиг Char"/>
    <w:basedOn w:val="DefaultParagraphFont"/>
    <w:link w:val="ListParagraph"/>
    <w:uiPriority w:val="34"/>
    <w:locked/>
    <w:rsid w:val="00DD14E7"/>
  </w:style>
  <w:style w:type="paragraph" w:styleId="NormalWeb">
    <w:name w:val="Normal (Web)"/>
    <w:basedOn w:val="Normal"/>
    <w:uiPriority w:val="99"/>
    <w:semiHidden/>
    <w:unhideWhenUsed/>
    <w:rsid w:val="00543CAB"/>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dcterms:created xsi:type="dcterms:W3CDTF">2022-07-08T09:45:00Z</dcterms:created>
  <dcterms:modified xsi:type="dcterms:W3CDTF">2022-07-08T09:45:00Z</dcterms:modified>
</cp:coreProperties>
</file>