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039" w:rsidRPr="00BB60AE" w:rsidRDefault="00957067" w:rsidP="00957067">
      <w:pPr>
        <w:tabs>
          <w:tab w:val="center" w:pos="4680"/>
          <w:tab w:val="left" w:pos="6330"/>
        </w:tabs>
        <w:jc w:val="center"/>
        <w:rPr>
          <w:rFonts w:ascii="Arial" w:hAnsi="Arial" w:cs="Arial"/>
          <w:b/>
          <w:sz w:val="24"/>
          <w:szCs w:val="24"/>
        </w:rPr>
      </w:pPr>
      <w:r w:rsidRPr="00BB60AE">
        <w:rPr>
          <w:rFonts w:ascii="Arial" w:hAnsi="Arial" w:cs="Arial"/>
          <w:b/>
          <w:sz w:val="24"/>
          <w:szCs w:val="24"/>
          <w:lang w:val="mn-MN"/>
        </w:rPr>
        <w:t xml:space="preserve">Валютын зохицуулалтын тухай хуулийн шинэчилсэн                                   найруулгын </w:t>
      </w:r>
      <w:r w:rsidR="006043BA">
        <w:rPr>
          <w:rFonts w:ascii="Arial" w:hAnsi="Arial" w:cs="Arial"/>
          <w:b/>
          <w:sz w:val="24"/>
          <w:szCs w:val="24"/>
        </w:rPr>
        <w:t xml:space="preserve"> </w:t>
      </w:r>
      <w:r w:rsidR="006043BA">
        <w:rPr>
          <w:rFonts w:ascii="Arial" w:hAnsi="Arial" w:cs="Arial"/>
          <w:b/>
          <w:sz w:val="24"/>
          <w:szCs w:val="24"/>
          <w:lang w:val="mn-MN"/>
        </w:rPr>
        <w:t xml:space="preserve">төслийн </w:t>
      </w:r>
      <w:r w:rsidRPr="00BB60AE">
        <w:rPr>
          <w:rFonts w:ascii="Arial" w:hAnsi="Arial" w:cs="Arial"/>
          <w:b/>
          <w:sz w:val="24"/>
          <w:szCs w:val="24"/>
          <w:lang w:val="mn-MN"/>
        </w:rPr>
        <w:t>танилцуулга</w:t>
      </w:r>
      <w:r w:rsidRPr="00BB60AE">
        <w:rPr>
          <w:rFonts w:ascii="Arial" w:hAnsi="Arial" w:cs="Arial"/>
          <w:sz w:val="24"/>
          <w:szCs w:val="24"/>
          <w:lang w:val="mn-MN"/>
        </w:rPr>
        <w:tab/>
      </w:r>
    </w:p>
    <w:p w:rsidR="009E1C32" w:rsidRPr="00BB60AE" w:rsidRDefault="0077595B" w:rsidP="00224DD4">
      <w:pPr>
        <w:ind w:firstLine="720"/>
        <w:jc w:val="both"/>
        <w:rPr>
          <w:rFonts w:ascii="Arial" w:hAnsi="Arial" w:cs="Arial"/>
          <w:sz w:val="24"/>
          <w:szCs w:val="24"/>
          <w:lang w:val="mn-MN"/>
        </w:rPr>
      </w:pPr>
      <w:r w:rsidRPr="00BB60AE">
        <w:rPr>
          <w:rFonts w:ascii="Arial" w:hAnsi="Arial" w:cs="Arial"/>
          <w:sz w:val="24"/>
          <w:szCs w:val="24"/>
          <w:lang w:val="mn-MN"/>
        </w:rPr>
        <w:t>1/</w:t>
      </w:r>
      <w:r w:rsidR="009E1C32" w:rsidRPr="00BB60AE">
        <w:rPr>
          <w:rFonts w:ascii="Arial" w:hAnsi="Arial" w:cs="Arial"/>
          <w:sz w:val="24"/>
          <w:szCs w:val="24"/>
          <w:lang w:val="mn-MN"/>
        </w:rPr>
        <w:t xml:space="preserve">Хуулийн төсөл боловсруулах </w:t>
      </w:r>
      <w:r w:rsidR="000A0035" w:rsidRPr="00BB60AE">
        <w:rPr>
          <w:rFonts w:ascii="Arial" w:hAnsi="Arial" w:cs="Arial"/>
          <w:sz w:val="24"/>
          <w:szCs w:val="24"/>
          <w:lang w:val="mn-MN"/>
        </w:rPr>
        <w:t>зорилго, ач холбогдол</w:t>
      </w:r>
      <w:r w:rsidRPr="00BB60AE">
        <w:rPr>
          <w:rFonts w:ascii="Arial" w:hAnsi="Arial" w:cs="Arial"/>
          <w:sz w:val="24"/>
          <w:szCs w:val="24"/>
          <w:lang w:val="mn-MN"/>
        </w:rPr>
        <w:t>:</w:t>
      </w:r>
    </w:p>
    <w:p w:rsidR="008A5CB1" w:rsidRPr="00BB60AE" w:rsidRDefault="00730D94" w:rsidP="00B47BC9">
      <w:pPr>
        <w:ind w:firstLine="720"/>
        <w:jc w:val="both"/>
        <w:rPr>
          <w:rFonts w:ascii="Arial" w:hAnsi="Arial" w:cs="Arial"/>
          <w:sz w:val="24"/>
          <w:szCs w:val="24"/>
          <w:lang w:val="mn-MN"/>
        </w:rPr>
      </w:pPr>
      <w:r w:rsidRPr="00BB60AE">
        <w:rPr>
          <w:rFonts w:ascii="Arial" w:hAnsi="Arial" w:cs="Arial"/>
          <w:sz w:val="24"/>
          <w:szCs w:val="24"/>
          <w:lang w:val="mn-MN"/>
        </w:rPr>
        <w:t>Монгол Улсын Засгийн Газрын 2016-2020 оны үйл ажиллагааны хөтөлбөрт иргэндээ ээлтэй, эдийн засагтаа үр өгөөжтэй банк санхүү, хөрөнгийн зах зээлийг хөгжүүлэхээр, Төрөөс мөнгөний бодлогын талаар 2017 онд баримтлах үндсэн чиглэлийн Санхүүгийн зах зээлийн дэд бүтэц, институцийг бэхжүүлэхээр тусгасан зорилтыг хэрэгжүүлэх ажлын хүрээнд Валютын зохицуулалтын тухай хуулийг боловсронгуй болгох шаардлагатай байна.</w:t>
      </w:r>
    </w:p>
    <w:p w:rsidR="00B47BC9" w:rsidRPr="00BB60AE" w:rsidRDefault="00224DD4" w:rsidP="00B47BC9">
      <w:pPr>
        <w:ind w:firstLine="360"/>
        <w:jc w:val="both"/>
        <w:rPr>
          <w:rFonts w:ascii="Arial" w:hAnsi="Arial" w:cs="Arial"/>
          <w:sz w:val="24"/>
          <w:szCs w:val="24"/>
          <w:lang w:val="mn-MN"/>
        </w:rPr>
      </w:pPr>
      <w:r w:rsidRPr="00BB60AE">
        <w:rPr>
          <w:rFonts w:ascii="Arial" w:hAnsi="Arial" w:cs="Arial"/>
          <w:sz w:val="24"/>
          <w:szCs w:val="24"/>
          <w:lang w:val="mn-MN"/>
        </w:rPr>
        <w:t xml:space="preserve">     </w:t>
      </w:r>
      <w:r w:rsidR="00B47BC9" w:rsidRPr="00BB60AE">
        <w:rPr>
          <w:rFonts w:ascii="Arial" w:hAnsi="Arial" w:cs="Arial"/>
          <w:sz w:val="24"/>
          <w:szCs w:val="24"/>
          <w:lang w:val="mn-MN"/>
        </w:rPr>
        <w:t xml:space="preserve">Хуулийн төсөл батлагдсанаар дараах </w:t>
      </w:r>
      <w:r w:rsidR="00572F91" w:rsidRPr="00BB60AE">
        <w:rPr>
          <w:rFonts w:ascii="Arial" w:hAnsi="Arial" w:cs="Arial"/>
          <w:sz w:val="24"/>
          <w:szCs w:val="24"/>
          <w:lang w:val="mn-MN"/>
        </w:rPr>
        <w:t xml:space="preserve">зорилго, </w:t>
      </w:r>
      <w:r w:rsidR="00B47BC9" w:rsidRPr="00BB60AE">
        <w:rPr>
          <w:rFonts w:ascii="Arial" w:hAnsi="Arial" w:cs="Arial"/>
          <w:sz w:val="24"/>
          <w:szCs w:val="24"/>
          <w:lang w:val="mn-MN"/>
        </w:rPr>
        <w:t>ач холбогдолтой:</w:t>
      </w:r>
    </w:p>
    <w:p w:rsidR="00572F91" w:rsidRPr="00BB60AE" w:rsidRDefault="00572F91" w:rsidP="00572F91">
      <w:pPr>
        <w:pStyle w:val="ListParagraph"/>
        <w:numPr>
          <w:ilvl w:val="0"/>
          <w:numId w:val="6"/>
        </w:numPr>
        <w:spacing w:after="160" w:line="360" w:lineRule="auto"/>
        <w:ind w:left="720"/>
        <w:contextualSpacing/>
        <w:outlineLvl w:val="0"/>
        <w:rPr>
          <w:rFonts w:ascii="Arial" w:hAnsi="Arial" w:cs="Arial"/>
          <w:color w:val="000000" w:themeColor="text1"/>
          <w:sz w:val="24"/>
          <w:szCs w:val="24"/>
          <w:lang w:val="mn-MN"/>
        </w:rPr>
      </w:pPr>
      <w:r w:rsidRPr="00BB60AE">
        <w:rPr>
          <w:rFonts w:ascii="Arial" w:hAnsi="Arial" w:cs="Arial"/>
          <w:sz w:val="24"/>
          <w:szCs w:val="24"/>
          <w:lang w:val="mn-MN"/>
        </w:rPr>
        <w:t>Валютын захын бүтэц зохион байгуулалт, гадаад валютын урсгал, гадаад валютын зах, арилжаанд оролцогчдод тавих хяналт, ханшийн хөөрөгдөл бий болох нөхцөл байдлаас сэргийлэх бодлого зохицуулалт, ханшийн хэлбэлзлийн эсрэг авах арга хэмжээ, гадаад валютын захад оролцогчийн хүлээх үүрэг хариуцлага, зэрэг тулгамдсан өнөөгийн асуудлыг цогцоор шийдвэрлэх</w:t>
      </w:r>
      <w:r w:rsidRPr="00BB60AE">
        <w:rPr>
          <w:rFonts w:ascii="Arial" w:hAnsi="Arial" w:cs="Arial"/>
          <w:sz w:val="24"/>
          <w:szCs w:val="24"/>
        </w:rPr>
        <w:t>;</w:t>
      </w:r>
    </w:p>
    <w:p w:rsidR="00572F91" w:rsidRPr="00BB60AE" w:rsidRDefault="00572F91" w:rsidP="00572F91">
      <w:pPr>
        <w:pStyle w:val="ListParagraph"/>
        <w:numPr>
          <w:ilvl w:val="0"/>
          <w:numId w:val="6"/>
        </w:numPr>
        <w:spacing w:after="160" w:line="360" w:lineRule="auto"/>
        <w:ind w:left="720"/>
        <w:contextualSpacing/>
        <w:outlineLvl w:val="0"/>
        <w:rPr>
          <w:rFonts w:ascii="Arial" w:hAnsi="Arial" w:cs="Arial"/>
          <w:color w:val="000000" w:themeColor="text1"/>
          <w:sz w:val="24"/>
          <w:szCs w:val="24"/>
          <w:lang w:val="mn-MN"/>
        </w:rPr>
      </w:pPr>
      <w:r w:rsidRPr="00BB60AE">
        <w:rPr>
          <w:rFonts w:ascii="Arial" w:hAnsi="Arial" w:cs="Arial"/>
          <w:color w:val="000000" w:themeColor="text1"/>
          <w:sz w:val="24"/>
          <w:szCs w:val="24"/>
          <w:lang w:val="mn-MN"/>
        </w:rPr>
        <w:t xml:space="preserve">“Валютын зохицуулалтын тухай” хуулийн давхардал, зөрчил, </w:t>
      </w:r>
      <w:r w:rsidR="00957067" w:rsidRPr="00BB60AE">
        <w:rPr>
          <w:rFonts w:ascii="Arial" w:hAnsi="Arial" w:cs="Arial"/>
          <w:color w:val="000000" w:themeColor="text1"/>
          <w:sz w:val="24"/>
          <w:szCs w:val="24"/>
          <w:lang w:val="mn-MN"/>
        </w:rPr>
        <w:t>хийдлийг</w:t>
      </w:r>
      <w:r w:rsidRPr="00BB60AE">
        <w:rPr>
          <w:rFonts w:ascii="Arial" w:hAnsi="Arial" w:cs="Arial"/>
          <w:color w:val="000000" w:themeColor="text1"/>
          <w:sz w:val="24"/>
          <w:szCs w:val="24"/>
          <w:lang w:val="mn-MN"/>
        </w:rPr>
        <w:t xml:space="preserve"> бүрэн арилгах</w:t>
      </w:r>
      <w:r w:rsidRPr="00BB60AE">
        <w:rPr>
          <w:rFonts w:ascii="Arial" w:hAnsi="Arial" w:cs="Arial"/>
          <w:color w:val="000000" w:themeColor="text1"/>
          <w:sz w:val="24"/>
          <w:szCs w:val="24"/>
        </w:rPr>
        <w:t>;</w:t>
      </w:r>
    </w:p>
    <w:p w:rsidR="00572F91" w:rsidRPr="00BB60AE" w:rsidRDefault="00572F91" w:rsidP="00572F91">
      <w:pPr>
        <w:pStyle w:val="ListParagraph"/>
        <w:numPr>
          <w:ilvl w:val="0"/>
          <w:numId w:val="6"/>
        </w:numPr>
        <w:spacing w:after="160" w:line="360" w:lineRule="auto"/>
        <w:ind w:left="720"/>
        <w:contextualSpacing/>
        <w:outlineLvl w:val="0"/>
        <w:rPr>
          <w:rFonts w:ascii="Arial" w:hAnsi="Arial" w:cs="Arial"/>
          <w:color w:val="000000" w:themeColor="text1"/>
          <w:sz w:val="24"/>
          <w:szCs w:val="24"/>
          <w:lang w:val="mn-MN"/>
        </w:rPr>
      </w:pPr>
      <w:r w:rsidRPr="00BB60AE">
        <w:rPr>
          <w:rFonts w:ascii="Arial" w:hAnsi="Arial" w:cs="Arial"/>
          <w:color w:val="000000" w:themeColor="text1"/>
          <w:sz w:val="24"/>
          <w:szCs w:val="24"/>
          <w:lang w:val="mn-MN"/>
        </w:rPr>
        <w:t>“Валютын зохицуулалтын тухай”, “Төлбөр тооцоог үндэсний мөнгөн тэмдэгтээр гүйцэтгэх тухай” хуулиудыг нэгтгэж, валютын нэгдсэн зохицуулалтыг бий болгох</w:t>
      </w:r>
      <w:r w:rsidRPr="00BB60AE">
        <w:rPr>
          <w:rFonts w:ascii="Arial" w:hAnsi="Arial" w:cs="Arial"/>
          <w:color w:val="000000" w:themeColor="text1"/>
          <w:sz w:val="24"/>
          <w:szCs w:val="24"/>
        </w:rPr>
        <w:t>;</w:t>
      </w:r>
    </w:p>
    <w:p w:rsidR="00572F91" w:rsidRPr="00BB60AE" w:rsidRDefault="00572F91" w:rsidP="00572F91">
      <w:pPr>
        <w:pStyle w:val="ListParagraph"/>
        <w:numPr>
          <w:ilvl w:val="0"/>
          <w:numId w:val="6"/>
        </w:numPr>
        <w:spacing w:after="160" w:line="360" w:lineRule="auto"/>
        <w:ind w:left="720"/>
        <w:contextualSpacing/>
        <w:outlineLvl w:val="0"/>
        <w:rPr>
          <w:rFonts w:ascii="Arial" w:hAnsi="Arial" w:cs="Arial"/>
          <w:color w:val="000000" w:themeColor="text1"/>
          <w:sz w:val="24"/>
          <w:szCs w:val="24"/>
          <w:lang w:val="mn-MN"/>
        </w:rPr>
      </w:pPr>
      <w:r w:rsidRPr="00BB60AE">
        <w:rPr>
          <w:rFonts w:ascii="Arial" w:hAnsi="Arial" w:cs="Arial"/>
          <w:color w:val="000000" w:themeColor="text1"/>
          <w:sz w:val="24"/>
          <w:szCs w:val="24"/>
          <w:lang w:val="mn-MN"/>
        </w:rPr>
        <w:t>Валютын харилцааг бүрэн  зохицуулсан, хөрөнгийн болон санхүүгийн зах зээлийн хөгжлийг дэмжсэн эрх зүйн орчин бий болгох</w:t>
      </w:r>
      <w:r w:rsidRPr="00BB60AE">
        <w:rPr>
          <w:rFonts w:ascii="Arial" w:hAnsi="Arial" w:cs="Arial"/>
          <w:color w:val="000000" w:themeColor="text1"/>
          <w:sz w:val="24"/>
          <w:szCs w:val="24"/>
        </w:rPr>
        <w:t>;</w:t>
      </w:r>
    </w:p>
    <w:p w:rsidR="00572F91" w:rsidRPr="00BB60AE" w:rsidRDefault="00572F91" w:rsidP="00572F91">
      <w:pPr>
        <w:pStyle w:val="ListParagraph"/>
        <w:numPr>
          <w:ilvl w:val="0"/>
          <w:numId w:val="6"/>
        </w:numPr>
        <w:spacing w:after="160" w:line="360" w:lineRule="auto"/>
        <w:ind w:left="720"/>
        <w:contextualSpacing/>
        <w:outlineLvl w:val="0"/>
        <w:rPr>
          <w:rFonts w:ascii="Arial" w:hAnsi="Arial" w:cs="Arial"/>
          <w:color w:val="000000" w:themeColor="text1"/>
          <w:sz w:val="24"/>
          <w:szCs w:val="24"/>
          <w:lang w:val="mn-MN"/>
        </w:rPr>
      </w:pPr>
      <w:r w:rsidRPr="00BB60AE">
        <w:rPr>
          <w:rFonts w:ascii="Arial" w:hAnsi="Arial" w:cs="Arial"/>
          <w:color w:val="000000" w:themeColor="text1"/>
          <w:sz w:val="24"/>
          <w:szCs w:val="24"/>
          <w:lang w:val="mn-MN"/>
        </w:rPr>
        <w:t xml:space="preserve">Гадаад секторын статистик, тоон </w:t>
      </w:r>
      <w:r w:rsidR="00957067" w:rsidRPr="00BB60AE">
        <w:rPr>
          <w:rFonts w:ascii="Arial" w:hAnsi="Arial" w:cs="Arial"/>
          <w:color w:val="000000" w:themeColor="text1"/>
          <w:sz w:val="24"/>
          <w:szCs w:val="24"/>
          <w:lang w:val="mn-MN"/>
        </w:rPr>
        <w:t>мэдээллийн</w:t>
      </w:r>
      <w:r w:rsidRPr="00BB60AE">
        <w:rPr>
          <w:rFonts w:ascii="Arial" w:hAnsi="Arial" w:cs="Arial"/>
          <w:color w:val="000000" w:themeColor="text1"/>
          <w:sz w:val="24"/>
          <w:szCs w:val="24"/>
          <w:lang w:val="mn-MN"/>
        </w:rPr>
        <w:t xml:space="preserve"> чанарыг олон улсын жишигт нийцүүлэх</w:t>
      </w:r>
      <w:r w:rsidRPr="00BB60AE">
        <w:rPr>
          <w:rFonts w:ascii="Arial" w:hAnsi="Arial" w:cs="Arial"/>
          <w:color w:val="000000" w:themeColor="text1"/>
          <w:sz w:val="24"/>
          <w:szCs w:val="24"/>
        </w:rPr>
        <w:t>;</w:t>
      </w:r>
    </w:p>
    <w:p w:rsidR="008F09B7" w:rsidRPr="00BB60AE" w:rsidRDefault="00572F91" w:rsidP="00572F91">
      <w:pPr>
        <w:pStyle w:val="ListParagraph"/>
        <w:numPr>
          <w:ilvl w:val="0"/>
          <w:numId w:val="6"/>
        </w:numPr>
        <w:spacing w:after="160" w:line="360" w:lineRule="auto"/>
        <w:ind w:left="720"/>
        <w:contextualSpacing/>
        <w:outlineLvl w:val="0"/>
        <w:rPr>
          <w:rFonts w:ascii="Arial" w:hAnsi="Arial" w:cs="Arial"/>
          <w:sz w:val="24"/>
          <w:szCs w:val="24"/>
          <w:lang w:val="mn-MN"/>
        </w:rPr>
      </w:pPr>
      <w:r w:rsidRPr="00BB60AE">
        <w:rPr>
          <w:rFonts w:ascii="Arial" w:hAnsi="Arial" w:cs="Arial"/>
          <w:color w:val="000000" w:themeColor="text1"/>
          <w:sz w:val="24"/>
          <w:szCs w:val="24"/>
          <w:lang w:val="mn-MN"/>
        </w:rPr>
        <w:t>Монгол Улсын нутаг дэвсгэрт бараа, ажил, үйлчилгээний үнийг үндэсний мөнгөн тэмдэгт төгрөгөөр илэрхийлж, төлбөр тооцоог гүйцэтгэх харилцааг нэгтгэх, зарим хуулийн этгээдийн онцлогийг тусгах, хяналт, хариуцлагыг тодорхой болгох</w:t>
      </w:r>
      <w:r w:rsidRPr="00BB60AE">
        <w:rPr>
          <w:rFonts w:ascii="Arial" w:hAnsi="Arial" w:cs="Arial"/>
          <w:color w:val="000000" w:themeColor="text1"/>
          <w:sz w:val="24"/>
          <w:szCs w:val="24"/>
        </w:rPr>
        <w:t>;</w:t>
      </w:r>
    </w:p>
    <w:p w:rsidR="00B47BC9" w:rsidRPr="00BB60AE" w:rsidRDefault="00C874E8" w:rsidP="00572F91">
      <w:pPr>
        <w:pStyle w:val="ListParagraph"/>
        <w:numPr>
          <w:ilvl w:val="0"/>
          <w:numId w:val="6"/>
        </w:numPr>
        <w:spacing w:after="160" w:line="360" w:lineRule="auto"/>
        <w:ind w:left="720"/>
        <w:contextualSpacing/>
        <w:outlineLvl w:val="0"/>
        <w:rPr>
          <w:rFonts w:ascii="Arial" w:hAnsi="Arial" w:cs="Arial"/>
          <w:sz w:val="24"/>
          <w:szCs w:val="24"/>
          <w:lang w:val="mn-MN"/>
        </w:rPr>
      </w:pPr>
      <w:r>
        <w:rPr>
          <w:rFonts w:ascii="Arial" w:hAnsi="Arial" w:cs="Arial"/>
          <w:color w:val="000000" w:themeColor="text1"/>
          <w:sz w:val="24"/>
          <w:szCs w:val="24"/>
          <w:lang w:val="mn-MN"/>
        </w:rPr>
        <w:t>В</w:t>
      </w:r>
      <w:r w:rsidR="00572F91" w:rsidRPr="00BB60AE">
        <w:rPr>
          <w:rFonts w:ascii="Arial" w:hAnsi="Arial" w:cs="Arial"/>
          <w:color w:val="000000" w:themeColor="text1"/>
          <w:sz w:val="24"/>
          <w:szCs w:val="24"/>
          <w:lang w:val="mn-MN"/>
        </w:rPr>
        <w:t>алютын нэгдсэн зохицуулалтын талаарх төрийн байгууллагын бүрэн эрхийг тодорхойлох.</w:t>
      </w:r>
    </w:p>
    <w:p w:rsidR="00DE4BD0" w:rsidRPr="00BB60AE" w:rsidRDefault="008A5CB1" w:rsidP="00730D94">
      <w:pPr>
        <w:jc w:val="both"/>
        <w:rPr>
          <w:rFonts w:ascii="Arial" w:hAnsi="Arial" w:cs="Arial"/>
          <w:sz w:val="24"/>
          <w:szCs w:val="24"/>
          <w:lang w:val="mn-MN"/>
        </w:rPr>
      </w:pPr>
      <w:r w:rsidRPr="00BB60AE">
        <w:rPr>
          <w:rFonts w:ascii="Arial" w:hAnsi="Arial" w:cs="Arial"/>
          <w:sz w:val="24"/>
          <w:szCs w:val="24"/>
          <w:lang w:val="mn-MN"/>
        </w:rPr>
        <w:t>2/</w:t>
      </w:r>
      <w:r w:rsidR="00DE4BD0" w:rsidRPr="00BB60AE">
        <w:rPr>
          <w:rFonts w:ascii="Arial" w:hAnsi="Arial" w:cs="Arial"/>
          <w:sz w:val="24"/>
          <w:szCs w:val="24"/>
          <w:lang w:val="mn-MN"/>
        </w:rPr>
        <w:t xml:space="preserve"> Хууль эрх зүйн бусад актаар зохицуулж ирсэн байдал</w:t>
      </w:r>
      <w:r w:rsidR="006043BA">
        <w:rPr>
          <w:rFonts w:ascii="Arial" w:hAnsi="Arial" w:cs="Arial"/>
          <w:sz w:val="24"/>
          <w:szCs w:val="24"/>
          <w:lang w:val="mn-MN"/>
        </w:rPr>
        <w:t>:</w:t>
      </w:r>
    </w:p>
    <w:p w:rsidR="0033266A" w:rsidRPr="00BB60AE" w:rsidRDefault="0033266A" w:rsidP="00E8700B">
      <w:pPr>
        <w:ind w:firstLine="720"/>
        <w:jc w:val="both"/>
        <w:rPr>
          <w:rFonts w:ascii="Arial" w:hAnsi="Arial" w:cs="Arial"/>
          <w:sz w:val="24"/>
          <w:szCs w:val="24"/>
          <w:lang w:val="mn-MN"/>
        </w:rPr>
      </w:pPr>
      <w:r w:rsidRPr="00BB60AE">
        <w:rPr>
          <w:rFonts w:ascii="Arial" w:hAnsi="Arial" w:cs="Arial"/>
          <w:sz w:val="24"/>
          <w:szCs w:val="24"/>
          <w:lang w:val="mn-MN"/>
        </w:rPr>
        <w:t xml:space="preserve">Валютын зохицуулалтын тухай хууль нь 1994 оны 5 дугаар сарын 12-ны өдөр УИХ-аар батлагдсанаас хойш 22 жилийн хугацаанд 19 удаагийн нэмэлт өөрчлөлт орсон бөгөөд Хууль зүйн яамнаас “Валютын зохицуулалтын тухай” хуульд 2009 онд шинжилгээ хийн давхардал 3, зөрчил 18, хийдэл 30 гарч байна уг хуулийг нэн даруй </w:t>
      </w:r>
      <w:r w:rsidRPr="00BB60AE">
        <w:rPr>
          <w:rFonts w:ascii="Arial" w:hAnsi="Arial" w:cs="Arial"/>
          <w:sz w:val="24"/>
          <w:szCs w:val="24"/>
          <w:lang w:val="mn-MN"/>
        </w:rPr>
        <w:lastRenderedPageBreak/>
        <w:t>шинэчлэх шаардлагатай гэсэн дүгнэлт гаргаж байсан боловч одоог хүртэл шинэчлэгдээгүй байна.</w:t>
      </w:r>
    </w:p>
    <w:p w:rsidR="00730D94" w:rsidRPr="00BB60AE" w:rsidRDefault="00B47BC9" w:rsidP="00730D94">
      <w:pPr>
        <w:jc w:val="both"/>
        <w:rPr>
          <w:rFonts w:ascii="Arial" w:hAnsi="Arial" w:cs="Arial"/>
          <w:sz w:val="24"/>
          <w:szCs w:val="24"/>
          <w:lang w:val="mn-MN"/>
        </w:rPr>
      </w:pPr>
      <w:r w:rsidRPr="00BB60AE">
        <w:rPr>
          <w:rFonts w:ascii="Arial" w:hAnsi="Arial" w:cs="Arial"/>
          <w:sz w:val="24"/>
          <w:szCs w:val="24"/>
          <w:lang w:val="mn-MN"/>
        </w:rPr>
        <w:t xml:space="preserve">3/ </w:t>
      </w:r>
      <w:r w:rsidR="00730D94" w:rsidRPr="00BB60AE">
        <w:rPr>
          <w:rFonts w:ascii="Arial" w:hAnsi="Arial" w:cs="Arial"/>
          <w:sz w:val="24"/>
          <w:szCs w:val="24"/>
          <w:lang w:val="mn-MN"/>
        </w:rPr>
        <w:t>Хуулийн төслийн ерөнхий бүтэц, зохицуулах харилцаа, хамрах хүрээ</w:t>
      </w:r>
    </w:p>
    <w:p w:rsidR="00730D94" w:rsidRPr="00BB60AE" w:rsidRDefault="00730D94" w:rsidP="00730D94">
      <w:pPr>
        <w:ind w:firstLine="720"/>
        <w:jc w:val="both"/>
        <w:rPr>
          <w:rFonts w:ascii="Arial" w:hAnsi="Arial" w:cs="Arial"/>
          <w:sz w:val="24"/>
          <w:szCs w:val="24"/>
          <w:lang w:val="mn-MN"/>
        </w:rPr>
      </w:pPr>
      <w:r w:rsidRPr="00BB60AE">
        <w:rPr>
          <w:rFonts w:ascii="Arial" w:hAnsi="Arial" w:cs="Arial"/>
          <w:sz w:val="24"/>
          <w:szCs w:val="24"/>
          <w:lang w:val="mn-MN"/>
        </w:rPr>
        <w:t xml:space="preserve">Хуулийн төслийн макро эдийн засгийн бодлогын суурь нь хөрөнгийн чөлөөтэй урсгал, зохицуулалттай хөвөгч ханшийн дэглэм болон төрийн мөнгөний бодлогын бие даасан байдал бөгөөд зохицуулах харилцаа нь эдийн засгийн харьяат хоорондын болон тэдгээрээс харьяат бустай хийх валютын гүйлгээ, валютын дотоодын захын зохицуулалт төдийгүй Монгол Улсын нутаг дэвсгэрт төлбөр тооцоог үндэсний мөнгөн тэмдэгтээр гүйцэтгэхтэй холбоотой харилцаа байна. </w:t>
      </w:r>
    </w:p>
    <w:p w:rsidR="00A46EE2" w:rsidRPr="00A46EE2" w:rsidRDefault="00A46EE2" w:rsidP="00A46EE2">
      <w:pPr>
        <w:ind w:firstLine="720"/>
        <w:jc w:val="both"/>
        <w:rPr>
          <w:rFonts w:ascii="Arial" w:hAnsi="Arial" w:cs="Arial"/>
          <w:color w:val="FF0000"/>
          <w:sz w:val="24"/>
          <w:szCs w:val="24"/>
          <w:lang w:val="mn-MN"/>
        </w:rPr>
      </w:pPr>
      <w:bookmarkStart w:id="0" w:name="_Toc229977304"/>
      <w:r w:rsidRPr="00A46EE2">
        <w:rPr>
          <w:rFonts w:ascii="Arial" w:hAnsi="Arial" w:cs="Arial"/>
          <w:color w:val="0D0D0D" w:themeColor="text1" w:themeTint="F2"/>
          <w:sz w:val="24"/>
          <w:szCs w:val="24"/>
          <w:lang w:val="mn-MN"/>
        </w:rPr>
        <w:t>Шинэчилсэн найруулгын төсөл нь 7 бүлэг 21 зүйлтэй. Нэгдүгээр бүлэг: Нийтлэг үндэслэл, Хоёрдугаар бүлэг: Валютын захын зохицуулалт, Гуравдугаар бүлэг: Гадаад гүйлгээ, төлбөр тооцооны зохицуулалт, Дөрөвдүгээр бүлэг: Тайлагнах, мэдээлэх, Тавдугаар бүлэг: Валютын зохицуулалтын талаар төрийн байгууллагуудын хэрэгжүүлэх бүрэн эрх, Зургаадугаар бүлэг: Хуулийн хэрэгжилтэнд тавих хяналт</w:t>
      </w:r>
      <w:r w:rsidRPr="00A46EE2">
        <w:rPr>
          <w:rFonts w:ascii="Arial" w:hAnsi="Arial" w:cs="Arial"/>
          <w:color w:val="FF0000"/>
          <w:sz w:val="24"/>
          <w:szCs w:val="24"/>
        </w:rPr>
        <w:t>.</w:t>
      </w:r>
    </w:p>
    <w:p w:rsidR="00730D94" w:rsidRPr="00BB60AE" w:rsidRDefault="00730D94" w:rsidP="00730D94">
      <w:pPr>
        <w:pStyle w:val="Heading2"/>
        <w:numPr>
          <w:ilvl w:val="0"/>
          <w:numId w:val="5"/>
        </w:numPr>
        <w:rPr>
          <w:rFonts w:ascii="Arial" w:hAnsi="Arial" w:cs="Arial"/>
          <w:b w:val="0"/>
          <w:sz w:val="24"/>
          <w:szCs w:val="24"/>
          <w:lang w:val="mn-MN"/>
        </w:rPr>
      </w:pPr>
      <w:r w:rsidRPr="00BB60AE">
        <w:rPr>
          <w:rFonts w:ascii="Arial" w:hAnsi="Arial" w:cs="Arial"/>
          <w:b w:val="0"/>
          <w:sz w:val="24"/>
          <w:szCs w:val="24"/>
          <w:lang w:val="mn-MN"/>
        </w:rPr>
        <w:t>Зохицуулах харилцаа</w:t>
      </w:r>
      <w:bookmarkEnd w:id="0"/>
      <w:r w:rsidR="006043BA">
        <w:rPr>
          <w:rFonts w:ascii="Arial" w:hAnsi="Arial" w:cs="Arial"/>
          <w:b w:val="0"/>
          <w:sz w:val="24"/>
          <w:szCs w:val="24"/>
          <w:lang w:val="mn-MN"/>
        </w:rPr>
        <w:t>:</w:t>
      </w:r>
    </w:p>
    <w:p w:rsidR="00730D94" w:rsidRPr="00BB60AE" w:rsidRDefault="00730D94" w:rsidP="00A46EE2">
      <w:pPr>
        <w:ind w:firstLine="720"/>
        <w:jc w:val="both"/>
        <w:rPr>
          <w:rFonts w:ascii="Arial" w:hAnsi="Arial" w:cs="Arial"/>
          <w:sz w:val="24"/>
          <w:szCs w:val="24"/>
          <w:lang w:val="mn-MN"/>
        </w:rPr>
      </w:pPr>
      <w:r w:rsidRPr="00BB60AE">
        <w:rPr>
          <w:rFonts w:ascii="Arial" w:hAnsi="Arial" w:cs="Arial"/>
          <w:sz w:val="24"/>
          <w:szCs w:val="24"/>
          <w:lang w:val="mn-MN"/>
        </w:rPr>
        <w:t xml:space="preserve">Валютын зохицуулалтын тухай хуулийн шинэчилсэн найруулгын төсөл нь Монгол Улсын нутаг дэвсгэрт бараа, ажил, үйлчилгээний үнийг үндэсний мөнгөн тэмдэгт төгрөгөөр илэрхийлэх, төлбөр тооцоог гүйцэтгэх, эдийн засгийн харьяат хоорондын болон тэдгээрээс харьяат бустай хийх валютын бүх төрлийн гүйлгээний эрх зүйн зохицуулалт, валютын дотоодын захын дэд бүтэц, мэдээллийн урсгалыг тодорхойлох, ханшийн механизм ажиллах, зах зээлийн мэргэжлийн оролцогчдын шударга өрсөлдөөнийг хангах нөхцлийг бүрдүүлэх замаар валютын зах үр ашигтай ажиллах эрх зүйн орчныг бий болгох, эрх бүхий төрийн байгууллагуудын дээрх харилцаанд оролцох эрх зүйн байдал, төрөөс явуулах хяналт, шалгалт, зөрчил гаргасан этгээдэд хариуцлага хүлээлгэхтэй холбоотой харилцааг </w:t>
      </w:r>
      <w:r w:rsidRPr="00BB60AE">
        <w:rPr>
          <w:rFonts w:ascii="Arial" w:hAnsi="Arial" w:cs="Arial"/>
          <w:sz w:val="24"/>
          <w:szCs w:val="24"/>
        </w:rPr>
        <w:t xml:space="preserve">зохицуулна. </w:t>
      </w:r>
    </w:p>
    <w:p w:rsidR="00730D94" w:rsidRPr="00BB60AE" w:rsidRDefault="00730D94" w:rsidP="00730D94">
      <w:pPr>
        <w:pStyle w:val="Heading2"/>
        <w:numPr>
          <w:ilvl w:val="0"/>
          <w:numId w:val="5"/>
        </w:numPr>
        <w:rPr>
          <w:rFonts w:ascii="Arial" w:hAnsi="Arial" w:cs="Arial"/>
          <w:b w:val="0"/>
          <w:sz w:val="24"/>
          <w:szCs w:val="24"/>
          <w:lang w:val="mn-MN"/>
        </w:rPr>
      </w:pPr>
      <w:bookmarkStart w:id="1" w:name="_Toc229977305"/>
      <w:r w:rsidRPr="00BB60AE">
        <w:rPr>
          <w:rFonts w:ascii="Arial" w:hAnsi="Arial" w:cs="Arial"/>
          <w:b w:val="0"/>
          <w:sz w:val="24"/>
          <w:szCs w:val="24"/>
          <w:lang w:val="mn-MN"/>
        </w:rPr>
        <w:t>Хамрах хүрээ</w:t>
      </w:r>
      <w:bookmarkEnd w:id="1"/>
      <w:r w:rsidR="006043BA">
        <w:rPr>
          <w:rFonts w:ascii="Arial" w:hAnsi="Arial" w:cs="Arial"/>
          <w:b w:val="0"/>
          <w:sz w:val="24"/>
          <w:szCs w:val="24"/>
          <w:lang w:val="mn-MN"/>
        </w:rPr>
        <w:t>:</w:t>
      </w:r>
    </w:p>
    <w:p w:rsidR="00730D94" w:rsidRPr="00BB60AE" w:rsidRDefault="00730D94" w:rsidP="00A46EE2">
      <w:pPr>
        <w:spacing w:after="120"/>
        <w:ind w:firstLine="360"/>
        <w:jc w:val="both"/>
        <w:rPr>
          <w:rFonts w:ascii="Arial" w:hAnsi="Arial" w:cs="Arial"/>
          <w:sz w:val="24"/>
          <w:szCs w:val="24"/>
          <w:lang w:val="mn-MN"/>
        </w:rPr>
      </w:pPr>
      <w:r w:rsidRPr="00BB60AE">
        <w:rPr>
          <w:rFonts w:ascii="Arial" w:hAnsi="Arial" w:cs="Arial"/>
          <w:sz w:val="24"/>
          <w:szCs w:val="24"/>
          <w:lang w:val="mn-MN"/>
        </w:rPr>
        <w:t>Хуулийн төсөл нь Монгол Улсын эдийн засгийн харьяат болон харьяат буст хамаарна. Эдийн засгийн харьяат гэдэгт олон улсын стандартын дагуу дараах хуулийн этгээдүүд орно. Үүнд:</w:t>
      </w:r>
    </w:p>
    <w:p w:rsidR="00730D94" w:rsidRPr="00BB60AE" w:rsidRDefault="00730D94" w:rsidP="00730D94">
      <w:pPr>
        <w:numPr>
          <w:ilvl w:val="0"/>
          <w:numId w:val="4"/>
        </w:numPr>
        <w:tabs>
          <w:tab w:val="clear" w:pos="720"/>
        </w:tabs>
        <w:spacing w:after="0" w:line="264" w:lineRule="auto"/>
        <w:ind w:left="360"/>
        <w:jc w:val="both"/>
        <w:rPr>
          <w:rFonts w:ascii="Arial" w:hAnsi="Arial" w:cs="Arial"/>
          <w:sz w:val="24"/>
          <w:szCs w:val="24"/>
        </w:rPr>
      </w:pPr>
      <w:r w:rsidRPr="00BB60AE">
        <w:rPr>
          <w:rFonts w:ascii="Arial" w:hAnsi="Arial" w:cs="Arial"/>
          <w:sz w:val="24"/>
          <w:szCs w:val="24"/>
          <w:lang w:val="mn-MN"/>
        </w:rPr>
        <w:t>М</w:t>
      </w:r>
      <w:r w:rsidR="001F0199" w:rsidRPr="00BB60AE">
        <w:rPr>
          <w:rFonts w:ascii="Arial" w:hAnsi="Arial" w:cs="Arial"/>
          <w:sz w:val="24"/>
          <w:szCs w:val="24"/>
          <w:lang w:val="mn-MN"/>
        </w:rPr>
        <w:t xml:space="preserve">онгол </w:t>
      </w:r>
      <w:r w:rsidRPr="00BB60AE">
        <w:rPr>
          <w:rFonts w:ascii="Arial" w:hAnsi="Arial" w:cs="Arial"/>
          <w:sz w:val="24"/>
          <w:szCs w:val="24"/>
          <w:lang w:val="mn-MN"/>
        </w:rPr>
        <w:t>У</w:t>
      </w:r>
      <w:r w:rsidR="001F0199" w:rsidRPr="00BB60AE">
        <w:rPr>
          <w:rFonts w:ascii="Arial" w:hAnsi="Arial" w:cs="Arial"/>
          <w:sz w:val="24"/>
          <w:szCs w:val="24"/>
          <w:lang w:val="mn-MN"/>
        </w:rPr>
        <w:t>лс</w:t>
      </w:r>
      <w:r w:rsidRPr="00BB60AE">
        <w:rPr>
          <w:rFonts w:ascii="Arial" w:hAnsi="Arial" w:cs="Arial"/>
          <w:sz w:val="24"/>
          <w:szCs w:val="24"/>
          <w:lang w:val="mn-MN"/>
        </w:rPr>
        <w:t>ын</w:t>
      </w:r>
      <w:r w:rsidRPr="00BB60AE">
        <w:rPr>
          <w:rFonts w:ascii="Arial" w:hAnsi="Arial" w:cs="Arial"/>
          <w:sz w:val="24"/>
          <w:szCs w:val="24"/>
        </w:rPr>
        <w:t xml:space="preserve"> нутаг дэвсгэр дээр оршин  суу</w:t>
      </w:r>
      <w:r w:rsidRPr="00BB60AE">
        <w:rPr>
          <w:rFonts w:ascii="Arial" w:hAnsi="Arial" w:cs="Arial"/>
          <w:sz w:val="24"/>
          <w:szCs w:val="24"/>
          <w:lang w:val="mn-MN"/>
        </w:rPr>
        <w:t>гч</w:t>
      </w:r>
      <w:r w:rsidRPr="00BB60AE">
        <w:rPr>
          <w:rFonts w:ascii="Arial" w:hAnsi="Arial" w:cs="Arial"/>
          <w:sz w:val="24"/>
          <w:szCs w:val="24"/>
        </w:rPr>
        <w:t xml:space="preserve"> М</w:t>
      </w:r>
      <w:r w:rsidRPr="00BB60AE">
        <w:rPr>
          <w:rFonts w:ascii="Arial" w:hAnsi="Arial" w:cs="Arial"/>
          <w:sz w:val="24"/>
          <w:szCs w:val="24"/>
          <w:lang w:val="mn-MN"/>
        </w:rPr>
        <w:t xml:space="preserve">онгол улсын </w:t>
      </w:r>
      <w:r w:rsidRPr="00BB60AE">
        <w:rPr>
          <w:rFonts w:ascii="Arial" w:hAnsi="Arial" w:cs="Arial"/>
          <w:sz w:val="24"/>
          <w:szCs w:val="24"/>
        </w:rPr>
        <w:t>иргэд,</w:t>
      </w:r>
      <w:r w:rsidRPr="00BB60AE">
        <w:rPr>
          <w:rFonts w:ascii="Arial" w:hAnsi="Arial" w:cs="Arial"/>
          <w:sz w:val="24"/>
          <w:szCs w:val="24"/>
          <w:lang w:val="mn-MN"/>
        </w:rPr>
        <w:t xml:space="preserve"> </w:t>
      </w:r>
    </w:p>
    <w:p w:rsidR="00730D94" w:rsidRPr="00BB60AE" w:rsidRDefault="00730D94" w:rsidP="00730D94">
      <w:pPr>
        <w:numPr>
          <w:ilvl w:val="0"/>
          <w:numId w:val="4"/>
        </w:numPr>
        <w:tabs>
          <w:tab w:val="clear" w:pos="720"/>
        </w:tabs>
        <w:spacing w:after="0" w:line="264" w:lineRule="auto"/>
        <w:ind w:left="360"/>
        <w:jc w:val="both"/>
        <w:rPr>
          <w:rFonts w:ascii="Arial" w:hAnsi="Arial" w:cs="Arial"/>
          <w:sz w:val="24"/>
          <w:szCs w:val="24"/>
        </w:rPr>
      </w:pPr>
      <w:r w:rsidRPr="00BB60AE">
        <w:rPr>
          <w:rFonts w:ascii="Arial" w:hAnsi="Arial" w:cs="Arial"/>
          <w:sz w:val="24"/>
          <w:szCs w:val="24"/>
        </w:rPr>
        <w:t>Гадаад ор</w:t>
      </w:r>
      <w:r w:rsidRPr="00BB60AE">
        <w:rPr>
          <w:rFonts w:ascii="Arial" w:hAnsi="Arial" w:cs="Arial"/>
          <w:sz w:val="24"/>
          <w:szCs w:val="24"/>
          <w:lang w:val="mn-MN"/>
        </w:rPr>
        <w:t>он</w:t>
      </w:r>
      <w:r w:rsidRPr="00BB60AE">
        <w:rPr>
          <w:rFonts w:ascii="Arial" w:hAnsi="Arial" w:cs="Arial"/>
          <w:sz w:val="24"/>
          <w:szCs w:val="24"/>
        </w:rPr>
        <w:t>д 1 жил хүртэл хугацаагаар түр оршин суу</w:t>
      </w:r>
      <w:r w:rsidRPr="00BB60AE">
        <w:rPr>
          <w:rFonts w:ascii="Arial" w:hAnsi="Arial" w:cs="Arial"/>
          <w:sz w:val="24"/>
          <w:szCs w:val="24"/>
          <w:lang w:val="mn-MN"/>
        </w:rPr>
        <w:t>гч</w:t>
      </w:r>
      <w:r w:rsidRPr="00BB60AE">
        <w:rPr>
          <w:rFonts w:ascii="Arial" w:hAnsi="Arial" w:cs="Arial"/>
          <w:sz w:val="24"/>
          <w:szCs w:val="24"/>
        </w:rPr>
        <w:t xml:space="preserve"> </w:t>
      </w:r>
      <w:r w:rsidRPr="00BB60AE">
        <w:rPr>
          <w:rFonts w:ascii="Arial" w:hAnsi="Arial" w:cs="Arial"/>
          <w:sz w:val="24"/>
          <w:szCs w:val="24"/>
          <w:lang w:val="mn-MN"/>
        </w:rPr>
        <w:t>Монгол улсын и</w:t>
      </w:r>
      <w:r w:rsidRPr="00BB60AE">
        <w:rPr>
          <w:rFonts w:ascii="Arial" w:hAnsi="Arial" w:cs="Arial"/>
          <w:sz w:val="24"/>
          <w:szCs w:val="24"/>
        </w:rPr>
        <w:t xml:space="preserve">ргэд, </w:t>
      </w:r>
    </w:p>
    <w:p w:rsidR="00730D94" w:rsidRPr="00BB60AE" w:rsidRDefault="00730D94" w:rsidP="00730D94">
      <w:pPr>
        <w:numPr>
          <w:ilvl w:val="0"/>
          <w:numId w:val="4"/>
        </w:numPr>
        <w:tabs>
          <w:tab w:val="clear" w:pos="720"/>
        </w:tabs>
        <w:spacing w:after="0" w:line="264" w:lineRule="auto"/>
        <w:ind w:left="360"/>
        <w:jc w:val="both"/>
        <w:rPr>
          <w:rFonts w:ascii="Arial" w:hAnsi="Arial" w:cs="Arial"/>
          <w:sz w:val="24"/>
          <w:szCs w:val="24"/>
        </w:rPr>
      </w:pPr>
      <w:r w:rsidRPr="00BB60AE">
        <w:rPr>
          <w:rFonts w:ascii="Arial" w:hAnsi="Arial" w:cs="Arial"/>
          <w:sz w:val="24"/>
          <w:szCs w:val="24"/>
        </w:rPr>
        <w:t>Монгол Улсын нутаг дэвсгэр дээр 1 жилээс дээш хугацаагаар оршин суу</w:t>
      </w:r>
      <w:r w:rsidRPr="00BB60AE">
        <w:rPr>
          <w:rFonts w:ascii="Arial" w:hAnsi="Arial" w:cs="Arial"/>
          <w:sz w:val="24"/>
          <w:szCs w:val="24"/>
          <w:lang w:val="mn-MN"/>
        </w:rPr>
        <w:t>гч</w:t>
      </w:r>
      <w:r w:rsidRPr="00BB60AE">
        <w:rPr>
          <w:rFonts w:ascii="Arial" w:hAnsi="Arial" w:cs="Arial"/>
          <w:sz w:val="24"/>
          <w:szCs w:val="24"/>
        </w:rPr>
        <w:t xml:space="preserve"> гадаадын иргэд,</w:t>
      </w:r>
    </w:p>
    <w:p w:rsidR="00730D94" w:rsidRPr="00BB60AE" w:rsidRDefault="00730D94" w:rsidP="00730D94">
      <w:pPr>
        <w:numPr>
          <w:ilvl w:val="0"/>
          <w:numId w:val="4"/>
        </w:numPr>
        <w:tabs>
          <w:tab w:val="clear" w:pos="720"/>
        </w:tabs>
        <w:spacing w:after="0" w:line="264" w:lineRule="auto"/>
        <w:ind w:left="360"/>
        <w:jc w:val="both"/>
        <w:rPr>
          <w:rFonts w:ascii="Arial" w:hAnsi="Arial" w:cs="Arial"/>
          <w:sz w:val="24"/>
          <w:szCs w:val="24"/>
        </w:rPr>
      </w:pPr>
      <w:r w:rsidRPr="00BB60AE">
        <w:rPr>
          <w:rFonts w:ascii="Arial" w:hAnsi="Arial" w:cs="Arial"/>
          <w:sz w:val="24"/>
          <w:szCs w:val="24"/>
        </w:rPr>
        <w:t>М</w:t>
      </w:r>
      <w:r w:rsidRPr="00BB60AE">
        <w:rPr>
          <w:rFonts w:ascii="Arial" w:hAnsi="Arial" w:cs="Arial"/>
          <w:sz w:val="24"/>
          <w:szCs w:val="24"/>
          <w:lang w:val="mn-MN"/>
        </w:rPr>
        <w:t>онгол улсын н</w:t>
      </w:r>
      <w:r w:rsidRPr="00BB60AE">
        <w:rPr>
          <w:rFonts w:ascii="Arial" w:hAnsi="Arial" w:cs="Arial"/>
          <w:sz w:val="24"/>
          <w:szCs w:val="24"/>
        </w:rPr>
        <w:t>утаг дэвсгэр дээр үйл ажиллагаа явуулж байгаа өмчийн бүх хэлбэрийн аж ахуйн нэгж, Засгийн газрын байгууллага, төрийн бус байгууллага ба тэдгээрийн салбар, төлөөлөгчдийн газар,</w:t>
      </w:r>
      <w:r w:rsidRPr="00BB60AE">
        <w:rPr>
          <w:rFonts w:ascii="Arial" w:hAnsi="Arial" w:cs="Arial"/>
          <w:sz w:val="24"/>
          <w:szCs w:val="24"/>
          <w:lang w:val="mn-MN"/>
        </w:rPr>
        <w:t xml:space="preserve"> </w:t>
      </w:r>
    </w:p>
    <w:p w:rsidR="00730D94" w:rsidRPr="00BB60AE" w:rsidRDefault="00730D94" w:rsidP="00730D94">
      <w:pPr>
        <w:numPr>
          <w:ilvl w:val="0"/>
          <w:numId w:val="4"/>
        </w:numPr>
        <w:tabs>
          <w:tab w:val="clear" w:pos="720"/>
        </w:tabs>
        <w:spacing w:after="0" w:line="264" w:lineRule="auto"/>
        <w:ind w:left="360"/>
        <w:jc w:val="both"/>
        <w:rPr>
          <w:rFonts w:ascii="Arial" w:hAnsi="Arial" w:cs="Arial"/>
          <w:sz w:val="24"/>
          <w:szCs w:val="24"/>
        </w:rPr>
      </w:pPr>
      <w:r w:rsidRPr="00BB60AE">
        <w:rPr>
          <w:rFonts w:ascii="Arial" w:hAnsi="Arial" w:cs="Arial"/>
          <w:sz w:val="24"/>
          <w:szCs w:val="24"/>
        </w:rPr>
        <w:t>М</w:t>
      </w:r>
      <w:r w:rsidRPr="00BB60AE">
        <w:rPr>
          <w:rFonts w:ascii="Arial" w:hAnsi="Arial" w:cs="Arial"/>
          <w:sz w:val="24"/>
          <w:szCs w:val="24"/>
          <w:lang w:val="mn-MN"/>
        </w:rPr>
        <w:t>онгол Улс</w:t>
      </w:r>
      <w:r w:rsidRPr="00BB60AE">
        <w:rPr>
          <w:rFonts w:ascii="Arial" w:hAnsi="Arial" w:cs="Arial"/>
          <w:sz w:val="24"/>
          <w:szCs w:val="24"/>
        </w:rPr>
        <w:t>аас гадаад орнуудад суугаа элчин сайдын яам, консулын болон байнгын төлөөлөгчдийн газар, тэдгээрт ажилладаг М</w:t>
      </w:r>
      <w:r w:rsidRPr="00BB60AE">
        <w:rPr>
          <w:rFonts w:ascii="Arial" w:hAnsi="Arial" w:cs="Arial"/>
          <w:sz w:val="24"/>
          <w:szCs w:val="24"/>
          <w:lang w:val="mn-MN"/>
        </w:rPr>
        <w:t>онгол улсын и</w:t>
      </w:r>
      <w:r w:rsidRPr="00BB60AE">
        <w:rPr>
          <w:rFonts w:ascii="Arial" w:hAnsi="Arial" w:cs="Arial"/>
          <w:sz w:val="24"/>
          <w:szCs w:val="24"/>
        </w:rPr>
        <w:t>ргэд, цэргийн албан хаагч гэр бүлийн гишүүд,</w:t>
      </w:r>
    </w:p>
    <w:p w:rsidR="00730D94" w:rsidRPr="00BB60AE" w:rsidRDefault="00730D94" w:rsidP="00730D94">
      <w:pPr>
        <w:numPr>
          <w:ilvl w:val="0"/>
          <w:numId w:val="4"/>
        </w:numPr>
        <w:tabs>
          <w:tab w:val="clear" w:pos="720"/>
        </w:tabs>
        <w:spacing w:after="0" w:line="264" w:lineRule="auto"/>
        <w:ind w:left="360"/>
        <w:jc w:val="both"/>
        <w:rPr>
          <w:rFonts w:ascii="Arial" w:hAnsi="Arial" w:cs="Arial"/>
          <w:sz w:val="24"/>
          <w:szCs w:val="24"/>
        </w:rPr>
      </w:pPr>
      <w:r w:rsidRPr="00BB60AE">
        <w:rPr>
          <w:rFonts w:ascii="Arial" w:hAnsi="Arial" w:cs="Arial"/>
          <w:sz w:val="24"/>
          <w:szCs w:val="24"/>
        </w:rPr>
        <w:lastRenderedPageBreak/>
        <w:t>Гадаад орнуудад сурч байгаа болон гадаадад урт болон богино хугацаагаар эмчлүүлж буй М</w:t>
      </w:r>
      <w:r w:rsidRPr="00BB60AE">
        <w:rPr>
          <w:rFonts w:ascii="Arial" w:hAnsi="Arial" w:cs="Arial"/>
          <w:sz w:val="24"/>
          <w:szCs w:val="24"/>
          <w:lang w:val="mn-MN"/>
        </w:rPr>
        <w:t xml:space="preserve">онгол улсын </w:t>
      </w:r>
      <w:r w:rsidRPr="00BB60AE">
        <w:rPr>
          <w:rFonts w:ascii="Arial" w:hAnsi="Arial" w:cs="Arial"/>
          <w:sz w:val="24"/>
          <w:szCs w:val="24"/>
        </w:rPr>
        <w:t xml:space="preserve">иргэд </w:t>
      </w:r>
    </w:p>
    <w:p w:rsidR="00957067" w:rsidRPr="00BB60AE" w:rsidRDefault="00957067" w:rsidP="00957067">
      <w:pPr>
        <w:spacing w:after="0" w:line="264" w:lineRule="auto"/>
        <w:ind w:left="360"/>
        <w:jc w:val="both"/>
        <w:rPr>
          <w:rFonts w:ascii="Arial" w:hAnsi="Arial" w:cs="Arial"/>
          <w:sz w:val="24"/>
          <w:szCs w:val="24"/>
        </w:rPr>
      </w:pPr>
    </w:p>
    <w:p w:rsidR="00730D94" w:rsidRPr="00BB60AE" w:rsidRDefault="00A46EE2" w:rsidP="00730D94">
      <w:pPr>
        <w:jc w:val="both"/>
        <w:rPr>
          <w:rFonts w:ascii="Arial" w:hAnsi="Arial" w:cs="Arial"/>
          <w:sz w:val="24"/>
          <w:szCs w:val="24"/>
        </w:rPr>
      </w:pPr>
      <w:r>
        <w:rPr>
          <w:rFonts w:ascii="Arial" w:hAnsi="Arial" w:cs="Arial"/>
          <w:sz w:val="24"/>
          <w:szCs w:val="24"/>
          <w:lang w:val="mn-MN"/>
        </w:rPr>
        <w:t>4/</w:t>
      </w:r>
      <w:r w:rsidR="00730D94" w:rsidRPr="00BB60AE">
        <w:rPr>
          <w:rFonts w:ascii="Arial" w:hAnsi="Arial" w:cs="Arial"/>
          <w:sz w:val="24"/>
          <w:szCs w:val="24"/>
          <w:lang w:val="mn-MN"/>
        </w:rPr>
        <w:t xml:space="preserve">Хуулийн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w:t>
      </w:r>
      <w:r w:rsidR="006043BA">
        <w:rPr>
          <w:rFonts w:ascii="Arial" w:hAnsi="Arial" w:cs="Arial"/>
          <w:sz w:val="24"/>
          <w:szCs w:val="24"/>
          <w:lang w:val="mn-MN"/>
        </w:rPr>
        <w:t>талаар:</w:t>
      </w:r>
    </w:p>
    <w:p w:rsidR="00224DD4" w:rsidRPr="00BB60AE" w:rsidRDefault="00224DD4" w:rsidP="00A46EE2">
      <w:pPr>
        <w:ind w:firstLine="720"/>
        <w:jc w:val="both"/>
        <w:rPr>
          <w:rFonts w:ascii="Arial" w:hAnsi="Arial" w:cs="Arial"/>
          <w:sz w:val="24"/>
          <w:szCs w:val="24"/>
          <w:lang w:val="mn-MN"/>
        </w:rPr>
      </w:pPr>
      <w:r w:rsidRPr="00BB60AE">
        <w:rPr>
          <w:rFonts w:ascii="Arial" w:hAnsi="Arial" w:cs="Arial"/>
          <w:sz w:val="24"/>
          <w:szCs w:val="24"/>
          <w:lang w:val="mn-MN"/>
        </w:rPr>
        <w:t>Хуулийн төсөлтэй холбогдон Банкны тухай хуульд өөрчлөлт оруулах тухай, Бан</w:t>
      </w:r>
      <w:r w:rsidR="00A46EE2">
        <w:rPr>
          <w:rFonts w:ascii="Arial" w:hAnsi="Arial" w:cs="Arial"/>
          <w:sz w:val="24"/>
          <w:szCs w:val="24"/>
          <w:lang w:val="mn-MN"/>
        </w:rPr>
        <w:t>к бус санхүүгийн үйл ажиллагааний</w:t>
      </w:r>
      <w:r w:rsidRPr="00BB60AE">
        <w:rPr>
          <w:rFonts w:ascii="Arial" w:hAnsi="Arial" w:cs="Arial"/>
          <w:sz w:val="24"/>
          <w:szCs w:val="24"/>
          <w:lang w:val="mn-MN"/>
        </w:rPr>
        <w:t xml:space="preserve"> тухай хуульд өөрчлөлт оруулах тухай, Валютын зохицуулалтын тухай хууль хүчингүй болсонд тооцох тухай, Төлбөр тооцоог үндэсний мөнгө тэмдэгтээр гүйцэтгэх тухай хууль хүчингүй болсонд тооцох тухай хуулийн төслийг боловсруулсан. </w:t>
      </w:r>
    </w:p>
    <w:p w:rsidR="000037C5" w:rsidRPr="00BB60AE" w:rsidRDefault="000037C5" w:rsidP="00967490">
      <w:pPr>
        <w:jc w:val="center"/>
        <w:rPr>
          <w:rFonts w:ascii="Arial" w:hAnsi="Arial" w:cs="Arial"/>
          <w:sz w:val="24"/>
          <w:szCs w:val="24"/>
          <w:lang w:val="mn-MN"/>
        </w:rPr>
      </w:pPr>
      <w:r w:rsidRPr="00BB60AE">
        <w:rPr>
          <w:rFonts w:ascii="Arial" w:hAnsi="Arial" w:cs="Arial"/>
          <w:sz w:val="24"/>
          <w:szCs w:val="24"/>
          <w:lang w:val="mn-MN"/>
        </w:rPr>
        <w:t>-----о0о----</w:t>
      </w:r>
    </w:p>
    <w:p w:rsidR="00E3280B" w:rsidRPr="00BB60AE" w:rsidRDefault="00E3280B" w:rsidP="00730D94">
      <w:pPr>
        <w:jc w:val="both"/>
        <w:rPr>
          <w:rFonts w:ascii="Arial" w:hAnsi="Arial" w:cs="Arial"/>
          <w:sz w:val="24"/>
          <w:szCs w:val="24"/>
          <w:lang w:val="mn-MN"/>
        </w:rPr>
      </w:pPr>
    </w:p>
    <w:p w:rsidR="00957067" w:rsidRPr="00BB60AE" w:rsidRDefault="00957067">
      <w:pPr>
        <w:jc w:val="both"/>
        <w:rPr>
          <w:rFonts w:ascii="Arial" w:hAnsi="Arial" w:cs="Arial"/>
          <w:sz w:val="24"/>
          <w:szCs w:val="24"/>
          <w:lang w:val="mn-MN"/>
        </w:rPr>
      </w:pPr>
    </w:p>
    <w:sectPr w:rsidR="00957067" w:rsidRPr="00BB60AE" w:rsidSect="00957067">
      <w:pgSz w:w="12240" w:h="15840"/>
      <w:pgMar w:top="1134" w:right="873"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29F" w:rsidRDefault="0005129F" w:rsidP="00730D94">
      <w:pPr>
        <w:spacing w:after="0" w:line="240" w:lineRule="auto"/>
      </w:pPr>
      <w:r>
        <w:separator/>
      </w:r>
    </w:p>
  </w:endnote>
  <w:endnote w:type="continuationSeparator" w:id="0">
    <w:p w:rsidR="0005129F" w:rsidRDefault="0005129F" w:rsidP="00730D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29F" w:rsidRDefault="0005129F" w:rsidP="00730D94">
      <w:pPr>
        <w:spacing w:after="0" w:line="240" w:lineRule="auto"/>
      </w:pPr>
      <w:r>
        <w:separator/>
      </w:r>
    </w:p>
  </w:footnote>
  <w:footnote w:type="continuationSeparator" w:id="0">
    <w:p w:rsidR="0005129F" w:rsidRDefault="0005129F" w:rsidP="00730D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76012"/>
    <w:multiLevelType w:val="hybridMultilevel"/>
    <w:tmpl w:val="89B8F7BA"/>
    <w:lvl w:ilvl="0" w:tplc="C7AA70B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7F743BE"/>
    <w:multiLevelType w:val="hybridMultilevel"/>
    <w:tmpl w:val="4488AA7A"/>
    <w:lvl w:ilvl="0" w:tplc="5C3CDB66">
      <w:start w:val="1"/>
      <w:numFmt w:val="bullet"/>
      <w:lvlText w:val="-"/>
      <w:lvlJc w:val="left"/>
      <w:pPr>
        <w:tabs>
          <w:tab w:val="num" w:pos="720"/>
        </w:tabs>
        <w:ind w:left="720" w:hanging="360"/>
      </w:pPr>
      <w:rPr>
        <w:rFonts w:ascii="Times New Roman" w:hAnsi="Times New Roman" w:hint="default"/>
      </w:rPr>
    </w:lvl>
    <w:lvl w:ilvl="1" w:tplc="6F324A5A" w:tentative="1">
      <w:start w:val="1"/>
      <w:numFmt w:val="bullet"/>
      <w:lvlText w:val="-"/>
      <w:lvlJc w:val="left"/>
      <w:pPr>
        <w:tabs>
          <w:tab w:val="num" w:pos="1440"/>
        </w:tabs>
        <w:ind w:left="1440" w:hanging="360"/>
      </w:pPr>
      <w:rPr>
        <w:rFonts w:ascii="Times New Roman" w:hAnsi="Times New Roman" w:hint="default"/>
      </w:rPr>
    </w:lvl>
    <w:lvl w:ilvl="2" w:tplc="F5EC0C38" w:tentative="1">
      <w:start w:val="1"/>
      <w:numFmt w:val="bullet"/>
      <w:lvlText w:val="-"/>
      <w:lvlJc w:val="left"/>
      <w:pPr>
        <w:tabs>
          <w:tab w:val="num" w:pos="2160"/>
        </w:tabs>
        <w:ind w:left="2160" w:hanging="360"/>
      </w:pPr>
      <w:rPr>
        <w:rFonts w:ascii="Times New Roman" w:hAnsi="Times New Roman" w:hint="default"/>
      </w:rPr>
    </w:lvl>
    <w:lvl w:ilvl="3" w:tplc="07FA4DBC" w:tentative="1">
      <w:start w:val="1"/>
      <w:numFmt w:val="bullet"/>
      <w:lvlText w:val="-"/>
      <w:lvlJc w:val="left"/>
      <w:pPr>
        <w:tabs>
          <w:tab w:val="num" w:pos="2880"/>
        </w:tabs>
        <w:ind w:left="2880" w:hanging="360"/>
      </w:pPr>
      <w:rPr>
        <w:rFonts w:ascii="Times New Roman" w:hAnsi="Times New Roman" w:hint="default"/>
      </w:rPr>
    </w:lvl>
    <w:lvl w:ilvl="4" w:tplc="80E2DA72" w:tentative="1">
      <w:start w:val="1"/>
      <w:numFmt w:val="bullet"/>
      <w:lvlText w:val="-"/>
      <w:lvlJc w:val="left"/>
      <w:pPr>
        <w:tabs>
          <w:tab w:val="num" w:pos="3600"/>
        </w:tabs>
        <w:ind w:left="3600" w:hanging="360"/>
      </w:pPr>
      <w:rPr>
        <w:rFonts w:ascii="Times New Roman" w:hAnsi="Times New Roman" w:hint="default"/>
      </w:rPr>
    </w:lvl>
    <w:lvl w:ilvl="5" w:tplc="C6F087A0" w:tentative="1">
      <w:start w:val="1"/>
      <w:numFmt w:val="bullet"/>
      <w:lvlText w:val="-"/>
      <w:lvlJc w:val="left"/>
      <w:pPr>
        <w:tabs>
          <w:tab w:val="num" w:pos="4320"/>
        </w:tabs>
        <w:ind w:left="4320" w:hanging="360"/>
      </w:pPr>
      <w:rPr>
        <w:rFonts w:ascii="Times New Roman" w:hAnsi="Times New Roman" w:hint="default"/>
      </w:rPr>
    </w:lvl>
    <w:lvl w:ilvl="6" w:tplc="9CCE3722" w:tentative="1">
      <w:start w:val="1"/>
      <w:numFmt w:val="bullet"/>
      <w:lvlText w:val="-"/>
      <w:lvlJc w:val="left"/>
      <w:pPr>
        <w:tabs>
          <w:tab w:val="num" w:pos="5040"/>
        </w:tabs>
        <w:ind w:left="5040" w:hanging="360"/>
      </w:pPr>
      <w:rPr>
        <w:rFonts w:ascii="Times New Roman" w:hAnsi="Times New Roman" w:hint="default"/>
      </w:rPr>
    </w:lvl>
    <w:lvl w:ilvl="7" w:tplc="67F21290" w:tentative="1">
      <w:start w:val="1"/>
      <w:numFmt w:val="bullet"/>
      <w:lvlText w:val="-"/>
      <w:lvlJc w:val="left"/>
      <w:pPr>
        <w:tabs>
          <w:tab w:val="num" w:pos="5760"/>
        </w:tabs>
        <w:ind w:left="5760" w:hanging="360"/>
      </w:pPr>
      <w:rPr>
        <w:rFonts w:ascii="Times New Roman" w:hAnsi="Times New Roman" w:hint="default"/>
      </w:rPr>
    </w:lvl>
    <w:lvl w:ilvl="8" w:tplc="99B8D118" w:tentative="1">
      <w:start w:val="1"/>
      <w:numFmt w:val="bullet"/>
      <w:lvlText w:val="-"/>
      <w:lvlJc w:val="left"/>
      <w:pPr>
        <w:tabs>
          <w:tab w:val="num" w:pos="6480"/>
        </w:tabs>
        <w:ind w:left="6480" w:hanging="360"/>
      </w:pPr>
      <w:rPr>
        <w:rFonts w:ascii="Times New Roman" w:hAnsi="Times New Roman" w:hint="default"/>
      </w:rPr>
    </w:lvl>
  </w:abstractNum>
  <w:abstractNum w:abstractNumId="2">
    <w:nsid w:val="46BD75BC"/>
    <w:multiLevelType w:val="hybridMultilevel"/>
    <w:tmpl w:val="FDDA3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C594093"/>
    <w:multiLevelType w:val="multilevel"/>
    <w:tmpl w:val="CC2C6B38"/>
    <w:lvl w:ilvl="0">
      <w:start w:val="1"/>
      <w:numFmt w:val="upperRoman"/>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6C472699"/>
    <w:multiLevelType w:val="hybridMultilevel"/>
    <w:tmpl w:val="40CAFA94"/>
    <w:lvl w:ilvl="0" w:tplc="92C07AF4">
      <w:start w:val="1"/>
      <w:numFmt w:val="bullet"/>
      <w:lvlText w:val=""/>
      <w:lvlJc w:val="left"/>
      <w:pPr>
        <w:ind w:left="-90" w:hanging="360"/>
      </w:pPr>
      <w:rPr>
        <w:rFonts w:ascii="Symbol" w:hAnsi="Symbol" w:hint="default"/>
      </w:rPr>
    </w:lvl>
    <w:lvl w:ilvl="1" w:tplc="47BE9F76">
      <w:start w:val="1"/>
      <w:numFmt w:val="bullet"/>
      <w:lvlText w:val="o"/>
      <w:lvlJc w:val="left"/>
      <w:pPr>
        <w:ind w:left="630" w:hanging="360"/>
      </w:pPr>
      <w:rPr>
        <w:rFonts w:ascii="Courier New" w:hAnsi="Courier New" w:cs="Courier New" w:hint="default"/>
      </w:rPr>
    </w:lvl>
    <w:lvl w:ilvl="2" w:tplc="02E200EA" w:tentative="1">
      <w:start w:val="1"/>
      <w:numFmt w:val="bullet"/>
      <w:lvlText w:val=""/>
      <w:lvlJc w:val="left"/>
      <w:pPr>
        <w:ind w:left="1350" w:hanging="360"/>
      </w:pPr>
      <w:rPr>
        <w:rFonts w:ascii="Wingdings" w:hAnsi="Wingdings" w:hint="default"/>
      </w:rPr>
    </w:lvl>
    <w:lvl w:ilvl="3" w:tplc="8598A648" w:tentative="1">
      <w:start w:val="1"/>
      <w:numFmt w:val="bullet"/>
      <w:lvlText w:val=""/>
      <w:lvlJc w:val="left"/>
      <w:pPr>
        <w:ind w:left="2070" w:hanging="360"/>
      </w:pPr>
      <w:rPr>
        <w:rFonts w:ascii="Symbol" w:hAnsi="Symbol" w:hint="default"/>
      </w:rPr>
    </w:lvl>
    <w:lvl w:ilvl="4" w:tplc="818A0094" w:tentative="1">
      <w:start w:val="1"/>
      <w:numFmt w:val="bullet"/>
      <w:lvlText w:val="o"/>
      <w:lvlJc w:val="left"/>
      <w:pPr>
        <w:ind w:left="2790" w:hanging="360"/>
      </w:pPr>
      <w:rPr>
        <w:rFonts w:ascii="Courier New" w:hAnsi="Courier New" w:cs="Courier New" w:hint="default"/>
      </w:rPr>
    </w:lvl>
    <w:lvl w:ilvl="5" w:tplc="A7585BDC" w:tentative="1">
      <w:start w:val="1"/>
      <w:numFmt w:val="bullet"/>
      <w:lvlText w:val=""/>
      <w:lvlJc w:val="left"/>
      <w:pPr>
        <w:ind w:left="3510" w:hanging="360"/>
      </w:pPr>
      <w:rPr>
        <w:rFonts w:ascii="Wingdings" w:hAnsi="Wingdings" w:hint="default"/>
      </w:rPr>
    </w:lvl>
    <w:lvl w:ilvl="6" w:tplc="5A783482" w:tentative="1">
      <w:start w:val="1"/>
      <w:numFmt w:val="bullet"/>
      <w:lvlText w:val=""/>
      <w:lvlJc w:val="left"/>
      <w:pPr>
        <w:ind w:left="4230" w:hanging="360"/>
      </w:pPr>
      <w:rPr>
        <w:rFonts w:ascii="Symbol" w:hAnsi="Symbol" w:hint="default"/>
      </w:rPr>
    </w:lvl>
    <w:lvl w:ilvl="7" w:tplc="ED0C9D68" w:tentative="1">
      <w:start w:val="1"/>
      <w:numFmt w:val="bullet"/>
      <w:lvlText w:val="o"/>
      <w:lvlJc w:val="left"/>
      <w:pPr>
        <w:ind w:left="4950" w:hanging="360"/>
      </w:pPr>
      <w:rPr>
        <w:rFonts w:ascii="Courier New" w:hAnsi="Courier New" w:cs="Courier New" w:hint="default"/>
      </w:rPr>
    </w:lvl>
    <w:lvl w:ilvl="8" w:tplc="4ECC6286" w:tentative="1">
      <w:start w:val="1"/>
      <w:numFmt w:val="bullet"/>
      <w:lvlText w:val=""/>
      <w:lvlJc w:val="left"/>
      <w:pPr>
        <w:ind w:left="5670" w:hanging="360"/>
      </w:pPr>
      <w:rPr>
        <w:rFonts w:ascii="Wingdings" w:hAnsi="Wingdings" w:hint="default"/>
      </w:rPr>
    </w:lvl>
  </w:abstractNum>
  <w:abstractNum w:abstractNumId="5">
    <w:nsid w:val="7B722765"/>
    <w:multiLevelType w:val="hybridMultilevel"/>
    <w:tmpl w:val="09288AFA"/>
    <w:lvl w:ilvl="0" w:tplc="35B4811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3280B"/>
    <w:rsid w:val="000037C5"/>
    <w:rsid w:val="00013BD6"/>
    <w:rsid w:val="0002613F"/>
    <w:rsid w:val="0005129F"/>
    <w:rsid w:val="00060077"/>
    <w:rsid w:val="000716BC"/>
    <w:rsid w:val="0007471D"/>
    <w:rsid w:val="00094E78"/>
    <w:rsid w:val="000A0035"/>
    <w:rsid w:val="000A65D0"/>
    <w:rsid w:val="000D04E9"/>
    <w:rsid w:val="00125F92"/>
    <w:rsid w:val="001F0199"/>
    <w:rsid w:val="00224DD4"/>
    <w:rsid w:val="002551B3"/>
    <w:rsid w:val="002A694C"/>
    <w:rsid w:val="00315039"/>
    <w:rsid w:val="0033266A"/>
    <w:rsid w:val="0036364E"/>
    <w:rsid w:val="00364378"/>
    <w:rsid w:val="003B7D5B"/>
    <w:rsid w:val="003E1FD0"/>
    <w:rsid w:val="004051CE"/>
    <w:rsid w:val="00480C56"/>
    <w:rsid w:val="004A4B7D"/>
    <w:rsid w:val="004B4CB9"/>
    <w:rsid w:val="00502A12"/>
    <w:rsid w:val="00572F91"/>
    <w:rsid w:val="00590972"/>
    <w:rsid w:val="00593741"/>
    <w:rsid w:val="006043BA"/>
    <w:rsid w:val="0066574A"/>
    <w:rsid w:val="006B5236"/>
    <w:rsid w:val="006E5562"/>
    <w:rsid w:val="00730D94"/>
    <w:rsid w:val="0077595B"/>
    <w:rsid w:val="007C35CF"/>
    <w:rsid w:val="007C3943"/>
    <w:rsid w:val="007D158B"/>
    <w:rsid w:val="008548B1"/>
    <w:rsid w:val="00891F3C"/>
    <w:rsid w:val="008A5CB1"/>
    <w:rsid w:val="008F09B7"/>
    <w:rsid w:val="00902CB4"/>
    <w:rsid w:val="00957067"/>
    <w:rsid w:val="00967490"/>
    <w:rsid w:val="009E1C32"/>
    <w:rsid w:val="00A46EE2"/>
    <w:rsid w:val="00AC1980"/>
    <w:rsid w:val="00AD1D07"/>
    <w:rsid w:val="00B47BC9"/>
    <w:rsid w:val="00BB60AE"/>
    <w:rsid w:val="00BD10F2"/>
    <w:rsid w:val="00C21903"/>
    <w:rsid w:val="00C34BCE"/>
    <w:rsid w:val="00C874E8"/>
    <w:rsid w:val="00D245BC"/>
    <w:rsid w:val="00D46A8D"/>
    <w:rsid w:val="00D7167A"/>
    <w:rsid w:val="00DE4BD0"/>
    <w:rsid w:val="00DF1202"/>
    <w:rsid w:val="00DF78F6"/>
    <w:rsid w:val="00E02E62"/>
    <w:rsid w:val="00E1043E"/>
    <w:rsid w:val="00E3280B"/>
    <w:rsid w:val="00E508B9"/>
    <w:rsid w:val="00E8700B"/>
    <w:rsid w:val="00E92ACA"/>
    <w:rsid w:val="00EC4980"/>
    <w:rsid w:val="00ED5C42"/>
    <w:rsid w:val="00EF4F65"/>
    <w:rsid w:val="00EF5E0A"/>
    <w:rsid w:val="00F977A0"/>
    <w:rsid w:val="00FB6A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C56"/>
  </w:style>
  <w:style w:type="paragraph" w:styleId="Heading1">
    <w:name w:val="heading 1"/>
    <w:basedOn w:val="Normal"/>
    <w:next w:val="Normal"/>
    <w:link w:val="Heading1Char"/>
    <w:uiPriority w:val="9"/>
    <w:qFormat/>
    <w:rsid w:val="00730D94"/>
    <w:pPr>
      <w:keepNext/>
      <w:keepLines/>
      <w:numPr>
        <w:numId w:val="3"/>
      </w:numPr>
      <w:spacing w:after="240" w:line="264" w:lineRule="auto"/>
      <w:jc w:val="both"/>
      <w:outlineLvl w:val="0"/>
    </w:pPr>
    <w:rPr>
      <w:rFonts w:ascii="Times New Roman" w:eastAsia="Times New Roman" w:hAnsi="Times New Roman" w:cs="Times New Roman"/>
      <w:b/>
      <w:bCs/>
      <w:caps/>
      <w:szCs w:val="28"/>
      <w:lang w:bidi="en-US"/>
    </w:rPr>
  </w:style>
  <w:style w:type="paragraph" w:styleId="Heading2">
    <w:name w:val="heading 2"/>
    <w:basedOn w:val="Normal"/>
    <w:next w:val="Normal"/>
    <w:link w:val="Heading2Char"/>
    <w:uiPriority w:val="9"/>
    <w:unhideWhenUsed/>
    <w:qFormat/>
    <w:rsid w:val="00730D94"/>
    <w:pPr>
      <w:keepNext/>
      <w:keepLines/>
      <w:numPr>
        <w:ilvl w:val="1"/>
        <w:numId w:val="3"/>
      </w:numPr>
      <w:spacing w:before="200" w:after="120" w:line="264" w:lineRule="auto"/>
      <w:jc w:val="both"/>
      <w:outlineLvl w:val="1"/>
    </w:pPr>
    <w:rPr>
      <w:rFonts w:ascii="Times New Roman" w:eastAsia="Times New Roman" w:hAnsi="Times New Roman" w:cs="Times New Roman"/>
      <w:b/>
      <w:bCs/>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7C5"/>
    <w:pPr>
      <w:spacing w:after="60" w:line="264" w:lineRule="auto"/>
      <w:ind w:left="1440" w:hanging="360"/>
      <w:jc w:val="both"/>
    </w:pPr>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rsid w:val="00730D94"/>
    <w:rPr>
      <w:rFonts w:ascii="Times New Roman" w:eastAsia="Times New Roman" w:hAnsi="Times New Roman" w:cs="Times New Roman"/>
      <w:b/>
      <w:bCs/>
      <w:caps/>
      <w:szCs w:val="28"/>
      <w:lang w:bidi="en-US"/>
    </w:rPr>
  </w:style>
  <w:style w:type="character" w:customStyle="1" w:styleId="Heading2Char">
    <w:name w:val="Heading 2 Char"/>
    <w:basedOn w:val="DefaultParagraphFont"/>
    <w:link w:val="Heading2"/>
    <w:uiPriority w:val="9"/>
    <w:rsid w:val="00730D94"/>
    <w:rPr>
      <w:rFonts w:ascii="Times New Roman" w:eastAsia="Times New Roman" w:hAnsi="Times New Roman" w:cs="Times New Roman"/>
      <w:b/>
      <w:bCs/>
      <w:szCs w:val="26"/>
      <w:lang w:bidi="en-US"/>
    </w:rPr>
  </w:style>
  <w:style w:type="paragraph" w:styleId="FootnoteText">
    <w:name w:val="footnote text"/>
    <w:basedOn w:val="Normal"/>
    <w:link w:val="FootnoteTextChar"/>
    <w:uiPriority w:val="99"/>
    <w:semiHidden/>
    <w:unhideWhenUsed/>
    <w:rsid w:val="00730D9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30D94"/>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30D94"/>
    <w:rPr>
      <w:vertAlign w:val="superscript"/>
    </w:rPr>
  </w:style>
  <w:style w:type="paragraph" w:styleId="BalloonText">
    <w:name w:val="Balloon Text"/>
    <w:basedOn w:val="Normal"/>
    <w:link w:val="BalloonTextChar"/>
    <w:uiPriority w:val="99"/>
    <w:semiHidden/>
    <w:unhideWhenUsed/>
    <w:rsid w:val="00854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8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61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dc:creator>
  <cp:lastModifiedBy>Tsogzolbayar</cp:lastModifiedBy>
  <cp:revision>17</cp:revision>
  <cp:lastPrinted>2018-06-27T06:23:00Z</cp:lastPrinted>
  <dcterms:created xsi:type="dcterms:W3CDTF">2018-06-26T09:11:00Z</dcterms:created>
  <dcterms:modified xsi:type="dcterms:W3CDTF">2018-06-27T09:16:00Z</dcterms:modified>
</cp:coreProperties>
</file>