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80711" w14:textId="77777777" w:rsidR="00D56F15" w:rsidRDefault="00D56F15" w:rsidP="00D3584B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4, 5 дахь хэлэлцүүлэгт </w:t>
      </w:r>
    </w:p>
    <w:p w14:paraId="703D2427" w14:textId="4585A5D7" w:rsidR="00D56F15" w:rsidRDefault="00925445" w:rsidP="00D3584B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</w:t>
      </w:r>
    </w:p>
    <w:p w14:paraId="128C16A5" w14:textId="65217756" w:rsidR="00925445" w:rsidRPr="00D56F15" w:rsidRDefault="00925445" w:rsidP="00D3584B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  <w:r w:rsidRPr="00D56F15"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  <w:t>Т</w:t>
      </w:r>
      <w:r w:rsidR="00D56F15" w:rsidRPr="00D56F15"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  <w:t>өсөл</w:t>
      </w:r>
    </w:p>
    <w:p w14:paraId="234D8126" w14:textId="77777777" w:rsidR="00925445" w:rsidRPr="00B115E9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F605409" w14:textId="77777777" w:rsidR="00925445" w:rsidRPr="00B115E9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5D84D72D" w14:textId="77777777" w:rsidR="00925445" w:rsidRPr="00B115E9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D71F30A" w14:textId="0D936629" w:rsidR="00BA799E" w:rsidRPr="0077103C" w:rsidRDefault="00BA799E" w:rsidP="00BA799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...</w:t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д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у</w:t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>г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аа</w:t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р </w:t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       Улаанбаатар</w:t>
      </w:r>
      <w:r w:rsidRPr="0077103C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 xml:space="preserve"> </w:t>
      </w:r>
    </w:p>
    <w:p w14:paraId="5785A9FD" w14:textId="77FD9EFF" w:rsidR="00BA799E" w:rsidRPr="0077103C" w:rsidRDefault="00BA799E" w:rsidP="00BA799E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сарын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...</w:t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-ны өдөр    </w:t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     хот</w:t>
      </w:r>
      <w:r w:rsidRPr="0077103C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</w:p>
    <w:p w14:paraId="06C32FD3" w14:textId="77777777" w:rsidR="00925445" w:rsidRPr="00B115E9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AC10ACD" w14:textId="77777777" w:rsidR="00BA799E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НИЙГМИЙН ДААТГАЛЫН САНГИЙН </w:t>
      </w:r>
    </w:p>
    <w:p w14:paraId="090E72B2" w14:textId="57C990B3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</w:t>
      </w:r>
      <w:r w:rsidR="00820F24"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0A52BD41" w14:textId="77777777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D9EB1F1" w14:textId="336880B2" w:rsidR="00925445" w:rsidRPr="00B115E9" w:rsidRDefault="00925445" w:rsidP="000B5EF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4C1D6B6D" w14:textId="77777777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1FAF1EA0" w14:textId="77777777" w:rsidR="00925445" w:rsidRPr="00B115E9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C36946D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693AF96" w14:textId="01EF5E22" w:rsidR="00925445" w:rsidRDefault="00BA799E" w:rsidP="00BA799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77103C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1D6534A9" w14:textId="77777777" w:rsidR="00BA799E" w:rsidRPr="00B115E9" w:rsidRDefault="00BA799E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AC3DFD8" w14:textId="248D7EF9" w:rsidR="00925445" w:rsidRPr="00B115E9" w:rsidRDefault="00510B9B" w:rsidP="00BA799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1.1.</w:t>
      </w:r>
      <w:r w:rsidR="00925445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хуулийн зорилт нь Нийгмийн даатгалын санд 202</w:t>
      </w:r>
      <w:r w:rsidR="00820F24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="00925445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176F067C" w14:textId="77777777" w:rsidR="00925445" w:rsidRPr="00B115E9" w:rsidRDefault="00925445" w:rsidP="0092544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958928C" w14:textId="1D8390ED" w:rsidR="00925445" w:rsidRPr="00B115E9" w:rsidRDefault="00925445" w:rsidP="003F5CF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зүйл.Нийгмийн даатгалын сангийн 202</w:t>
      </w:r>
      <w:r w:rsidR="00820F24"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Pr="00B115E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75FAD3FB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2A33D32" w14:textId="4D071A6C" w:rsidR="00925445" w:rsidRDefault="00925445" w:rsidP="003F5CF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2.1.Нийгмийн даатгалын сангийн 202</w:t>
      </w:r>
      <w:r w:rsidR="00820F24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хууль тогтоомж нь Төсвийн тухай хууль, Төсвийн тогтвортой байдлын тухай хууль, Нийгмийн даатгалын </w:t>
      </w:r>
      <w:r w:rsidR="0015103D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ерөнхий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хууль, энэ хууль болон эдгээр хуультай нийцүүлэн гаргасан хууль тогтоомжийн бусад актаас бүрдэнэ.</w:t>
      </w:r>
    </w:p>
    <w:p w14:paraId="60995B06" w14:textId="77777777" w:rsidR="003F5CF9" w:rsidRPr="00B115E9" w:rsidRDefault="003F5CF9" w:rsidP="003F5CF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3BFA7FF9" w14:textId="77777777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140C3FF6" w14:textId="77777777" w:rsidR="00925445" w:rsidRPr="00B115E9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16259FE" w14:textId="3F647D81" w:rsidR="00925445" w:rsidRDefault="00925445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санд 202</w:t>
      </w:r>
      <w:r w:rsidR="00820F24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</w:t>
      </w:r>
      <w:r w:rsidRPr="003A5654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орлого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3A5654" w:rsidRPr="002D3E47">
        <w:rPr>
          <w:rFonts w:ascii="Arial" w:eastAsia="Times New Roman" w:hAnsi="Arial" w:cs="Arial"/>
          <w:bCs/>
          <w:noProof/>
          <w:sz w:val="24"/>
          <w:szCs w:val="24"/>
          <w:u w:val="single"/>
          <w:lang w:val="mn-MN"/>
        </w:rPr>
        <w:t>орлогыг</w:t>
      </w:r>
      <w:r w:rsidR="003A5654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төвлөрүүлнэ:</w:t>
      </w:r>
    </w:p>
    <w:p w14:paraId="0FA08F96" w14:textId="77777777" w:rsidR="001A1DDC" w:rsidRDefault="001A1DDC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9034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66"/>
        <w:gridCol w:w="879"/>
        <w:gridCol w:w="5646"/>
        <w:gridCol w:w="1843"/>
      </w:tblGrid>
      <w:tr w:rsidR="001A1DDC" w:rsidRPr="0077103C" w14:paraId="257C3D5C" w14:textId="77777777" w:rsidTr="00EC4868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B177" w14:textId="77777777" w:rsidR="001A1DDC" w:rsidRPr="0077103C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2BCC" w14:textId="77777777" w:rsidR="001A1DDC" w:rsidRPr="0077103C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1DD4" w14:textId="77777777" w:rsidR="001A1DDC" w:rsidRPr="0077103C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7710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1A1DDC" w:rsidRPr="00EF6E16" w14:paraId="1B10B0E7" w14:textId="77777777" w:rsidTr="00EC4868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AC91E" w14:textId="11B1B500" w:rsidR="001A1DDC" w:rsidRPr="00ED4618" w:rsidRDefault="00806A80" w:rsidP="00806A80">
            <w:pPr>
              <w:spacing w:after="0" w:line="240" w:lineRule="auto"/>
              <w:ind w:left="-37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</w:t>
            </w:r>
            <w:r w:rsidR="001A1DDC" w:rsidRPr="00ED461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  <w:p w14:paraId="7283B464" w14:textId="77777777" w:rsidR="001A1DDC" w:rsidRPr="0077103C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41AC5764" w14:textId="77777777" w:rsidR="001A1DDC" w:rsidRPr="0077103C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0BA162EF" w14:textId="77777777" w:rsidR="001A1DDC" w:rsidRPr="0077103C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495D28DD" w14:textId="77777777" w:rsidR="001A1DDC" w:rsidRPr="0077103C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15F58F6A" w14:textId="77777777" w:rsidR="001A1DDC" w:rsidRPr="0077103C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088B82EB" w14:textId="77777777" w:rsidR="001A1DDC" w:rsidRPr="0077103C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6B2A27B1" w14:textId="77777777" w:rsidR="001A1DDC" w:rsidRPr="0077103C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12123D72" w14:textId="4B41A597" w:rsidR="001A1DDC" w:rsidRPr="0077103C" w:rsidRDefault="001A1DDC" w:rsidP="00806A80">
            <w:pPr>
              <w:spacing w:after="0" w:line="240" w:lineRule="auto"/>
              <w:ind w:left="-37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0CC0512" w14:textId="7777777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D71D" w14:textId="77777777" w:rsidR="001A1DDC" w:rsidRPr="000B6D82" w:rsidRDefault="001A1DDC" w:rsidP="00C167B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sz w:val="24"/>
                <w:szCs w:val="24"/>
                <w:highlight w:val="yellow"/>
                <w:lang w:val="mn-MN"/>
              </w:rPr>
            </w:pPr>
            <w:r w:rsidRPr="000B6D82">
              <w:rPr>
                <w:rFonts w:ascii="Arial" w:hAnsi="Arial" w:cs="Arial"/>
                <w:b/>
                <w:bCs/>
                <w:strike/>
                <w:color w:val="000000" w:themeColor="text1"/>
                <w:sz w:val="24"/>
                <w:szCs w:val="24"/>
                <w:highlight w:val="yellow"/>
                <w:lang w:val="mn-MN"/>
              </w:rPr>
              <w:t>7,653,899.8</w:t>
            </w:r>
          </w:p>
          <w:p w14:paraId="0DEB6865" w14:textId="1AF8ED6C" w:rsidR="00EF6E16" w:rsidRPr="00EF6E16" w:rsidRDefault="00EF6E16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trike/>
                <w:color w:val="000000"/>
                <w:sz w:val="24"/>
                <w:szCs w:val="24"/>
                <w:u w:val="single"/>
                <w:lang w:val="mn-MN"/>
              </w:rPr>
            </w:pPr>
            <w:r w:rsidRPr="000B6D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  <w:lang w:val="mn-MN"/>
              </w:rPr>
              <w:t>7,824,713.5</w:t>
            </w:r>
          </w:p>
        </w:tc>
      </w:tr>
      <w:tr w:rsidR="001A1DDC" w:rsidRPr="00EF6E16" w14:paraId="3FFD4D80" w14:textId="77777777" w:rsidTr="00EC4868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48F6" w14:textId="271883C4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E44D" w14:textId="77777777" w:rsidR="001A1DDC" w:rsidRPr="0077103C" w:rsidRDefault="001A1DDC" w:rsidP="00C167B7">
            <w:pPr>
              <w:spacing w:after="0" w:line="240" w:lineRule="auto"/>
              <w:ind w:right="-399"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3093D21" w14:textId="77777777" w:rsidR="001A1DDC" w:rsidRPr="0077103C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 олгогчийн төлөх шимтгэл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017C" w14:textId="77777777" w:rsidR="001A1DDC" w:rsidRPr="000B6D82" w:rsidRDefault="001A1DDC" w:rsidP="00C167B7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highlight w:val="yellow"/>
                <w:lang w:val="mn-MN"/>
              </w:rPr>
            </w:pPr>
            <w:r w:rsidRPr="000B6D82">
              <w:rPr>
                <w:rFonts w:ascii="Arial" w:hAnsi="Arial" w:cs="Arial"/>
                <w:strike/>
                <w:color w:val="000000" w:themeColor="text1"/>
                <w:sz w:val="24"/>
                <w:szCs w:val="24"/>
                <w:highlight w:val="yellow"/>
                <w:lang w:val="mn-MN"/>
              </w:rPr>
              <w:t>3,226,698.2</w:t>
            </w:r>
          </w:p>
          <w:p w14:paraId="447B0F0D" w14:textId="692F2CEE" w:rsidR="00EF6E16" w:rsidRPr="00EF6E16" w:rsidRDefault="00EF6E16" w:rsidP="00EF6E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sz w:val="24"/>
                <w:szCs w:val="24"/>
                <w:u w:val="single"/>
                <w:lang w:val="mn-MN"/>
              </w:rPr>
            </w:pPr>
            <w:r w:rsidRPr="000B6D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  <w:lang w:val="mn-MN"/>
              </w:rPr>
              <w:t>3,252,511.9</w:t>
            </w:r>
          </w:p>
        </w:tc>
      </w:tr>
      <w:tr w:rsidR="001A1DDC" w:rsidRPr="0077103C" w14:paraId="61F093CE" w14:textId="77777777" w:rsidTr="00EC4868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F0ED" w14:textId="6C9D461D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B499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8EA3F33" w14:textId="77777777" w:rsidR="001A1DDC" w:rsidRPr="0077103C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7DC4" w14:textId="106DF293" w:rsidR="001A1DDC" w:rsidRPr="0077103C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0B6D82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mn-MN"/>
              </w:rPr>
              <w:t>2,535,805.9</w:t>
            </w:r>
          </w:p>
        </w:tc>
      </w:tr>
      <w:tr w:rsidR="001A1DDC" w:rsidRPr="006B5A28" w14:paraId="72B664F6" w14:textId="77777777" w:rsidTr="00EC4868">
        <w:trPr>
          <w:trHeight w:val="31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2A3D" w14:textId="3D6A7FD4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4F49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EE6774A" w14:textId="77777777" w:rsidR="001A1DDC" w:rsidRPr="0077103C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Эхийн хүүхэд асрах чөлөөтэй хугацааны шимтгэл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B2E92" w14:textId="6587473D" w:rsidR="001A1DDC" w:rsidRPr="006B5A28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6B5A28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mn-MN"/>
              </w:rPr>
              <w:t>17,305.6</w:t>
            </w:r>
          </w:p>
        </w:tc>
      </w:tr>
      <w:tr w:rsidR="001A1DDC" w:rsidRPr="0077103C" w14:paraId="70DE7362" w14:textId="77777777" w:rsidTr="00EC4868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2DF9" w14:textId="02CF8076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85FF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4FD47A1" w14:textId="77777777" w:rsidR="001A1DDC" w:rsidRPr="0077103C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1A39D" w14:textId="6C7E8D53" w:rsidR="001A1DDC" w:rsidRPr="0077103C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B5A2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mn-MN"/>
              </w:rPr>
              <w:t>132.6</w:t>
            </w:r>
          </w:p>
        </w:tc>
      </w:tr>
      <w:tr w:rsidR="001A1DDC" w:rsidRPr="0077103C" w14:paraId="35FA1826" w14:textId="77777777" w:rsidTr="00EC4868">
        <w:trPr>
          <w:trHeight w:val="31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5D08" w14:textId="04A7BDFE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BB12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8A38019" w14:textId="77777777" w:rsidR="001A1DDC" w:rsidRPr="0077103C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Сайн дурын даатгуулагчаас төлөх шимтгэл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21C4" w14:textId="623A0414" w:rsidR="001A1DDC" w:rsidRPr="0077103C" w:rsidRDefault="001A1DDC" w:rsidP="00C167B7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5A28"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  <w:t>229,785.9</w:t>
            </w:r>
          </w:p>
        </w:tc>
      </w:tr>
      <w:tr w:rsidR="001A1DDC" w:rsidRPr="0077103C" w14:paraId="3F8AC1B1" w14:textId="77777777" w:rsidTr="00EC4868">
        <w:trPr>
          <w:trHeight w:val="27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2945" w14:textId="0B0C8AA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1023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1.6</w:t>
            </w:r>
          </w:p>
          <w:p w14:paraId="4968E0E9" w14:textId="77777777" w:rsidR="001A1DDC" w:rsidRPr="0077103C" w:rsidRDefault="001A1DDC" w:rsidP="00C167B7">
            <w:pPr>
              <w:spacing w:after="0" w:line="240" w:lineRule="auto"/>
              <w:ind w:right="-399"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7892E73" w14:textId="77777777" w:rsidR="001A1DDC" w:rsidRPr="0077103C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C985" w14:textId="621D8080" w:rsidR="001A1DDC" w:rsidRPr="0077103C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B5A2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mn-MN"/>
              </w:rPr>
              <w:t>3,121.0</w:t>
            </w:r>
          </w:p>
        </w:tc>
      </w:tr>
      <w:tr w:rsidR="001A1DDC" w:rsidRPr="0077103C" w14:paraId="0D72B986" w14:textId="77777777" w:rsidTr="00EC4868">
        <w:trPr>
          <w:trHeight w:val="57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7CFD" w14:textId="65A35413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003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</w:t>
            </w:r>
          </w:p>
          <w:p w14:paraId="03868E5D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102CE5" w14:textId="77777777" w:rsidR="001A1DDC" w:rsidRPr="0077103C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өвчний улмаас хөгжлийн бэрхшээлтэй болсон   даатгуулагчийн төлөх шимтгэл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4659" w14:textId="68E6CABF" w:rsidR="001A1DDC" w:rsidRPr="0077103C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B5A2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mn-MN"/>
              </w:rPr>
              <w:t>2,804.8</w:t>
            </w:r>
          </w:p>
        </w:tc>
      </w:tr>
      <w:tr w:rsidR="001A1DDC" w:rsidRPr="0077103C" w14:paraId="64561897" w14:textId="77777777" w:rsidTr="00EC4868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0075" w14:textId="3D1B559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3384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1.8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70F0C78" w14:textId="7777777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E364E" w14:textId="3166B34F" w:rsidR="001A1DDC" w:rsidRPr="0077103C" w:rsidRDefault="001A1DDC" w:rsidP="00C167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6B5A28"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mn-MN"/>
              </w:rPr>
              <w:t>158,672.4</w:t>
            </w:r>
          </w:p>
        </w:tc>
      </w:tr>
      <w:tr w:rsidR="001A1DDC" w:rsidRPr="0077103C" w14:paraId="33666484" w14:textId="77777777" w:rsidTr="00EC4868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32EB" w14:textId="44D00894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47F2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1.9</w:t>
            </w:r>
          </w:p>
          <w:p w14:paraId="2655024E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64639B0" w14:textId="77777777" w:rsidR="001A1DDC" w:rsidRPr="0077103C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 хариуцах иргэдийн тэтгэвэр болон шимтгэлийн хөнгөлөлтийн татаас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1A6B" w14:textId="77777777" w:rsidR="001A1DDC" w:rsidRPr="006B5A28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highlight w:val="yellow"/>
                <w:lang w:val="mn-MN"/>
              </w:rPr>
            </w:pPr>
            <w:r w:rsidRPr="006B5A28"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highlight w:val="yellow"/>
                <w:lang w:val="mn-MN"/>
              </w:rPr>
              <w:t>1,479.,573.3</w:t>
            </w:r>
          </w:p>
          <w:p w14:paraId="6F1FD61F" w14:textId="4B664DD1" w:rsidR="00A866A1" w:rsidRPr="00A866A1" w:rsidRDefault="00A866A1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mn-MN"/>
              </w:rPr>
            </w:pPr>
            <w:r w:rsidRPr="006B5A2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  <w:lang w:val="mn-MN"/>
              </w:rPr>
              <w:t>1,624,573.3</w:t>
            </w:r>
          </w:p>
        </w:tc>
      </w:tr>
      <w:tr w:rsidR="001A1DDC" w:rsidRPr="0077103C" w14:paraId="7B687B37" w14:textId="77777777" w:rsidTr="00EC4868">
        <w:trPr>
          <w:trHeight w:val="300"/>
        </w:trPr>
        <w:tc>
          <w:tcPr>
            <w:tcW w:w="7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DC2A" w14:textId="77777777" w:rsidR="001A1DDC" w:rsidRPr="0077103C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3784" w14:textId="77777777" w:rsidR="001A1DDC" w:rsidRPr="00EC4868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trike/>
                <w:color w:val="000000"/>
                <w:sz w:val="24"/>
                <w:szCs w:val="24"/>
                <w:lang w:val="mn-MN"/>
              </w:rPr>
            </w:pPr>
            <w:r w:rsidRPr="006B5A28">
              <w:rPr>
                <w:rFonts w:ascii="Arial" w:eastAsia="Times New Roman" w:hAnsi="Arial" w:cs="Arial"/>
                <w:b/>
                <w:bCs/>
                <w:strike/>
                <w:color w:val="000000"/>
                <w:sz w:val="24"/>
                <w:szCs w:val="24"/>
                <w:highlight w:val="yellow"/>
                <w:lang w:val="mn-MN"/>
              </w:rPr>
              <w:t>7,653,899.8</w:t>
            </w:r>
          </w:p>
          <w:p w14:paraId="0069F1A8" w14:textId="76108577" w:rsidR="00EC4868" w:rsidRPr="00EC4868" w:rsidRDefault="00EC4868" w:rsidP="00EC4868">
            <w:pPr>
              <w:spacing w:after="0" w:line="240" w:lineRule="auto"/>
              <w:jc w:val="right"/>
              <w:rPr>
                <w:u w:val="single"/>
                <w:lang w:val="mn-MN"/>
              </w:rPr>
            </w:pPr>
            <w:r w:rsidRPr="006B5A2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  <w:lang w:val="mn-MN"/>
              </w:rPr>
              <w:t>7,824,713.5</w:t>
            </w:r>
          </w:p>
        </w:tc>
      </w:tr>
    </w:tbl>
    <w:p w14:paraId="5C798B64" w14:textId="734A8693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3DE572FD" w14:textId="1D667A4D" w:rsidR="00925445" w:rsidRPr="00B115E9" w:rsidRDefault="00925445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сангийн төсөвт 202</w:t>
      </w:r>
      <w:r w:rsidR="00D941B9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эргэн төлөх </w:t>
      </w:r>
      <w:r w:rsidRPr="003A5654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төлбөр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3A5654" w:rsidRPr="003A5654">
        <w:rPr>
          <w:rFonts w:ascii="Arial" w:eastAsia="Times New Roman" w:hAnsi="Arial" w:cs="Arial"/>
          <w:b/>
          <w:bCs/>
          <w:noProof/>
          <w:sz w:val="24"/>
          <w:szCs w:val="24"/>
          <w:u w:val="single"/>
          <w:lang w:val="mn-MN"/>
        </w:rPr>
        <w:t>төлбөрийг</w:t>
      </w:r>
      <w:r w:rsidR="003A5654" w:rsidRPr="003A5654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төлнө:</w:t>
      </w: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267930D3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12"/>
        <w:gridCol w:w="6417"/>
        <w:gridCol w:w="1843"/>
      </w:tblGrid>
      <w:tr w:rsidR="00925445" w:rsidRPr="00B115E9" w14:paraId="6A0506EB" w14:textId="77777777" w:rsidTr="00E84CB7">
        <w:trPr>
          <w:trHeight w:val="215"/>
        </w:trPr>
        <w:tc>
          <w:tcPr>
            <w:tcW w:w="812" w:type="dxa"/>
            <w:noWrap/>
            <w:vAlign w:val="center"/>
            <w:hideMark/>
          </w:tcPr>
          <w:p w14:paraId="1252CB1F" w14:textId="77777777" w:rsidR="00925445" w:rsidRPr="00B115E9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417" w:type="dxa"/>
            <w:noWrap/>
            <w:vAlign w:val="center"/>
            <w:hideMark/>
          </w:tcPr>
          <w:p w14:paraId="0D472E25" w14:textId="77777777" w:rsidR="00925445" w:rsidRPr="00B115E9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843" w:type="dxa"/>
            <w:vAlign w:val="center"/>
            <w:hideMark/>
          </w:tcPr>
          <w:p w14:paraId="7EC1F8A9" w14:textId="77777777" w:rsidR="00925445" w:rsidRPr="00B115E9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726D6693" w14:textId="77777777" w:rsidR="00925445" w:rsidRPr="00B115E9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B115E9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925445" w:rsidRPr="00B115E9" w14:paraId="3333BB1F" w14:textId="77777777" w:rsidTr="00E84CB7">
        <w:trPr>
          <w:trHeight w:val="270"/>
        </w:trPr>
        <w:tc>
          <w:tcPr>
            <w:tcW w:w="812" w:type="dxa"/>
            <w:noWrap/>
          </w:tcPr>
          <w:p w14:paraId="5DE74667" w14:textId="6AE7B419" w:rsidR="00925445" w:rsidRPr="001A1DDC" w:rsidRDefault="003E1737" w:rsidP="001A1DDC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mn-MN"/>
              </w:rPr>
              <w:t xml:space="preserve">  </w:t>
            </w:r>
            <w:r w:rsidR="00925445" w:rsidRPr="001A1DDC">
              <w:rPr>
                <w:rFonts w:ascii="Arial" w:eastAsia="Times New Roman" w:hAnsi="Arial" w:cs="Arial"/>
                <w:bCs/>
                <w:sz w:val="24"/>
                <w:szCs w:val="24"/>
                <w:lang w:val="mn-MN"/>
              </w:rPr>
              <w:t>1</w:t>
            </w:r>
          </w:p>
        </w:tc>
        <w:tc>
          <w:tcPr>
            <w:tcW w:w="6417" w:type="dxa"/>
            <w:noWrap/>
          </w:tcPr>
          <w:p w14:paraId="0C84BFE1" w14:textId="52E1E8C3" w:rsidR="00925445" w:rsidRPr="00B115E9" w:rsidRDefault="006822CE" w:rsidP="00925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B115E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Гэр </w:t>
            </w:r>
            <w:r w:rsidR="00DD4BA0" w:rsidRPr="00B115E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бүл, х</w:t>
            </w:r>
            <w:r w:rsidR="00925445" w:rsidRPr="00B115E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өдөлмөр</w:t>
            </w:r>
            <w:r w:rsidR="00DD4BA0" w:rsidRPr="00B115E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925445" w:rsidRPr="00B115E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нийгмийн хамгааллын сайд</w:t>
            </w:r>
          </w:p>
        </w:tc>
        <w:tc>
          <w:tcPr>
            <w:tcW w:w="1843" w:type="dxa"/>
            <w:noWrap/>
          </w:tcPr>
          <w:p w14:paraId="5BC1C1C6" w14:textId="5060BE43" w:rsidR="00925445" w:rsidRPr="00B115E9" w:rsidRDefault="00D26AFF" w:rsidP="00925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2D3E47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mn-MN"/>
              </w:rPr>
              <w:t>67,232.</w:t>
            </w:r>
            <w:r w:rsidR="001F6E58" w:rsidRPr="002D3E47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mn-MN"/>
              </w:rPr>
              <w:t>2</w:t>
            </w:r>
          </w:p>
        </w:tc>
      </w:tr>
    </w:tbl>
    <w:p w14:paraId="3362CC7D" w14:textId="77777777" w:rsidR="009B53C6" w:rsidRPr="00B115E9" w:rsidRDefault="009B53C6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1EA3903" w14:textId="03500F14" w:rsidR="00925445" w:rsidRDefault="00925445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D941B9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</w:t>
      </w:r>
      <w:r w:rsidRPr="003A5654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төсөв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3A5654" w:rsidRPr="002D3E47">
        <w:rPr>
          <w:rFonts w:ascii="Arial" w:eastAsia="Times New Roman" w:hAnsi="Arial" w:cs="Arial"/>
          <w:bCs/>
          <w:noProof/>
          <w:sz w:val="24"/>
          <w:szCs w:val="24"/>
          <w:u w:val="single"/>
          <w:lang w:val="mn-MN"/>
        </w:rPr>
        <w:t>төсвийг</w:t>
      </w:r>
      <w:r w:rsidR="003A5654" w:rsidRPr="002D3E4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зарцуулна: </w:t>
      </w:r>
    </w:p>
    <w:p w14:paraId="3291946D" w14:textId="77777777" w:rsidR="001A1DDC" w:rsidRDefault="001A1DDC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9072" w:type="dxa"/>
        <w:tblInd w:w="137" w:type="dxa"/>
        <w:tblLook w:val="04A0" w:firstRow="1" w:lastRow="0" w:firstColumn="1" w:lastColumn="0" w:noHBand="0" w:noVBand="1"/>
      </w:tblPr>
      <w:tblGrid>
        <w:gridCol w:w="709"/>
        <w:gridCol w:w="992"/>
        <w:gridCol w:w="5528"/>
        <w:gridCol w:w="1843"/>
      </w:tblGrid>
      <w:tr w:rsidR="00E84CB7" w:rsidRPr="0077103C" w14:paraId="5B583174" w14:textId="77777777" w:rsidTr="00E84CB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4F96" w14:textId="77777777" w:rsidR="001A1DDC" w:rsidRPr="0077103C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E94A" w14:textId="77777777" w:rsidR="001A1DDC" w:rsidRPr="0077103C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6D69" w14:textId="77777777" w:rsidR="001A1DDC" w:rsidRPr="0077103C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7710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E84CB7" w:rsidRPr="0077103C" w14:paraId="0675D19D" w14:textId="77777777" w:rsidTr="00E84C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6E26F3" w14:textId="77777777" w:rsidR="001A1DDC" w:rsidRPr="00ED4618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D461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D92320" w14:textId="7777777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999A" w14:textId="77777777" w:rsidR="001A1DDC" w:rsidRPr="002D3E47" w:rsidRDefault="001A1DDC" w:rsidP="00C167B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sz w:val="24"/>
                <w:szCs w:val="24"/>
                <w:highlight w:val="yellow"/>
                <w:lang w:val="mn-MN"/>
              </w:rPr>
            </w:pPr>
            <w:r w:rsidRPr="002D3E47">
              <w:rPr>
                <w:rFonts w:ascii="Arial" w:hAnsi="Arial" w:cs="Arial"/>
                <w:b/>
                <w:bCs/>
                <w:strike/>
                <w:color w:val="000000" w:themeColor="text1"/>
                <w:sz w:val="24"/>
                <w:szCs w:val="24"/>
                <w:highlight w:val="yellow"/>
                <w:lang w:val="mn-MN"/>
              </w:rPr>
              <w:t>6,439,769.2</w:t>
            </w:r>
          </w:p>
          <w:p w14:paraId="7A255D36" w14:textId="3263E0EE" w:rsidR="007A3DF4" w:rsidRPr="007A3DF4" w:rsidRDefault="007A3DF4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mn-MN"/>
              </w:rPr>
            </w:pPr>
            <w:r w:rsidRPr="002D3E4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  <w:lang w:val="mn-MN"/>
              </w:rPr>
              <w:t>6,584,769.2</w:t>
            </w:r>
          </w:p>
        </w:tc>
      </w:tr>
      <w:tr w:rsidR="00E84CB7" w:rsidRPr="002D3E47" w14:paraId="213C416A" w14:textId="77777777" w:rsidTr="00E84C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F72436" w14:textId="7777777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23F3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B1168B" w14:textId="7777777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2D63" w14:textId="77777777" w:rsidR="001A1DDC" w:rsidRPr="002D3E47" w:rsidRDefault="001A1DDC" w:rsidP="00C167B7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highlight w:val="yellow"/>
                <w:lang w:val="mn-MN"/>
              </w:rPr>
            </w:pPr>
            <w:r w:rsidRPr="002D3E47">
              <w:rPr>
                <w:rFonts w:ascii="Arial" w:hAnsi="Arial" w:cs="Arial"/>
                <w:strike/>
                <w:color w:val="000000" w:themeColor="text1"/>
                <w:sz w:val="24"/>
                <w:szCs w:val="24"/>
                <w:highlight w:val="yellow"/>
                <w:lang w:val="mn-MN"/>
              </w:rPr>
              <w:t>5,859,847.5</w:t>
            </w:r>
          </w:p>
          <w:p w14:paraId="45BA903D" w14:textId="12AB7125" w:rsidR="007A3DF4" w:rsidRPr="002D3E47" w:rsidRDefault="007A3DF4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mn-MN"/>
              </w:rPr>
            </w:pPr>
            <w:r w:rsidRPr="002D3E4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  <w:lang w:val="mn-MN"/>
              </w:rPr>
              <w:t>6,003,442.3</w:t>
            </w:r>
          </w:p>
        </w:tc>
      </w:tr>
      <w:tr w:rsidR="00E84CB7" w:rsidRPr="0077103C" w14:paraId="6C5C42B8" w14:textId="77777777" w:rsidTr="00E84C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63D67" w14:textId="7777777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E4D3E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9361F89" w14:textId="7777777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4A6B4" w14:textId="3EA0B2FE" w:rsidR="001A1DDC" w:rsidRPr="0077103C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115E9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320,562.5</w:t>
            </w:r>
          </w:p>
        </w:tc>
      </w:tr>
      <w:tr w:rsidR="00E84CB7" w:rsidRPr="0077103C" w14:paraId="5355936B" w14:textId="77777777" w:rsidTr="00E84C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88C4C" w14:textId="7777777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B1866" w14:textId="77777777" w:rsidR="001A1DDC" w:rsidRPr="0077103C" w:rsidRDefault="001A1DDC" w:rsidP="00E84C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  <w:p w14:paraId="57D3E442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6E8A4B2" w14:textId="77777777" w:rsidR="001A1DDC" w:rsidRPr="0077103C" w:rsidRDefault="001A1DDC" w:rsidP="00C167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Үйлдвэрлэлийн осол, мэргэжлээс шалтгаалах өвчний даатгалын сан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3CF1E" w14:textId="77777777" w:rsidR="001A1DDC" w:rsidRPr="007A3DF4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lang w:val="mn-MN"/>
              </w:rPr>
            </w:pPr>
            <w:r w:rsidRPr="0071331A"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highlight w:val="yellow"/>
                <w:lang w:val="mn-MN"/>
              </w:rPr>
              <w:t>69,387.3</w:t>
            </w:r>
          </w:p>
          <w:p w14:paraId="56033002" w14:textId="4C0D9E78" w:rsidR="007A3DF4" w:rsidRPr="007A3DF4" w:rsidRDefault="007A3DF4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mn-MN"/>
              </w:rPr>
            </w:pPr>
            <w:r w:rsidRPr="0071331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  <w:lang w:val="mn-MN"/>
              </w:rPr>
              <w:t>70,792.5</w:t>
            </w:r>
          </w:p>
        </w:tc>
      </w:tr>
      <w:tr w:rsidR="00E84CB7" w:rsidRPr="0077103C" w14:paraId="24F1DB2D" w14:textId="77777777" w:rsidTr="00E84C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054FC8" w14:textId="7777777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D27251" w14:textId="77777777" w:rsidR="001A1DDC" w:rsidRPr="0077103C" w:rsidRDefault="001A1DDC" w:rsidP="00C167B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2F784BEB" w14:textId="77777777" w:rsidR="001A1DDC" w:rsidRPr="0077103C" w:rsidRDefault="001A1DDC" w:rsidP="00C16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7103C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53C94" w14:textId="089EF9C3" w:rsidR="001A1DDC" w:rsidRPr="0077103C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1331A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mn-MN"/>
              </w:rPr>
              <w:t>189,971.9</w:t>
            </w:r>
          </w:p>
        </w:tc>
      </w:tr>
      <w:tr w:rsidR="00E84CB7" w:rsidRPr="0077103C" w14:paraId="76141A1B" w14:textId="77777777" w:rsidTr="00E84CB7">
        <w:trPr>
          <w:trHeight w:val="300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05EB" w14:textId="77777777" w:rsidR="001A1DDC" w:rsidRPr="00AC6864" w:rsidRDefault="001A1DDC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AC68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E116" w14:textId="77777777" w:rsidR="001A1DDC" w:rsidRPr="007A3DF4" w:rsidRDefault="001A1DDC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trike/>
                <w:color w:val="000000"/>
                <w:sz w:val="24"/>
                <w:szCs w:val="24"/>
                <w:u w:val="single"/>
                <w:lang w:val="mn-MN"/>
              </w:rPr>
            </w:pPr>
            <w:r w:rsidRPr="0071331A">
              <w:rPr>
                <w:rFonts w:ascii="Arial" w:eastAsia="Times New Roman" w:hAnsi="Arial" w:cs="Arial"/>
                <w:b/>
                <w:bCs/>
                <w:strike/>
                <w:color w:val="000000"/>
                <w:sz w:val="24"/>
                <w:szCs w:val="24"/>
                <w:highlight w:val="yellow"/>
                <w:u w:val="single"/>
                <w:lang w:val="mn-MN"/>
              </w:rPr>
              <w:t>6,439,769.2</w:t>
            </w:r>
          </w:p>
          <w:p w14:paraId="4A59E788" w14:textId="5964FBB5" w:rsidR="007A3DF4" w:rsidRPr="007A3DF4" w:rsidRDefault="007A3DF4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mn-MN"/>
              </w:rPr>
            </w:pPr>
            <w:r w:rsidRPr="0071331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u w:val="single"/>
                <w:lang w:val="mn-MN"/>
              </w:rPr>
              <w:t>6,584,769.2</w:t>
            </w:r>
          </w:p>
        </w:tc>
      </w:tr>
    </w:tbl>
    <w:p w14:paraId="6168C235" w14:textId="77777777" w:rsidR="001A1DDC" w:rsidRPr="00B115E9" w:rsidRDefault="001A1DDC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715BF74" w14:textId="77777777" w:rsidR="00166FEA" w:rsidRPr="00B115E9" w:rsidRDefault="00166FEA" w:rsidP="00925445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A6DC54D" w14:textId="62B42E72" w:rsidR="00850CFA" w:rsidRPr="00B115E9" w:rsidRDefault="00925445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="00850CFA" w:rsidRPr="00B115E9">
        <w:rPr>
          <w:rFonts w:ascii="Arial" w:eastAsia="Times New Roman" w:hAnsi="Arial" w:cs="Arial"/>
          <w:sz w:val="24"/>
          <w:szCs w:val="24"/>
          <w:lang w:val="mn-MN"/>
        </w:rPr>
        <w:t xml:space="preserve">Нийгмийн даатгалын сангийн чөлөөт үлдэгдлээс Засгийн газрын урт хугацаат /нэг жил болон түүнээс дээш/ бонд, Монголбанкны үнэт цаас худалдан авахад зарцуулах хөрөнгийн </w:t>
      </w:r>
      <w:r w:rsidR="00652E5B" w:rsidRPr="00B115E9">
        <w:rPr>
          <w:rFonts w:ascii="Arial" w:eastAsia="Times New Roman" w:hAnsi="Arial" w:cs="Arial"/>
          <w:sz w:val="24"/>
          <w:szCs w:val="24"/>
          <w:lang w:val="mn-MN"/>
        </w:rPr>
        <w:t xml:space="preserve">дээд </w:t>
      </w:r>
      <w:r w:rsidR="00850CFA" w:rsidRPr="00B115E9">
        <w:rPr>
          <w:rFonts w:ascii="Arial" w:eastAsia="Times New Roman" w:hAnsi="Arial" w:cs="Arial"/>
          <w:sz w:val="24"/>
          <w:szCs w:val="24"/>
          <w:lang w:val="mn-MN"/>
        </w:rPr>
        <w:t>хэмжээг 300,</w:t>
      </w:r>
      <w:bookmarkStart w:id="0" w:name="_GoBack"/>
      <w:bookmarkEnd w:id="0"/>
      <w:r w:rsidR="00850CFA" w:rsidRPr="00B115E9">
        <w:rPr>
          <w:rFonts w:ascii="Arial" w:eastAsia="Times New Roman" w:hAnsi="Arial" w:cs="Arial"/>
          <w:sz w:val="24"/>
          <w:szCs w:val="24"/>
          <w:lang w:val="mn-MN"/>
        </w:rPr>
        <w:t>000.0 сая төгрөгөөр баталсугай.</w:t>
      </w:r>
    </w:p>
    <w:p w14:paraId="53833B26" w14:textId="77777777" w:rsidR="00850CFA" w:rsidRPr="00B115E9" w:rsidRDefault="00850CFA" w:rsidP="00925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528C23E" w14:textId="37ECF7F0" w:rsidR="00925445" w:rsidRPr="00B115E9" w:rsidRDefault="00850CFA" w:rsidP="001A1DD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noProof/>
          <w:sz w:val="24"/>
          <w:szCs w:val="24"/>
          <w:lang w:val="mn-MN"/>
        </w:rPr>
        <w:t>7 дугаар зүйл.</w:t>
      </w:r>
      <w:r w:rsidR="00925445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</w:t>
      </w:r>
      <w:r w:rsidR="00224A6A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="00925445" w:rsidRPr="00B115E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 мөрдөнө.</w:t>
      </w:r>
    </w:p>
    <w:p w14:paraId="57B078D3" w14:textId="77777777" w:rsidR="00925445" w:rsidRPr="00B115E9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3D0151AC" w14:textId="77777777" w:rsidR="00925445" w:rsidRPr="00B115E9" w:rsidRDefault="00925445" w:rsidP="00D42D26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009787C3" w14:textId="593EF102" w:rsidR="00925445" w:rsidRPr="00103B0B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115E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503FED20" w14:textId="77777777" w:rsidR="00925445" w:rsidRPr="00B115E9" w:rsidRDefault="00925445" w:rsidP="00925445">
      <w:pPr>
        <w:spacing w:after="0" w:line="240" w:lineRule="auto"/>
        <w:jc w:val="center"/>
        <w:rPr>
          <w:rFonts w:ascii="Calibri" w:eastAsia="Calibri" w:hAnsi="Calibri" w:cs="Times New Roman"/>
          <w:lang w:val="mn-MN"/>
        </w:rPr>
      </w:pPr>
      <w:r w:rsidRPr="00B115E9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p w14:paraId="7D49A549" w14:textId="77777777" w:rsidR="005C7C94" w:rsidRPr="00B115E9" w:rsidRDefault="005C7C94">
      <w:pPr>
        <w:rPr>
          <w:lang w:val="mn-MN"/>
        </w:rPr>
      </w:pPr>
    </w:p>
    <w:sectPr w:rsidR="005C7C94" w:rsidRPr="00B115E9" w:rsidSect="00AE6F3E">
      <w:footerReference w:type="default" r:id="rId11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B98C2" w14:textId="77777777" w:rsidR="00C15779" w:rsidRDefault="00C15779">
      <w:pPr>
        <w:spacing w:after="0" w:line="240" w:lineRule="auto"/>
      </w:pPr>
      <w:r>
        <w:separator/>
      </w:r>
    </w:p>
  </w:endnote>
  <w:endnote w:type="continuationSeparator" w:id="0">
    <w:p w14:paraId="28EF4C93" w14:textId="77777777" w:rsidR="00C15779" w:rsidRDefault="00C15779">
      <w:pPr>
        <w:spacing w:after="0" w:line="240" w:lineRule="auto"/>
      </w:pPr>
      <w:r>
        <w:continuationSeparator/>
      </w:r>
    </w:p>
  </w:endnote>
  <w:endnote w:type="continuationNotice" w:id="1">
    <w:p w14:paraId="258897D2" w14:textId="77777777" w:rsidR="00C15779" w:rsidRDefault="00C15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9C88D" w14:textId="77777777" w:rsidR="003F0271" w:rsidRDefault="003F0271">
    <w:pPr>
      <w:pStyle w:val="Footer"/>
      <w:jc w:val="right"/>
    </w:pPr>
  </w:p>
  <w:p w14:paraId="729FA502" w14:textId="77777777" w:rsidR="003F0271" w:rsidRDefault="003F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F2289" w14:textId="77777777" w:rsidR="00C15779" w:rsidRDefault="00C15779">
      <w:pPr>
        <w:spacing w:after="0" w:line="240" w:lineRule="auto"/>
      </w:pPr>
      <w:r>
        <w:separator/>
      </w:r>
    </w:p>
  </w:footnote>
  <w:footnote w:type="continuationSeparator" w:id="0">
    <w:p w14:paraId="1A7BA6EC" w14:textId="77777777" w:rsidR="00C15779" w:rsidRDefault="00C15779">
      <w:pPr>
        <w:spacing w:after="0" w:line="240" w:lineRule="auto"/>
      </w:pPr>
      <w:r>
        <w:continuationSeparator/>
      </w:r>
    </w:p>
  </w:footnote>
  <w:footnote w:type="continuationNotice" w:id="1">
    <w:p w14:paraId="11323890" w14:textId="77777777" w:rsidR="00C15779" w:rsidRDefault="00C157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153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7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abstractNum w:abstractNumId="1" w15:restartNumberingAfterBreak="0">
    <w:nsid w:val="1933753B"/>
    <w:multiLevelType w:val="multilevel"/>
    <w:tmpl w:val="576AE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49"/>
    <w:rsid w:val="00007BF8"/>
    <w:rsid w:val="00007E2E"/>
    <w:rsid w:val="0000B287"/>
    <w:rsid w:val="0001042D"/>
    <w:rsid w:val="000153CF"/>
    <w:rsid w:val="000173EA"/>
    <w:rsid w:val="00023AAC"/>
    <w:rsid w:val="00026405"/>
    <w:rsid w:val="0003273A"/>
    <w:rsid w:val="000328BC"/>
    <w:rsid w:val="00036D07"/>
    <w:rsid w:val="000444ED"/>
    <w:rsid w:val="00047309"/>
    <w:rsid w:val="00051B52"/>
    <w:rsid w:val="000527B8"/>
    <w:rsid w:val="000574A3"/>
    <w:rsid w:val="00057B39"/>
    <w:rsid w:val="000773E6"/>
    <w:rsid w:val="00077CC0"/>
    <w:rsid w:val="0008202A"/>
    <w:rsid w:val="00085047"/>
    <w:rsid w:val="0008643D"/>
    <w:rsid w:val="00087CA7"/>
    <w:rsid w:val="00092FD7"/>
    <w:rsid w:val="00093DF6"/>
    <w:rsid w:val="00094045"/>
    <w:rsid w:val="0009688D"/>
    <w:rsid w:val="000A2BAA"/>
    <w:rsid w:val="000A4A2A"/>
    <w:rsid w:val="000B1158"/>
    <w:rsid w:val="000B53AC"/>
    <w:rsid w:val="000B5EFE"/>
    <w:rsid w:val="000B6BC4"/>
    <w:rsid w:val="000B6D82"/>
    <w:rsid w:val="000C47A7"/>
    <w:rsid w:val="000C610F"/>
    <w:rsid w:val="000D45C4"/>
    <w:rsid w:val="000E61A4"/>
    <w:rsid w:val="000F2CD3"/>
    <w:rsid w:val="000F547B"/>
    <w:rsid w:val="00103B0B"/>
    <w:rsid w:val="00105C82"/>
    <w:rsid w:val="00107D1B"/>
    <w:rsid w:val="00112917"/>
    <w:rsid w:val="00115D1B"/>
    <w:rsid w:val="0012181B"/>
    <w:rsid w:val="0012532B"/>
    <w:rsid w:val="00126D82"/>
    <w:rsid w:val="0015103D"/>
    <w:rsid w:val="00152E44"/>
    <w:rsid w:val="00153819"/>
    <w:rsid w:val="00166FEA"/>
    <w:rsid w:val="001708B7"/>
    <w:rsid w:val="00172F16"/>
    <w:rsid w:val="00177F11"/>
    <w:rsid w:val="00181B8E"/>
    <w:rsid w:val="00186522"/>
    <w:rsid w:val="0019598D"/>
    <w:rsid w:val="001965E7"/>
    <w:rsid w:val="00197F31"/>
    <w:rsid w:val="001A1DDC"/>
    <w:rsid w:val="001B2B1C"/>
    <w:rsid w:val="001C1304"/>
    <w:rsid w:val="001C1AD7"/>
    <w:rsid w:val="001D14FD"/>
    <w:rsid w:val="001D2F17"/>
    <w:rsid w:val="001D6F9E"/>
    <w:rsid w:val="001E43E1"/>
    <w:rsid w:val="001E4EA5"/>
    <w:rsid w:val="001E633E"/>
    <w:rsid w:val="001F0AB6"/>
    <w:rsid w:val="001F3BD3"/>
    <w:rsid w:val="001F6100"/>
    <w:rsid w:val="001F6E58"/>
    <w:rsid w:val="002058C7"/>
    <w:rsid w:val="00206666"/>
    <w:rsid w:val="00206B4D"/>
    <w:rsid w:val="00207687"/>
    <w:rsid w:val="0020784B"/>
    <w:rsid w:val="002105FA"/>
    <w:rsid w:val="0021349C"/>
    <w:rsid w:val="00214C6C"/>
    <w:rsid w:val="00216083"/>
    <w:rsid w:val="00216361"/>
    <w:rsid w:val="00216DDC"/>
    <w:rsid w:val="00222DA8"/>
    <w:rsid w:val="00224A6A"/>
    <w:rsid w:val="00225C11"/>
    <w:rsid w:val="00233162"/>
    <w:rsid w:val="002345EB"/>
    <w:rsid w:val="00235EA1"/>
    <w:rsid w:val="00236EB1"/>
    <w:rsid w:val="0024086A"/>
    <w:rsid w:val="00241EA1"/>
    <w:rsid w:val="00250499"/>
    <w:rsid w:val="0026434F"/>
    <w:rsid w:val="00265F64"/>
    <w:rsid w:val="0026753D"/>
    <w:rsid w:val="00271D8C"/>
    <w:rsid w:val="00281085"/>
    <w:rsid w:val="00284465"/>
    <w:rsid w:val="0028682B"/>
    <w:rsid w:val="00290FC9"/>
    <w:rsid w:val="00293494"/>
    <w:rsid w:val="00293512"/>
    <w:rsid w:val="00296343"/>
    <w:rsid w:val="002A02BA"/>
    <w:rsid w:val="002A4382"/>
    <w:rsid w:val="002A577E"/>
    <w:rsid w:val="002A7CF4"/>
    <w:rsid w:val="002B05CF"/>
    <w:rsid w:val="002B4CFF"/>
    <w:rsid w:val="002B55E1"/>
    <w:rsid w:val="002B65E1"/>
    <w:rsid w:val="002B7B1C"/>
    <w:rsid w:val="002C1B41"/>
    <w:rsid w:val="002D2B7A"/>
    <w:rsid w:val="002D2BCD"/>
    <w:rsid w:val="002D2F2F"/>
    <w:rsid w:val="002D3C10"/>
    <w:rsid w:val="002D3E47"/>
    <w:rsid w:val="002D6A58"/>
    <w:rsid w:val="002E52DF"/>
    <w:rsid w:val="002E5F86"/>
    <w:rsid w:val="002E6D37"/>
    <w:rsid w:val="002E7491"/>
    <w:rsid w:val="00302427"/>
    <w:rsid w:val="00304947"/>
    <w:rsid w:val="0030606C"/>
    <w:rsid w:val="003115DF"/>
    <w:rsid w:val="00311F1E"/>
    <w:rsid w:val="0031428F"/>
    <w:rsid w:val="003304D4"/>
    <w:rsid w:val="0033259B"/>
    <w:rsid w:val="003343FB"/>
    <w:rsid w:val="00337737"/>
    <w:rsid w:val="0034025F"/>
    <w:rsid w:val="00346655"/>
    <w:rsid w:val="00347695"/>
    <w:rsid w:val="003544B7"/>
    <w:rsid w:val="00355AC7"/>
    <w:rsid w:val="00355D71"/>
    <w:rsid w:val="00362DBD"/>
    <w:rsid w:val="00391E90"/>
    <w:rsid w:val="0039547B"/>
    <w:rsid w:val="003A0A19"/>
    <w:rsid w:val="003A3AAC"/>
    <w:rsid w:val="003A5654"/>
    <w:rsid w:val="003C349E"/>
    <w:rsid w:val="003C3677"/>
    <w:rsid w:val="003C4645"/>
    <w:rsid w:val="003C6B6A"/>
    <w:rsid w:val="003C76EE"/>
    <w:rsid w:val="003D42C8"/>
    <w:rsid w:val="003D43C2"/>
    <w:rsid w:val="003D5449"/>
    <w:rsid w:val="003E12D8"/>
    <w:rsid w:val="003E1737"/>
    <w:rsid w:val="003E2D78"/>
    <w:rsid w:val="003E4E00"/>
    <w:rsid w:val="003E5469"/>
    <w:rsid w:val="003F0271"/>
    <w:rsid w:val="003F5051"/>
    <w:rsid w:val="003F5CF9"/>
    <w:rsid w:val="00401D4A"/>
    <w:rsid w:val="00402351"/>
    <w:rsid w:val="00404C44"/>
    <w:rsid w:val="00406511"/>
    <w:rsid w:val="00406C91"/>
    <w:rsid w:val="00411471"/>
    <w:rsid w:val="004212AC"/>
    <w:rsid w:val="00422E08"/>
    <w:rsid w:val="00434452"/>
    <w:rsid w:val="00446A11"/>
    <w:rsid w:val="0044777A"/>
    <w:rsid w:val="00447B92"/>
    <w:rsid w:val="00456BBA"/>
    <w:rsid w:val="0046494B"/>
    <w:rsid w:val="004723E6"/>
    <w:rsid w:val="00474124"/>
    <w:rsid w:val="00480635"/>
    <w:rsid w:val="0049733F"/>
    <w:rsid w:val="004A0B29"/>
    <w:rsid w:val="004A0C65"/>
    <w:rsid w:val="004A5D11"/>
    <w:rsid w:val="004A7591"/>
    <w:rsid w:val="004B47CD"/>
    <w:rsid w:val="004D31DF"/>
    <w:rsid w:val="004D7330"/>
    <w:rsid w:val="004F2ACB"/>
    <w:rsid w:val="004F6BE5"/>
    <w:rsid w:val="00510B9B"/>
    <w:rsid w:val="0051294A"/>
    <w:rsid w:val="00517802"/>
    <w:rsid w:val="0053174B"/>
    <w:rsid w:val="00534C83"/>
    <w:rsid w:val="00540EA5"/>
    <w:rsid w:val="00543583"/>
    <w:rsid w:val="005447AF"/>
    <w:rsid w:val="00547771"/>
    <w:rsid w:val="00551C47"/>
    <w:rsid w:val="0055201E"/>
    <w:rsid w:val="00552181"/>
    <w:rsid w:val="00555102"/>
    <w:rsid w:val="00560FAE"/>
    <w:rsid w:val="00572F57"/>
    <w:rsid w:val="005836D1"/>
    <w:rsid w:val="005852A4"/>
    <w:rsid w:val="00587A56"/>
    <w:rsid w:val="00591396"/>
    <w:rsid w:val="00592848"/>
    <w:rsid w:val="00595E9B"/>
    <w:rsid w:val="0059733C"/>
    <w:rsid w:val="005A0617"/>
    <w:rsid w:val="005A198E"/>
    <w:rsid w:val="005A3411"/>
    <w:rsid w:val="005A5652"/>
    <w:rsid w:val="005A7B6A"/>
    <w:rsid w:val="005B18D4"/>
    <w:rsid w:val="005C0CF5"/>
    <w:rsid w:val="005C6318"/>
    <w:rsid w:val="005C6F66"/>
    <w:rsid w:val="005C7356"/>
    <w:rsid w:val="005C75D2"/>
    <w:rsid w:val="005C7A9F"/>
    <w:rsid w:val="005C7C94"/>
    <w:rsid w:val="005E787A"/>
    <w:rsid w:val="005F438A"/>
    <w:rsid w:val="005F60E8"/>
    <w:rsid w:val="006002B9"/>
    <w:rsid w:val="006049A7"/>
    <w:rsid w:val="00614C24"/>
    <w:rsid w:val="00620347"/>
    <w:rsid w:val="00632B4C"/>
    <w:rsid w:val="00633853"/>
    <w:rsid w:val="00635490"/>
    <w:rsid w:val="006364E4"/>
    <w:rsid w:val="006378C5"/>
    <w:rsid w:val="00642232"/>
    <w:rsid w:val="006426EA"/>
    <w:rsid w:val="00642F43"/>
    <w:rsid w:val="006444C2"/>
    <w:rsid w:val="0064632E"/>
    <w:rsid w:val="0065123D"/>
    <w:rsid w:val="00652E5B"/>
    <w:rsid w:val="00656636"/>
    <w:rsid w:val="00657095"/>
    <w:rsid w:val="00681EBA"/>
    <w:rsid w:val="006822CE"/>
    <w:rsid w:val="00684A65"/>
    <w:rsid w:val="00687D09"/>
    <w:rsid w:val="00690540"/>
    <w:rsid w:val="006A0C45"/>
    <w:rsid w:val="006A3E92"/>
    <w:rsid w:val="006A491C"/>
    <w:rsid w:val="006B0C93"/>
    <w:rsid w:val="006B3152"/>
    <w:rsid w:val="006B5A28"/>
    <w:rsid w:val="006C34D0"/>
    <w:rsid w:val="006D39B4"/>
    <w:rsid w:val="006D733C"/>
    <w:rsid w:val="006E15E1"/>
    <w:rsid w:val="006E74F5"/>
    <w:rsid w:val="006F4D64"/>
    <w:rsid w:val="00710A6D"/>
    <w:rsid w:val="00711FA5"/>
    <w:rsid w:val="0071331A"/>
    <w:rsid w:val="00714F9F"/>
    <w:rsid w:val="00724A24"/>
    <w:rsid w:val="00726FE3"/>
    <w:rsid w:val="00730E16"/>
    <w:rsid w:val="00730FD8"/>
    <w:rsid w:val="00733374"/>
    <w:rsid w:val="00742B89"/>
    <w:rsid w:val="00742FF9"/>
    <w:rsid w:val="00747B80"/>
    <w:rsid w:val="00751C09"/>
    <w:rsid w:val="00752B0C"/>
    <w:rsid w:val="007535FD"/>
    <w:rsid w:val="00754DCE"/>
    <w:rsid w:val="007552C1"/>
    <w:rsid w:val="0075744B"/>
    <w:rsid w:val="00760438"/>
    <w:rsid w:val="00767232"/>
    <w:rsid w:val="00771AD6"/>
    <w:rsid w:val="00773CD8"/>
    <w:rsid w:val="00774B9C"/>
    <w:rsid w:val="00775D03"/>
    <w:rsid w:val="00776DED"/>
    <w:rsid w:val="007914B6"/>
    <w:rsid w:val="00792579"/>
    <w:rsid w:val="007936BB"/>
    <w:rsid w:val="00796E53"/>
    <w:rsid w:val="007970DC"/>
    <w:rsid w:val="00797824"/>
    <w:rsid w:val="007A028A"/>
    <w:rsid w:val="007A3DF4"/>
    <w:rsid w:val="007B2E72"/>
    <w:rsid w:val="007C1257"/>
    <w:rsid w:val="007C5C7C"/>
    <w:rsid w:val="007C656D"/>
    <w:rsid w:val="007D26BC"/>
    <w:rsid w:val="007D7A0F"/>
    <w:rsid w:val="007E21DA"/>
    <w:rsid w:val="007E278B"/>
    <w:rsid w:val="007E5DA1"/>
    <w:rsid w:val="007F01CE"/>
    <w:rsid w:val="007F3749"/>
    <w:rsid w:val="007F7A9B"/>
    <w:rsid w:val="00802413"/>
    <w:rsid w:val="008038EA"/>
    <w:rsid w:val="008062A6"/>
    <w:rsid w:val="00806A80"/>
    <w:rsid w:val="0081278F"/>
    <w:rsid w:val="00812FEC"/>
    <w:rsid w:val="00817CA7"/>
    <w:rsid w:val="00817D52"/>
    <w:rsid w:val="00820F24"/>
    <w:rsid w:val="008222D7"/>
    <w:rsid w:val="00826597"/>
    <w:rsid w:val="0083191E"/>
    <w:rsid w:val="008436E6"/>
    <w:rsid w:val="00846837"/>
    <w:rsid w:val="00850CFA"/>
    <w:rsid w:val="00863638"/>
    <w:rsid w:val="00867340"/>
    <w:rsid w:val="0087443E"/>
    <w:rsid w:val="008775A3"/>
    <w:rsid w:val="00881B75"/>
    <w:rsid w:val="008831DB"/>
    <w:rsid w:val="00883A38"/>
    <w:rsid w:val="00890700"/>
    <w:rsid w:val="008953A4"/>
    <w:rsid w:val="008A1EAC"/>
    <w:rsid w:val="008A57B9"/>
    <w:rsid w:val="008B5F1C"/>
    <w:rsid w:val="008B61B1"/>
    <w:rsid w:val="008B6343"/>
    <w:rsid w:val="008C040B"/>
    <w:rsid w:val="008C2D9A"/>
    <w:rsid w:val="008E6494"/>
    <w:rsid w:val="008F09AC"/>
    <w:rsid w:val="008F1BBB"/>
    <w:rsid w:val="00901AEB"/>
    <w:rsid w:val="0090517D"/>
    <w:rsid w:val="00907021"/>
    <w:rsid w:val="00907838"/>
    <w:rsid w:val="009108A5"/>
    <w:rsid w:val="009221D5"/>
    <w:rsid w:val="00925445"/>
    <w:rsid w:val="00932392"/>
    <w:rsid w:val="00934A56"/>
    <w:rsid w:val="0093738E"/>
    <w:rsid w:val="00937CD6"/>
    <w:rsid w:val="00944713"/>
    <w:rsid w:val="00945334"/>
    <w:rsid w:val="00951CEF"/>
    <w:rsid w:val="00954544"/>
    <w:rsid w:val="00956636"/>
    <w:rsid w:val="00962449"/>
    <w:rsid w:val="009625A0"/>
    <w:rsid w:val="00972A90"/>
    <w:rsid w:val="00977090"/>
    <w:rsid w:val="00977716"/>
    <w:rsid w:val="00985457"/>
    <w:rsid w:val="00987317"/>
    <w:rsid w:val="00991A8D"/>
    <w:rsid w:val="00992C33"/>
    <w:rsid w:val="00992C99"/>
    <w:rsid w:val="00995461"/>
    <w:rsid w:val="009A0AFF"/>
    <w:rsid w:val="009B20BC"/>
    <w:rsid w:val="009B3FC4"/>
    <w:rsid w:val="009B45C5"/>
    <w:rsid w:val="009B495B"/>
    <w:rsid w:val="009B53C6"/>
    <w:rsid w:val="009C0488"/>
    <w:rsid w:val="009D2569"/>
    <w:rsid w:val="009D4E03"/>
    <w:rsid w:val="009D5ABF"/>
    <w:rsid w:val="009D730F"/>
    <w:rsid w:val="009E0250"/>
    <w:rsid w:val="009E251F"/>
    <w:rsid w:val="009E2762"/>
    <w:rsid w:val="009E35F5"/>
    <w:rsid w:val="009E740B"/>
    <w:rsid w:val="009F1CF0"/>
    <w:rsid w:val="00A013C7"/>
    <w:rsid w:val="00A01FDA"/>
    <w:rsid w:val="00A0236D"/>
    <w:rsid w:val="00A041C3"/>
    <w:rsid w:val="00A04B2D"/>
    <w:rsid w:val="00A064B7"/>
    <w:rsid w:val="00A14F10"/>
    <w:rsid w:val="00A175CE"/>
    <w:rsid w:val="00A2227F"/>
    <w:rsid w:val="00A34B18"/>
    <w:rsid w:val="00A35F5E"/>
    <w:rsid w:val="00A50DC2"/>
    <w:rsid w:val="00A5304F"/>
    <w:rsid w:val="00A53ACD"/>
    <w:rsid w:val="00A63758"/>
    <w:rsid w:val="00A64073"/>
    <w:rsid w:val="00A65F8E"/>
    <w:rsid w:val="00A66B0A"/>
    <w:rsid w:val="00A7012A"/>
    <w:rsid w:val="00A737D7"/>
    <w:rsid w:val="00A74CAD"/>
    <w:rsid w:val="00A75ACE"/>
    <w:rsid w:val="00A80472"/>
    <w:rsid w:val="00A834A5"/>
    <w:rsid w:val="00A84A86"/>
    <w:rsid w:val="00A866A1"/>
    <w:rsid w:val="00A91EC6"/>
    <w:rsid w:val="00A9319D"/>
    <w:rsid w:val="00A95665"/>
    <w:rsid w:val="00A96039"/>
    <w:rsid w:val="00AA12DB"/>
    <w:rsid w:val="00AB3F31"/>
    <w:rsid w:val="00AB78F9"/>
    <w:rsid w:val="00AC0350"/>
    <w:rsid w:val="00AC6718"/>
    <w:rsid w:val="00AC6864"/>
    <w:rsid w:val="00AC7CEC"/>
    <w:rsid w:val="00AE02A1"/>
    <w:rsid w:val="00AE23D9"/>
    <w:rsid w:val="00AE2A57"/>
    <w:rsid w:val="00AE5A5C"/>
    <w:rsid w:val="00AE5A64"/>
    <w:rsid w:val="00AE6F3E"/>
    <w:rsid w:val="00AF1CAE"/>
    <w:rsid w:val="00B045C8"/>
    <w:rsid w:val="00B05669"/>
    <w:rsid w:val="00B115E9"/>
    <w:rsid w:val="00B21355"/>
    <w:rsid w:val="00B21F0B"/>
    <w:rsid w:val="00B231AB"/>
    <w:rsid w:val="00B31895"/>
    <w:rsid w:val="00B37179"/>
    <w:rsid w:val="00B4126D"/>
    <w:rsid w:val="00B5404D"/>
    <w:rsid w:val="00B57F79"/>
    <w:rsid w:val="00B63F4A"/>
    <w:rsid w:val="00B66082"/>
    <w:rsid w:val="00B70235"/>
    <w:rsid w:val="00B704E4"/>
    <w:rsid w:val="00B709C1"/>
    <w:rsid w:val="00B7701A"/>
    <w:rsid w:val="00B806EB"/>
    <w:rsid w:val="00B80C78"/>
    <w:rsid w:val="00B84B01"/>
    <w:rsid w:val="00B85C2F"/>
    <w:rsid w:val="00B9482D"/>
    <w:rsid w:val="00B97C85"/>
    <w:rsid w:val="00B97D4D"/>
    <w:rsid w:val="00BA3B0B"/>
    <w:rsid w:val="00BA63D5"/>
    <w:rsid w:val="00BA799E"/>
    <w:rsid w:val="00BB0FBE"/>
    <w:rsid w:val="00BB125C"/>
    <w:rsid w:val="00BB3D54"/>
    <w:rsid w:val="00BB5092"/>
    <w:rsid w:val="00BC213D"/>
    <w:rsid w:val="00BC23A1"/>
    <w:rsid w:val="00BC3632"/>
    <w:rsid w:val="00BC43D0"/>
    <w:rsid w:val="00BC7842"/>
    <w:rsid w:val="00BD4D84"/>
    <w:rsid w:val="00BE2FAF"/>
    <w:rsid w:val="00BE49A4"/>
    <w:rsid w:val="00BE595F"/>
    <w:rsid w:val="00BF0577"/>
    <w:rsid w:val="00BF1083"/>
    <w:rsid w:val="00BF3DB6"/>
    <w:rsid w:val="00BF415E"/>
    <w:rsid w:val="00BF6C4E"/>
    <w:rsid w:val="00C0403E"/>
    <w:rsid w:val="00C15779"/>
    <w:rsid w:val="00C17FB6"/>
    <w:rsid w:val="00C20560"/>
    <w:rsid w:val="00C21144"/>
    <w:rsid w:val="00C22FC9"/>
    <w:rsid w:val="00C24CA9"/>
    <w:rsid w:val="00C25280"/>
    <w:rsid w:val="00C2643B"/>
    <w:rsid w:val="00C326AB"/>
    <w:rsid w:val="00C34883"/>
    <w:rsid w:val="00C40170"/>
    <w:rsid w:val="00C41897"/>
    <w:rsid w:val="00C41B36"/>
    <w:rsid w:val="00C43332"/>
    <w:rsid w:val="00C43E11"/>
    <w:rsid w:val="00C63E0B"/>
    <w:rsid w:val="00C645AA"/>
    <w:rsid w:val="00C64B33"/>
    <w:rsid w:val="00C655C2"/>
    <w:rsid w:val="00C72B73"/>
    <w:rsid w:val="00C748CC"/>
    <w:rsid w:val="00C76F63"/>
    <w:rsid w:val="00C817F6"/>
    <w:rsid w:val="00C8271B"/>
    <w:rsid w:val="00C83203"/>
    <w:rsid w:val="00C94474"/>
    <w:rsid w:val="00C94B6C"/>
    <w:rsid w:val="00C9543E"/>
    <w:rsid w:val="00C96AF6"/>
    <w:rsid w:val="00C96F5D"/>
    <w:rsid w:val="00CA1595"/>
    <w:rsid w:val="00CB024C"/>
    <w:rsid w:val="00CB05B5"/>
    <w:rsid w:val="00CB2973"/>
    <w:rsid w:val="00CB4B38"/>
    <w:rsid w:val="00CB75B5"/>
    <w:rsid w:val="00CC332A"/>
    <w:rsid w:val="00CC5542"/>
    <w:rsid w:val="00CD0E2E"/>
    <w:rsid w:val="00CD1243"/>
    <w:rsid w:val="00CE3122"/>
    <w:rsid w:val="00CE64C6"/>
    <w:rsid w:val="00CF785B"/>
    <w:rsid w:val="00D06CDE"/>
    <w:rsid w:val="00D101C7"/>
    <w:rsid w:val="00D1155B"/>
    <w:rsid w:val="00D13078"/>
    <w:rsid w:val="00D15057"/>
    <w:rsid w:val="00D17359"/>
    <w:rsid w:val="00D22E67"/>
    <w:rsid w:val="00D26AFF"/>
    <w:rsid w:val="00D27F9D"/>
    <w:rsid w:val="00D346DC"/>
    <w:rsid w:val="00D3584B"/>
    <w:rsid w:val="00D35E9D"/>
    <w:rsid w:val="00D37AA0"/>
    <w:rsid w:val="00D42D26"/>
    <w:rsid w:val="00D45592"/>
    <w:rsid w:val="00D536A8"/>
    <w:rsid w:val="00D560C0"/>
    <w:rsid w:val="00D56F15"/>
    <w:rsid w:val="00D5707D"/>
    <w:rsid w:val="00D6033E"/>
    <w:rsid w:val="00D62DD1"/>
    <w:rsid w:val="00D6568B"/>
    <w:rsid w:val="00D66189"/>
    <w:rsid w:val="00D70C84"/>
    <w:rsid w:val="00D755E8"/>
    <w:rsid w:val="00D83859"/>
    <w:rsid w:val="00D83F6D"/>
    <w:rsid w:val="00D941B9"/>
    <w:rsid w:val="00DA3E63"/>
    <w:rsid w:val="00DB0BC4"/>
    <w:rsid w:val="00DB3712"/>
    <w:rsid w:val="00DB416D"/>
    <w:rsid w:val="00DC0CE2"/>
    <w:rsid w:val="00DC2668"/>
    <w:rsid w:val="00DC2FBC"/>
    <w:rsid w:val="00DC68D6"/>
    <w:rsid w:val="00DC6FDD"/>
    <w:rsid w:val="00DC71E1"/>
    <w:rsid w:val="00DD4BA0"/>
    <w:rsid w:val="00DE1767"/>
    <w:rsid w:val="00DE17CF"/>
    <w:rsid w:val="00DE74FB"/>
    <w:rsid w:val="00DF0E49"/>
    <w:rsid w:val="00DF4910"/>
    <w:rsid w:val="00DF6350"/>
    <w:rsid w:val="00DF67E5"/>
    <w:rsid w:val="00E03A9E"/>
    <w:rsid w:val="00E06CFE"/>
    <w:rsid w:val="00E101B9"/>
    <w:rsid w:val="00E1152D"/>
    <w:rsid w:val="00E11761"/>
    <w:rsid w:val="00E12D57"/>
    <w:rsid w:val="00E14FF7"/>
    <w:rsid w:val="00E1535D"/>
    <w:rsid w:val="00E1695F"/>
    <w:rsid w:val="00E21A1E"/>
    <w:rsid w:val="00E23BF9"/>
    <w:rsid w:val="00E25A0A"/>
    <w:rsid w:val="00E2691A"/>
    <w:rsid w:val="00E26FA8"/>
    <w:rsid w:val="00E36B0C"/>
    <w:rsid w:val="00E41CF6"/>
    <w:rsid w:val="00E43F32"/>
    <w:rsid w:val="00E45DD8"/>
    <w:rsid w:val="00E4695B"/>
    <w:rsid w:val="00E61AA6"/>
    <w:rsid w:val="00E631AC"/>
    <w:rsid w:val="00E6368C"/>
    <w:rsid w:val="00E657F6"/>
    <w:rsid w:val="00E75845"/>
    <w:rsid w:val="00E84CB7"/>
    <w:rsid w:val="00E857C6"/>
    <w:rsid w:val="00E91281"/>
    <w:rsid w:val="00E9388F"/>
    <w:rsid w:val="00EB2429"/>
    <w:rsid w:val="00EB3B0A"/>
    <w:rsid w:val="00EC3FAC"/>
    <w:rsid w:val="00EC4868"/>
    <w:rsid w:val="00EC738E"/>
    <w:rsid w:val="00ED1F40"/>
    <w:rsid w:val="00ED2229"/>
    <w:rsid w:val="00ED620D"/>
    <w:rsid w:val="00EE50A0"/>
    <w:rsid w:val="00EE5C09"/>
    <w:rsid w:val="00EF4AD9"/>
    <w:rsid w:val="00EF685A"/>
    <w:rsid w:val="00EF6E16"/>
    <w:rsid w:val="00F02DFC"/>
    <w:rsid w:val="00F03640"/>
    <w:rsid w:val="00F05422"/>
    <w:rsid w:val="00F06E1E"/>
    <w:rsid w:val="00F06E99"/>
    <w:rsid w:val="00F13FA3"/>
    <w:rsid w:val="00F150CC"/>
    <w:rsid w:val="00F1795C"/>
    <w:rsid w:val="00F2169C"/>
    <w:rsid w:val="00F22A48"/>
    <w:rsid w:val="00F234E5"/>
    <w:rsid w:val="00F32744"/>
    <w:rsid w:val="00F37DE0"/>
    <w:rsid w:val="00F37F9C"/>
    <w:rsid w:val="00F40E40"/>
    <w:rsid w:val="00F46AF0"/>
    <w:rsid w:val="00F51380"/>
    <w:rsid w:val="00F5182A"/>
    <w:rsid w:val="00F5189D"/>
    <w:rsid w:val="00F54CB2"/>
    <w:rsid w:val="00F55BDE"/>
    <w:rsid w:val="00F6002C"/>
    <w:rsid w:val="00F60086"/>
    <w:rsid w:val="00F63D47"/>
    <w:rsid w:val="00F65EE2"/>
    <w:rsid w:val="00F727CF"/>
    <w:rsid w:val="00F7348F"/>
    <w:rsid w:val="00F84250"/>
    <w:rsid w:val="00F86A3C"/>
    <w:rsid w:val="00FA2505"/>
    <w:rsid w:val="00FB2295"/>
    <w:rsid w:val="00FC3F2E"/>
    <w:rsid w:val="00FC5DCB"/>
    <w:rsid w:val="00FD0F90"/>
    <w:rsid w:val="00FD3A8C"/>
    <w:rsid w:val="00FD6452"/>
    <w:rsid w:val="00FE1B8C"/>
    <w:rsid w:val="00FE43AC"/>
    <w:rsid w:val="00FF39C2"/>
    <w:rsid w:val="057B7993"/>
    <w:rsid w:val="067FE024"/>
    <w:rsid w:val="07C45906"/>
    <w:rsid w:val="0BB7ABC0"/>
    <w:rsid w:val="101F4F8D"/>
    <w:rsid w:val="10CA8220"/>
    <w:rsid w:val="10E3EF9D"/>
    <w:rsid w:val="12A6E0E7"/>
    <w:rsid w:val="16337BAF"/>
    <w:rsid w:val="19ABC113"/>
    <w:rsid w:val="1D0A814F"/>
    <w:rsid w:val="2249CA8C"/>
    <w:rsid w:val="254F1969"/>
    <w:rsid w:val="25F3F20C"/>
    <w:rsid w:val="2645CF51"/>
    <w:rsid w:val="268ACA62"/>
    <w:rsid w:val="26ECD888"/>
    <w:rsid w:val="2A472A6E"/>
    <w:rsid w:val="2F130BF4"/>
    <w:rsid w:val="302ACAE3"/>
    <w:rsid w:val="314E0374"/>
    <w:rsid w:val="316CDE41"/>
    <w:rsid w:val="34BB282D"/>
    <w:rsid w:val="351C32DA"/>
    <w:rsid w:val="356CFDAA"/>
    <w:rsid w:val="35A8BAD0"/>
    <w:rsid w:val="361B9001"/>
    <w:rsid w:val="3806812B"/>
    <w:rsid w:val="38AEA9D9"/>
    <w:rsid w:val="3C82A853"/>
    <w:rsid w:val="3CA2E0FB"/>
    <w:rsid w:val="3E5FF0AC"/>
    <w:rsid w:val="403AA981"/>
    <w:rsid w:val="40DB9186"/>
    <w:rsid w:val="419F483E"/>
    <w:rsid w:val="44D9E998"/>
    <w:rsid w:val="459E5FD2"/>
    <w:rsid w:val="493E20F5"/>
    <w:rsid w:val="4C043FBD"/>
    <w:rsid w:val="4E8DB951"/>
    <w:rsid w:val="503D6D14"/>
    <w:rsid w:val="50E23ABB"/>
    <w:rsid w:val="527770D8"/>
    <w:rsid w:val="52F29660"/>
    <w:rsid w:val="53104C99"/>
    <w:rsid w:val="546781DD"/>
    <w:rsid w:val="54991BF1"/>
    <w:rsid w:val="65191F3F"/>
    <w:rsid w:val="658411C7"/>
    <w:rsid w:val="682E0270"/>
    <w:rsid w:val="6ADDA8E0"/>
    <w:rsid w:val="708FD649"/>
    <w:rsid w:val="73ED6D8F"/>
    <w:rsid w:val="74243724"/>
    <w:rsid w:val="75454018"/>
    <w:rsid w:val="75CED831"/>
    <w:rsid w:val="765D56D7"/>
    <w:rsid w:val="7674FEC2"/>
    <w:rsid w:val="78639C9B"/>
    <w:rsid w:val="7C0A0C92"/>
    <w:rsid w:val="7CEABD2C"/>
    <w:rsid w:val="7DAED9A8"/>
    <w:rsid w:val="7E07048F"/>
    <w:rsid w:val="7EE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305CA"/>
  <w15:chartTrackingRefBased/>
  <w15:docId w15:val="{2F43FC5B-D7A9-4D8E-9577-5661CF4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B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3"/>
  </w:style>
  <w:style w:type="table" w:styleId="TableGrid">
    <w:name w:val="Table Grid"/>
    <w:basedOn w:val="TableNormal"/>
    <w:uiPriority w:val="59"/>
    <w:rsid w:val="001F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8cc53-7945-4244-9ef1-2e99ee9bf853">
      <Terms xmlns="http://schemas.microsoft.com/office/infopath/2007/PartnerControls"/>
    </lcf76f155ced4ddcb4097134ff3c332f>
    <TaxCatchAll xmlns="63e5e5bd-c8f5-4608-bc7d-dee19e0012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F230BFB01F74AAF05B485CFE57D2E" ma:contentTypeVersion="10" ma:contentTypeDescription="Create a new document." ma:contentTypeScope="" ma:versionID="d6b1a217f516ddd7908398237283cc8a">
  <xsd:schema xmlns:xsd="http://www.w3.org/2001/XMLSchema" xmlns:xs="http://www.w3.org/2001/XMLSchema" xmlns:p="http://schemas.microsoft.com/office/2006/metadata/properties" xmlns:ns2="b6a8cc53-7945-4244-9ef1-2e99ee9bf853" xmlns:ns3="63e5e5bd-c8f5-4608-bc7d-dee19e00121b" targetNamespace="http://schemas.microsoft.com/office/2006/metadata/properties" ma:root="true" ma:fieldsID="089ba0b9e73dc7dcdd9ab7fec4001a44" ns2:_="" ns3:_="">
    <xsd:import namespace="b6a8cc53-7945-4244-9ef1-2e99ee9bf853"/>
    <xsd:import namespace="63e5e5bd-c8f5-4608-bc7d-dee19e001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8cc53-7945-4244-9ef1-2e99ee9bf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5e5bd-c8f5-4608-bc7d-dee19e0012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f793f3-4ea2-4253-95ac-a0582c02129e}" ma:internalName="TaxCatchAll" ma:showField="CatchAllData" ma:web="63e5e5bd-c8f5-4608-bc7d-dee19e001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D795-633F-4F2B-BB14-51D84611C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1FDAD-7C93-4457-A643-D81EFEF1D2DE}">
  <ds:schemaRefs>
    <ds:schemaRef ds:uri="http://schemas.microsoft.com/office/2006/metadata/properties"/>
    <ds:schemaRef ds:uri="http://schemas.microsoft.com/office/infopath/2007/PartnerControls"/>
    <ds:schemaRef ds:uri="b6a8cc53-7945-4244-9ef1-2e99ee9bf853"/>
    <ds:schemaRef ds:uri="63e5e5bd-c8f5-4608-bc7d-dee19e00121b"/>
  </ds:schemaRefs>
</ds:datastoreItem>
</file>

<file path=customXml/itemProps3.xml><?xml version="1.0" encoding="utf-8"?>
<ds:datastoreItem xmlns:ds="http://schemas.openxmlformats.org/officeDocument/2006/customXml" ds:itemID="{26E70EFF-3AB8-40FE-BC3F-6948766A5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8cc53-7945-4244-9ef1-2e99ee9bf853"/>
    <ds:schemaRef ds:uri="63e5e5bd-c8f5-4608-bc7d-dee19e001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2EB81A-30A6-C342-91A8-C9233BFC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Microsoft Office User</cp:lastModifiedBy>
  <cp:revision>194</cp:revision>
  <cp:lastPrinted>2025-11-12T06:43:00Z</cp:lastPrinted>
  <dcterms:created xsi:type="dcterms:W3CDTF">2022-09-28T05:38:00Z</dcterms:created>
  <dcterms:modified xsi:type="dcterms:W3CDTF">2025-11-12T10:12:00Z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0x010100560F230BFB01F74AAF05B485CFE57D2E</vt:lpwstr>
  </property>
  <property fmtid="{D5CDD505-2E9C-101B-9397-08002B2CF9AE}" pid="3" name="MediaServiceImageTags">
    <vt:lpwstr/>
  </property>
  <property fmtid="{D5CDD505-2E9C-101B-9397-08002B2CF9AE}" pid="4" name="Order">
    <vt:r8>26800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