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A91D6" w14:textId="5F5C06E2" w:rsidR="002B61B4" w:rsidRPr="002B61B4" w:rsidRDefault="002B61B4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2B61B4">
        <w:rPr>
          <w:rFonts w:ascii="Arial" w:eastAsia="Times New Roman" w:hAnsi="Arial" w:cs="Arial"/>
          <w:noProof/>
          <w:sz w:val="24"/>
          <w:szCs w:val="24"/>
          <w:lang w:val="mn-MN"/>
        </w:rPr>
        <w:t>4, 5 дахь хэлэлцүүлэгт</w:t>
      </w:r>
    </w:p>
    <w:p w14:paraId="7B847BCD" w14:textId="77777777" w:rsidR="002B61B4" w:rsidRDefault="002B61B4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</w:p>
    <w:p w14:paraId="34306FA8" w14:textId="5336EC6F" w:rsidR="001C7C68" w:rsidRDefault="002B61B4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  <w:r w:rsidRPr="002B61B4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Төсөл</w:t>
      </w:r>
    </w:p>
    <w:p w14:paraId="7D1934DD" w14:textId="77777777" w:rsidR="00E37C64" w:rsidRPr="002B61B4" w:rsidRDefault="00E37C64" w:rsidP="00FC6732">
      <w:pPr>
        <w:tabs>
          <w:tab w:val="left" w:pos="4950"/>
        </w:tabs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</w:pPr>
    </w:p>
    <w:p w14:paraId="4138536D" w14:textId="77777777" w:rsidR="001C7C68" w:rsidRPr="00A815C1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28E55CCF" w14:textId="77777777" w:rsidR="001C7C68" w:rsidRPr="00A815C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МОНГОЛ УЛСЫН ХУУЛЬ</w:t>
      </w:r>
    </w:p>
    <w:p w14:paraId="02262D5F" w14:textId="77777777" w:rsidR="001C7C68" w:rsidRPr="00A815C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CACBC8D" w14:textId="2A09EA71" w:rsidR="00491464" w:rsidRPr="00C5589D" w:rsidRDefault="00491464" w:rsidP="00491464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>202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5</w:t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...</w:t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д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у</w:t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>г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>аа</w:t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р </w:t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  Улаанбаатар</w:t>
      </w:r>
      <w:r w:rsidRPr="00C5589D"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  <w:t xml:space="preserve"> </w:t>
      </w:r>
    </w:p>
    <w:p w14:paraId="79CA2C89" w14:textId="1526E5DB" w:rsidR="00491464" w:rsidRPr="00C5589D" w:rsidRDefault="00491464" w:rsidP="00491464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сарын </w:t>
      </w:r>
      <w:r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... </w:t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-ны өдөр    </w:t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</w:r>
      <w:r w:rsidRPr="00C5589D">
        <w:rPr>
          <w:rFonts w:ascii="Arial" w:eastAsia="Times New Roman" w:hAnsi="Arial" w:cs="Arial"/>
          <w:noProof/>
          <w:sz w:val="24"/>
          <w:szCs w:val="24"/>
          <w:lang w:val="mn-MN"/>
        </w:rPr>
        <w:tab/>
        <w:t xml:space="preserve">           хот</w:t>
      </w:r>
    </w:p>
    <w:p w14:paraId="64D60D06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u w:color="FF0000"/>
          <w:lang w:val="mn-MN"/>
        </w:rPr>
      </w:pPr>
    </w:p>
    <w:p w14:paraId="02BE8982" w14:textId="77777777" w:rsidR="001C7C68" w:rsidRPr="00A815C1" w:rsidRDefault="001C7C68" w:rsidP="001C7C6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DF67505" w14:textId="77777777" w:rsidR="00491464" w:rsidRDefault="001C7C68" w:rsidP="00D1620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62ADEA09" w14:textId="254E0A86" w:rsidR="001C7C68" w:rsidRPr="00A815C1" w:rsidRDefault="001C7C68" w:rsidP="00D1620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F53277"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ТУХАЙ</w:t>
      </w:r>
    </w:p>
    <w:p w14:paraId="44F842BF" w14:textId="77777777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151AC41" w14:textId="4C28E5A1" w:rsidR="001C7C68" w:rsidRPr="00A815C1" w:rsidRDefault="001C7C68" w:rsidP="00C87B37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НЭГДҮГЭЭР БҮЛЭГ</w:t>
      </w:r>
    </w:p>
    <w:p w14:paraId="454A267D" w14:textId="77777777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НИЙТЛЭГ ҮНДЭСЛЭЛ</w:t>
      </w:r>
    </w:p>
    <w:p w14:paraId="2235FF7B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C96CCCE" w14:textId="77777777" w:rsidR="001C7C68" w:rsidRPr="00A815C1" w:rsidRDefault="001C7C68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зүйл.Хуулийн зорилт</w:t>
      </w:r>
    </w:p>
    <w:p w14:paraId="103BBA61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5E69CFE9" w14:textId="68E94784" w:rsidR="001C7C68" w:rsidRPr="00A815C1" w:rsidRDefault="001C7C68" w:rsidP="00491464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1.1.Энэ хуулийн зорилт нь Эрүүл мэндийн даатгалын санд 202</w:t>
      </w:r>
      <w:r w:rsidR="00F53277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төвлөрүүлэх орлого, зарцуулах төсвийн хэмжээ, төсөв зарцуулах эрх олгохтой холбогдсон харилцааг зохицуулахад оршино.</w:t>
      </w:r>
    </w:p>
    <w:p w14:paraId="1C5A1216" w14:textId="77777777" w:rsidR="001C7C68" w:rsidRPr="00A815C1" w:rsidRDefault="001C7C68" w:rsidP="001C7C68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67493CF" w14:textId="6145A4FC" w:rsidR="001C7C68" w:rsidRPr="00A815C1" w:rsidRDefault="001C7C68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 дугаар зүйл.Эрүүл мэндийн даатгалын сангийн 202</w:t>
      </w:r>
      <w:r w:rsidR="00F53277"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төсвийн хууль тогтоомж</w:t>
      </w:r>
    </w:p>
    <w:p w14:paraId="0157406C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0B4F2902" w14:textId="25A5739B" w:rsidR="001C7C68" w:rsidRPr="00A815C1" w:rsidRDefault="001C7C68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2.1.Эрүүл мэндийн даатгалын сангийн 202</w:t>
      </w:r>
      <w:r w:rsidR="00F53277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хууль тогтоомж нь Төсвийн тухай хууль, Төсвийн тогтвортой байдлын тухай хууль, Эрүүл мэндийн даатгалын тухай хууль, Нийгмийн даатгалын </w:t>
      </w:r>
      <w:r w:rsidR="00C751BF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ерөнхий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хууль, энэ хууль болон эдгээр хуультай нийцүүлэн гаргасан хууль тогтоомжийн бусад актаас бүрдэнэ.</w:t>
      </w:r>
    </w:p>
    <w:p w14:paraId="467BF617" w14:textId="77777777" w:rsidR="001C7C68" w:rsidRPr="00A815C1" w:rsidRDefault="001C7C68" w:rsidP="001C7C68">
      <w:pPr>
        <w:spacing w:after="200" w:line="276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0AA584D" w14:textId="2BA74784" w:rsidR="001C7C68" w:rsidRPr="00A815C1" w:rsidRDefault="001C7C68" w:rsidP="0087690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ХОЁРДУГААР БҮЛЭГ</w:t>
      </w:r>
    </w:p>
    <w:p w14:paraId="7D3A5C2E" w14:textId="77777777" w:rsidR="00491464" w:rsidRDefault="001C7C68" w:rsidP="0087690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ЭРҮҮЛ МЭНДИЙН ДААТГАЛЫН САНГИЙН </w:t>
      </w:r>
    </w:p>
    <w:p w14:paraId="620A6999" w14:textId="14117822" w:rsidR="001C7C68" w:rsidRPr="00A815C1" w:rsidRDefault="001C7C68" w:rsidP="00876901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202</w:t>
      </w:r>
      <w:r w:rsidR="00F53277"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 ОРЛОГО, ЗАРЛАГА</w:t>
      </w:r>
    </w:p>
    <w:p w14:paraId="4481F470" w14:textId="77777777" w:rsidR="001C7C68" w:rsidRPr="00A815C1" w:rsidRDefault="001C7C68" w:rsidP="001C7C68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88B4F11" w14:textId="76188693" w:rsidR="001C7C68" w:rsidRDefault="001C7C68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.Эрүүл мэндийн даатгалын санд 202</w:t>
      </w:r>
      <w:r w:rsidR="00F53277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</w:t>
      </w:r>
      <w:r w:rsidRPr="00257C46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орлого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257C46" w:rsidRPr="0009205C">
        <w:rPr>
          <w:rFonts w:ascii="Arial" w:eastAsia="Times New Roman" w:hAnsi="Arial" w:cs="Arial"/>
          <w:bCs/>
          <w:noProof/>
          <w:sz w:val="24"/>
          <w:szCs w:val="24"/>
          <w:u w:val="single"/>
          <w:lang w:val="mn-MN"/>
        </w:rPr>
        <w:t>орлогыг</w:t>
      </w:r>
      <w:r w:rsidR="00257C46" w:rsidRPr="0009205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төвлөрүүлнэ</w:t>
      </w:r>
      <w:r w:rsidR="00832864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</w:p>
    <w:p w14:paraId="28FA72AD" w14:textId="77777777" w:rsidR="00491464" w:rsidRDefault="00491464" w:rsidP="00491464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704"/>
        <w:gridCol w:w="886"/>
        <w:gridCol w:w="6060"/>
        <w:gridCol w:w="1696"/>
      </w:tblGrid>
      <w:tr w:rsidR="00491464" w:rsidRPr="00C5589D" w14:paraId="2DB27080" w14:textId="77777777" w:rsidTr="00957B69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6FF38" w14:textId="77777777" w:rsidR="00491464" w:rsidRPr="00C5589D" w:rsidRDefault="00491464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C756" w14:textId="77777777" w:rsidR="00491464" w:rsidRPr="00C5589D" w:rsidRDefault="00491464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E65D" w14:textId="3446B1A8" w:rsidR="00491464" w:rsidRPr="00C5589D" w:rsidRDefault="00491464" w:rsidP="00957B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Дүн /сая төгрөгөөр/</w:t>
            </w:r>
          </w:p>
        </w:tc>
      </w:tr>
      <w:tr w:rsidR="00491464" w:rsidRPr="00C5589D" w14:paraId="1012D709" w14:textId="77777777" w:rsidTr="00957B6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BBF0" w14:textId="77777777" w:rsidR="00491464" w:rsidRPr="00147073" w:rsidRDefault="00491464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47073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6540AD11" w14:textId="77777777" w:rsidR="00491464" w:rsidRPr="00C5589D" w:rsidRDefault="00491464" w:rsidP="00C1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D5D80" w14:textId="77777777" w:rsidR="00491464" w:rsidRDefault="00491464" w:rsidP="00C167B7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trike/>
                <w:color w:val="000000" w:themeColor="text1"/>
                <w:sz w:val="24"/>
                <w:szCs w:val="24"/>
                <w:lang w:val="mn-MN"/>
              </w:rPr>
            </w:pPr>
            <w:r w:rsidRPr="008E7147">
              <w:rPr>
                <w:rFonts w:ascii="Arial" w:hAnsi="Arial" w:cs="Arial"/>
                <w:b/>
                <w:bCs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  <w:t>2,551,818.7</w:t>
            </w:r>
          </w:p>
          <w:p w14:paraId="7D3C5EEE" w14:textId="3A81E194" w:rsidR="00D02F78" w:rsidRPr="00D02F78" w:rsidRDefault="00D02F78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color w:val="000000"/>
                <w:sz w:val="24"/>
                <w:szCs w:val="24"/>
                <w:u w:val="single"/>
                <w:lang w:val="mn-MN"/>
              </w:rPr>
            </w:pPr>
            <w:r w:rsidRPr="00D02F7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mn-MN"/>
              </w:rPr>
              <w:t>2,746,739.5</w:t>
            </w:r>
          </w:p>
        </w:tc>
      </w:tr>
      <w:tr w:rsidR="00491464" w:rsidRPr="00C5589D" w14:paraId="1787114F" w14:textId="77777777" w:rsidTr="00957B69">
        <w:trPr>
          <w:trHeight w:val="300"/>
        </w:trPr>
        <w:tc>
          <w:tcPr>
            <w:tcW w:w="7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B17FD" w14:textId="77777777" w:rsidR="00491464" w:rsidRPr="00C5589D" w:rsidRDefault="00491464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  <w:p w14:paraId="63641CA6" w14:textId="77777777" w:rsidR="00491464" w:rsidRPr="00C5589D" w:rsidRDefault="00491464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  <w:p w14:paraId="3DD03070" w14:textId="12AC010C" w:rsidR="00491464" w:rsidRPr="00C5589D" w:rsidRDefault="00491464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F0D0E" w14:textId="77777777" w:rsidR="00491464" w:rsidRPr="00C5589D" w:rsidRDefault="00491464" w:rsidP="0049146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1.1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6604C027" w14:textId="77777777" w:rsidR="00491464" w:rsidRPr="00C5589D" w:rsidRDefault="00491464" w:rsidP="0049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Ажил олгогч, даатгуулагчаас төлөх шимтгэл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98BD9" w14:textId="77777777" w:rsidR="00491464" w:rsidRDefault="00491464" w:rsidP="00491464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mn-MN"/>
              </w:rPr>
            </w:pPr>
            <w:r w:rsidRPr="008E7147">
              <w:rPr>
                <w:rFonts w:ascii="Arial" w:hAnsi="Arial" w:cs="Arial"/>
                <w:color w:val="000000" w:themeColor="text1"/>
                <w:sz w:val="24"/>
                <w:szCs w:val="24"/>
                <w:highlight w:val="yellow"/>
                <w:lang w:val="mn-MN"/>
              </w:rPr>
              <w:t>1</w:t>
            </w:r>
            <w:r w:rsidRPr="008E7147">
              <w:rPr>
                <w:rFonts w:ascii="Arial" w:hAnsi="Arial" w:cs="Arial"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  <w:t>,181,497.3</w:t>
            </w:r>
          </w:p>
          <w:p w14:paraId="5F4C91ED" w14:textId="04EDB1A4" w:rsidR="00D02F78" w:rsidRPr="00D02F78" w:rsidRDefault="00D02F78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D02F7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mn-MN"/>
              </w:rPr>
              <w:t>1,190,982.8</w:t>
            </w:r>
          </w:p>
        </w:tc>
      </w:tr>
      <w:tr w:rsidR="00491464" w:rsidRPr="00C5589D" w14:paraId="3A806C1C" w14:textId="77777777" w:rsidTr="00957B69">
        <w:trPr>
          <w:trHeight w:val="49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FBFDE" w14:textId="3D6383FB" w:rsidR="00491464" w:rsidRPr="00C5589D" w:rsidRDefault="00491464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7C04" w14:textId="77777777" w:rsidR="00491464" w:rsidRPr="00C5589D" w:rsidRDefault="00491464" w:rsidP="00491464">
            <w:pPr>
              <w:tabs>
                <w:tab w:val="left" w:pos="463"/>
                <w:tab w:val="left" w:pos="605"/>
              </w:tabs>
              <w:spacing w:after="0" w:line="240" w:lineRule="auto"/>
              <w:ind w:leftChars="-86" w:left="-2" w:right="-143" w:hangingChars="78" w:hanging="187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  1.2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8829386" w14:textId="77777777" w:rsidR="00491464" w:rsidRPr="00C5589D" w:rsidRDefault="00491464" w:rsidP="0049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Төрөөс эрүүл мэндийн даатгалыг нь хариуцах иргэдийн улсын төсвөөс төлөх шимтгэл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24F13" w14:textId="0641BDE3" w:rsidR="00491464" w:rsidRPr="00C5589D" w:rsidRDefault="00491464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E7147"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  <w:t>431,181.3</w:t>
            </w:r>
          </w:p>
        </w:tc>
      </w:tr>
      <w:tr w:rsidR="00491464" w:rsidRPr="00C5589D" w14:paraId="4009E4F3" w14:textId="77777777" w:rsidTr="00957B69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50B3" w14:textId="3840B0F4" w:rsidR="00491464" w:rsidRPr="00C5589D" w:rsidRDefault="00491464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4DDC2" w14:textId="77777777" w:rsidR="00491464" w:rsidRPr="00C5589D" w:rsidRDefault="00491464" w:rsidP="0049146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1.3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61C498C" w14:textId="77777777" w:rsidR="00491464" w:rsidRPr="00C5589D" w:rsidRDefault="00491464" w:rsidP="0049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Төр хариуцах тусламж, үйлчилгээний санхүүжилт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E425F" w14:textId="77777777" w:rsidR="00491464" w:rsidRDefault="00491464" w:rsidP="00491464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8E7147">
              <w:rPr>
                <w:rFonts w:ascii="Arial" w:hAnsi="Arial" w:cs="Arial"/>
                <w:strike/>
                <w:color w:val="000000"/>
                <w:sz w:val="24"/>
                <w:szCs w:val="24"/>
                <w:highlight w:val="yellow"/>
                <w:lang w:val="mn-MN"/>
              </w:rPr>
              <w:t>881,600.0</w:t>
            </w:r>
          </w:p>
          <w:p w14:paraId="263E532E" w14:textId="2C61E576" w:rsidR="00D02F78" w:rsidRPr="00D02F78" w:rsidRDefault="00D02F78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color w:val="000000"/>
                <w:sz w:val="24"/>
                <w:szCs w:val="24"/>
                <w:u w:val="single"/>
                <w:lang w:val="mn-MN"/>
              </w:rPr>
            </w:pPr>
            <w:r w:rsidRPr="00D02F7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mn-MN"/>
              </w:rPr>
              <w:t>1,067,035.4</w:t>
            </w:r>
          </w:p>
        </w:tc>
      </w:tr>
      <w:tr w:rsidR="00491464" w:rsidRPr="00C5589D" w14:paraId="7ABCED49" w14:textId="77777777" w:rsidTr="00957B6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24EE" w14:textId="77777777" w:rsidR="00491464" w:rsidRPr="00C5589D" w:rsidRDefault="00491464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29274" w14:textId="77777777" w:rsidR="00491464" w:rsidRPr="00C5589D" w:rsidRDefault="00491464" w:rsidP="00491464">
            <w:pPr>
              <w:spacing w:after="0" w:line="240" w:lineRule="auto"/>
              <w:ind w:firstLineChars="100" w:firstLine="24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1.4 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6895DBC" w14:textId="77777777" w:rsidR="00491464" w:rsidRPr="00C5589D" w:rsidRDefault="00491464" w:rsidP="00491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Бусад даатгуулагчаас төлөх шимтгэл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DB6DC" w14:textId="46A04168" w:rsidR="00491464" w:rsidRPr="00C5589D" w:rsidRDefault="00491464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8E7147">
              <w:rPr>
                <w:rFonts w:ascii="Arial" w:hAnsi="Arial" w:cs="Arial"/>
                <w:color w:val="000000"/>
                <w:sz w:val="24"/>
                <w:szCs w:val="24"/>
                <w:highlight w:val="yellow"/>
                <w:lang w:val="mn-MN"/>
              </w:rPr>
              <w:t>57,540.1</w:t>
            </w:r>
          </w:p>
        </w:tc>
      </w:tr>
      <w:tr w:rsidR="00491464" w:rsidRPr="00C5589D" w14:paraId="2C13CB97" w14:textId="77777777" w:rsidTr="00C167B7">
        <w:trPr>
          <w:trHeight w:val="300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01C8" w14:textId="77777777" w:rsidR="00491464" w:rsidRPr="008D1022" w:rsidRDefault="00491464" w:rsidP="004914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8D10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lastRenderedPageBreak/>
              <w:t>Нийт орлого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B11A" w14:textId="77777777" w:rsidR="00491464" w:rsidRPr="003639C6" w:rsidRDefault="00491464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noProof/>
                <w:sz w:val="24"/>
                <w:szCs w:val="24"/>
                <w:lang w:val="mn-MN"/>
              </w:rPr>
            </w:pPr>
            <w:r w:rsidRPr="008E7147">
              <w:rPr>
                <w:rFonts w:ascii="Arial" w:eastAsia="Times New Roman" w:hAnsi="Arial" w:cs="Arial"/>
                <w:b/>
                <w:bCs/>
                <w:strike/>
                <w:noProof/>
                <w:sz w:val="24"/>
                <w:szCs w:val="24"/>
                <w:highlight w:val="yellow"/>
                <w:lang w:val="mn-MN"/>
              </w:rPr>
              <w:t>2,551,818.7</w:t>
            </w:r>
          </w:p>
          <w:p w14:paraId="2B991DAA" w14:textId="2D1B6421" w:rsidR="003639C6" w:rsidRPr="003639C6" w:rsidRDefault="003639C6" w:rsidP="0049146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3639C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u w:val="single"/>
                <w:lang w:val="mn-MN"/>
              </w:rPr>
              <w:t>2,746,739.5</w:t>
            </w:r>
          </w:p>
        </w:tc>
      </w:tr>
    </w:tbl>
    <w:p w14:paraId="52E445D4" w14:textId="7D206A13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34329181" w14:textId="5F925DCD" w:rsidR="001C7C68" w:rsidRPr="008E7147" w:rsidRDefault="001C7C68" w:rsidP="008E714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Эрүүл мэндийн даатгалын сангийн төсөвт 202</w:t>
      </w:r>
      <w:r w:rsidR="00F53277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 төсвийн жилд төсвийн ерөнхийлөн захирагч доор дурдсан хэмжээтэй эргэн төлөх </w:t>
      </w:r>
      <w:r w:rsidRPr="00257C46">
        <w:rPr>
          <w:rFonts w:ascii="Arial" w:eastAsia="Times New Roman" w:hAnsi="Arial" w:cs="Arial"/>
          <w:strike/>
          <w:noProof/>
          <w:sz w:val="24"/>
          <w:szCs w:val="24"/>
          <w:lang w:val="mn-MN"/>
        </w:rPr>
        <w:t>төлбөр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="00257C46" w:rsidRPr="00E70B91">
        <w:rPr>
          <w:rFonts w:ascii="Arial" w:eastAsia="Times New Roman" w:hAnsi="Arial" w:cs="Arial"/>
          <w:bCs/>
          <w:noProof/>
          <w:sz w:val="24"/>
          <w:szCs w:val="24"/>
          <w:u w:val="single"/>
          <w:lang w:val="mn-MN"/>
        </w:rPr>
        <w:t>төлбөрийг</w:t>
      </w:r>
      <w:r w:rsidR="00257C46" w:rsidRPr="0009205C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төлнө</w:t>
      </w:r>
      <w:r w:rsidR="00890798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: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</w:t>
      </w:r>
    </w:p>
    <w:tbl>
      <w:tblPr>
        <w:tblStyle w:val="TableGrid1"/>
        <w:tblW w:w="9067" w:type="dxa"/>
        <w:tblLook w:val="04A0" w:firstRow="1" w:lastRow="0" w:firstColumn="1" w:lastColumn="0" w:noHBand="0" w:noVBand="1"/>
      </w:tblPr>
      <w:tblGrid>
        <w:gridCol w:w="606"/>
        <w:gridCol w:w="6902"/>
        <w:gridCol w:w="1559"/>
      </w:tblGrid>
      <w:tr w:rsidR="001C7C68" w:rsidRPr="00A815C1" w14:paraId="6911507F" w14:textId="77777777" w:rsidTr="00D16208">
        <w:trPr>
          <w:trHeight w:val="215"/>
        </w:trPr>
        <w:tc>
          <w:tcPr>
            <w:tcW w:w="60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304C7C6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70BC77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Төсвийн ерөнхийлөн захирагч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14:paraId="34FAEA49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18FAD02F" w14:textId="77777777" w:rsidR="001C7C68" w:rsidRPr="00A815C1" w:rsidRDefault="001C7C68" w:rsidP="001C7C68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815C1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1C7C68" w:rsidRPr="00A815C1" w14:paraId="5A860A67" w14:textId="77777777" w:rsidTr="00D16208">
        <w:trPr>
          <w:trHeight w:val="270"/>
        </w:trPr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584A0588" w14:textId="77777777" w:rsidR="001C7C68" w:rsidRPr="00147073" w:rsidRDefault="001C7C68" w:rsidP="001C7C68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147073"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313BD" w14:textId="77777777" w:rsidR="001C7C68" w:rsidRPr="00A815C1" w:rsidRDefault="001C7C68" w:rsidP="001C7C68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815C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911A1" w14:textId="5B61B897" w:rsidR="001C7C68" w:rsidRPr="00A815C1" w:rsidRDefault="0D92B2D0" w:rsidP="001C7C6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9A45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highlight w:val="yellow"/>
                <w:lang w:val="mn-MN"/>
              </w:rPr>
              <w:t>7</w:t>
            </w:r>
            <w:r w:rsidR="151CF49E" w:rsidRPr="009A45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highlight w:val="yellow"/>
                <w:lang w:val="mn-MN"/>
              </w:rPr>
              <w:t>5</w:t>
            </w:r>
            <w:r w:rsidR="3E246038" w:rsidRPr="009A45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highlight w:val="yellow"/>
                <w:lang w:val="mn-MN"/>
              </w:rPr>
              <w:t>,</w:t>
            </w:r>
            <w:r w:rsidR="3042A250" w:rsidRPr="009A45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highlight w:val="yellow"/>
                <w:lang w:val="mn-MN"/>
              </w:rPr>
              <w:t>5</w:t>
            </w:r>
            <w:r w:rsidR="3E246038" w:rsidRPr="009A45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highlight w:val="yellow"/>
                <w:lang w:val="mn-MN"/>
              </w:rPr>
              <w:t>00.0</w:t>
            </w:r>
          </w:p>
        </w:tc>
      </w:tr>
    </w:tbl>
    <w:p w14:paraId="29B2C808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77A879D7" w14:textId="3517DBE3" w:rsidR="001C7C68" w:rsidRPr="00D816CC" w:rsidRDefault="001C7C68" w:rsidP="00D816CC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5 дугаар зүйл.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202</w:t>
      </w:r>
      <w:r w:rsidR="00F53277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</w:t>
      </w:r>
      <w:r w:rsidRPr="00543632">
        <w:rPr>
          <w:rFonts w:ascii="Arial" w:eastAsia="Times New Roman" w:hAnsi="Arial" w:cs="Arial"/>
          <w:bCs/>
          <w:strike/>
          <w:noProof/>
          <w:sz w:val="24"/>
          <w:szCs w:val="24"/>
          <w:lang w:val="mn-MN"/>
        </w:rPr>
        <w:t>төсөв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="00543632" w:rsidRPr="009A45A8">
        <w:rPr>
          <w:rFonts w:ascii="Arial" w:eastAsia="Times New Roman" w:hAnsi="Arial" w:cs="Arial"/>
          <w:noProof/>
          <w:sz w:val="24"/>
          <w:szCs w:val="24"/>
          <w:u w:val="single"/>
          <w:lang w:val="mn-MN"/>
        </w:rPr>
        <w:t>төсвийг</w:t>
      </w:r>
      <w:r w:rsidR="00543632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зарцуулна</w:t>
      </w:r>
      <w:r w:rsidR="00B961A8"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  <w:r w:rsidRPr="00A815C1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</w:t>
      </w:r>
    </w:p>
    <w:tbl>
      <w:tblPr>
        <w:tblW w:w="9367" w:type="dxa"/>
        <w:tblLook w:val="04A0" w:firstRow="1" w:lastRow="0" w:firstColumn="1" w:lastColumn="0" w:noHBand="0" w:noVBand="1"/>
      </w:tblPr>
      <w:tblGrid>
        <w:gridCol w:w="671"/>
        <w:gridCol w:w="886"/>
        <w:gridCol w:w="6114"/>
        <w:gridCol w:w="1696"/>
      </w:tblGrid>
      <w:tr w:rsidR="00147073" w:rsidRPr="00C5589D" w14:paraId="344FC7D5" w14:textId="77777777" w:rsidTr="00C167B7">
        <w:trPr>
          <w:trHeight w:val="51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D6FC7" w14:textId="77777777" w:rsidR="00147073" w:rsidRPr="00C5589D" w:rsidRDefault="00147073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Д/д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5D685" w14:textId="77777777" w:rsidR="00147073" w:rsidRPr="00C5589D" w:rsidRDefault="00147073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931F" w14:textId="77777777" w:rsidR="00147073" w:rsidRPr="00C5589D" w:rsidRDefault="00147073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 xml:space="preserve">Дүн </w:t>
            </w: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br/>
              <w:t>/сая төгрөгөөр/</w:t>
            </w:r>
          </w:p>
        </w:tc>
      </w:tr>
      <w:tr w:rsidR="00147073" w:rsidRPr="00C5589D" w14:paraId="45929EB9" w14:textId="77777777" w:rsidTr="00C167B7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B1F95D" w14:textId="77777777" w:rsidR="00147073" w:rsidRPr="00147073" w:rsidRDefault="00147073" w:rsidP="00C16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147073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7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14:paraId="0DB84D77" w14:textId="77777777" w:rsidR="00147073" w:rsidRPr="00C5589D" w:rsidRDefault="00147073" w:rsidP="00C167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C5EE" w14:textId="77777777" w:rsidR="00147073" w:rsidRPr="009A45A8" w:rsidRDefault="00147073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trike/>
                <w:color w:val="000000" w:themeColor="text1"/>
                <w:sz w:val="24"/>
                <w:szCs w:val="24"/>
                <w:lang w:val="mn-MN"/>
              </w:rPr>
            </w:pPr>
            <w:r w:rsidRPr="009A45A8">
              <w:rPr>
                <w:rFonts w:ascii="Arial" w:eastAsia="Times New Roman" w:hAnsi="Arial" w:cs="Arial"/>
                <w:bCs/>
                <w:strike/>
                <w:color w:val="000000" w:themeColor="text1"/>
                <w:sz w:val="24"/>
                <w:szCs w:val="24"/>
                <w:lang w:val="mn-MN"/>
              </w:rPr>
              <w:t>2,273,316.0</w:t>
            </w:r>
          </w:p>
          <w:p w14:paraId="72807843" w14:textId="49D9E91B" w:rsidR="009368E4" w:rsidRPr="009368E4" w:rsidRDefault="009368E4" w:rsidP="00C167B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9368E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mn-MN"/>
              </w:rPr>
              <w:t>2,458,751.5</w:t>
            </w:r>
          </w:p>
        </w:tc>
      </w:tr>
      <w:tr w:rsidR="00147073" w:rsidRPr="00C5589D" w14:paraId="4E952F76" w14:textId="77777777" w:rsidTr="00100D00">
        <w:trPr>
          <w:trHeight w:val="525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DFE6C4" w14:textId="77777777" w:rsidR="00147073" w:rsidRPr="00C5589D" w:rsidRDefault="00147073" w:rsidP="0014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B296" w14:textId="77777777" w:rsidR="00147073" w:rsidRPr="00C5589D" w:rsidRDefault="00147073" w:rsidP="00147073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156405FA" w14:textId="77777777" w:rsidR="00147073" w:rsidRPr="00C5589D" w:rsidRDefault="00147073" w:rsidP="001470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Эрүүл мэндийн даатгалын сангаас хариуцах тусламж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 үйлчилгээний санхүүжилт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EA72F" w14:textId="77777777" w:rsidR="00147073" w:rsidRPr="009368E4" w:rsidRDefault="00147073" w:rsidP="00147073">
            <w:pPr>
              <w:spacing w:after="0" w:line="240" w:lineRule="auto"/>
              <w:jc w:val="right"/>
              <w:rPr>
                <w:rFonts w:ascii="Arial" w:hAnsi="Arial" w:cs="Arial"/>
                <w:strike/>
                <w:color w:val="000000" w:themeColor="text1"/>
                <w:sz w:val="24"/>
                <w:szCs w:val="24"/>
                <w:lang w:val="mn-MN"/>
              </w:rPr>
            </w:pPr>
            <w:r w:rsidRPr="009A45A8">
              <w:rPr>
                <w:rFonts w:ascii="Arial" w:hAnsi="Arial" w:cs="Arial"/>
                <w:strike/>
                <w:color w:val="000000" w:themeColor="text1"/>
                <w:sz w:val="24"/>
                <w:szCs w:val="24"/>
                <w:highlight w:val="yellow"/>
                <w:lang w:val="mn-MN"/>
              </w:rPr>
              <w:t>2,090,011.9</w:t>
            </w:r>
          </w:p>
          <w:p w14:paraId="3946075C" w14:textId="5A922BEC" w:rsidR="009368E4" w:rsidRPr="009368E4" w:rsidRDefault="009368E4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9368E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u w:val="single"/>
                <w:lang w:val="mn-MN"/>
              </w:rPr>
              <w:t>2,275,447.3</w:t>
            </w:r>
          </w:p>
        </w:tc>
      </w:tr>
      <w:tr w:rsidR="00147073" w:rsidRPr="00C5589D" w14:paraId="02BA6D6B" w14:textId="77777777" w:rsidTr="00147073">
        <w:trPr>
          <w:trHeight w:val="300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15FF43" w14:textId="77777777" w:rsidR="00147073" w:rsidRPr="00C5589D" w:rsidRDefault="00147073" w:rsidP="00147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74AB" w14:textId="2D9F4E84" w:rsidR="00147073" w:rsidRPr="00C5589D" w:rsidRDefault="00147073" w:rsidP="00147073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70FEC153" w14:textId="1FD75D39" w:rsidR="00147073" w:rsidRPr="00C5589D" w:rsidRDefault="00147073" w:rsidP="00147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Эмийн санд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 xml:space="preserve">үнийн хөнгөлөлт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7AFE" w14:textId="06A5F17C" w:rsidR="00147073" w:rsidRPr="00C5589D" w:rsidRDefault="00147073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A45A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mn-MN"/>
              </w:rPr>
              <w:t>169,774.4</w:t>
            </w:r>
          </w:p>
        </w:tc>
      </w:tr>
      <w:tr w:rsidR="00147073" w:rsidRPr="009A45A8" w14:paraId="3C8AB418" w14:textId="77777777" w:rsidTr="00147073">
        <w:trPr>
          <w:trHeight w:val="259"/>
        </w:trPr>
        <w:tc>
          <w:tcPr>
            <w:tcW w:w="67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4612F" w14:textId="77777777" w:rsidR="00147073" w:rsidRPr="00C5589D" w:rsidRDefault="00147073" w:rsidP="00147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3492" w14:textId="6C908FB2" w:rsidR="00147073" w:rsidRPr="00C5589D" w:rsidRDefault="00147073" w:rsidP="00147073">
            <w:pPr>
              <w:spacing w:after="0" w:line="240" w:lineRule="auto"/>
              <w:ind w:firstLineChars="100" w:firstLine="240"/>
              <w:jc w:val="center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6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331AB67B" w14:textId="77777777" w:rsidR="00147073" w:rsidRPr="00C5589D" w:rsidRDefault="00147073" w:rsidP="001470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766AD" w14:textId="6608DB67" w:rsidR="00147073" w:rsidRPr="009A45A8" w:rsidRDefault="00147073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mn-MN"/>
              </w:rPr>
            </w:pPr>
            <w:r w:rsidRPr="009A45A8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mn-MN"/>
              </w:rPr>
              <w:t>13,529.7</w:t>
            </w:r>
          </w:p>
        </w:tc>
      </w:tr>
      <w:tr w:rsidR="00147073" w:rsidRPr="00C5589D" w14:paraId="6D709AD5" w14:textId="77777777" w:rsidTr="00147073">
        <w:trPr>
          <w:trHeight w:val="300"/>
        </w:trPr>
        <w:tc>
          <w:tcPr>
            <w:tcW w:w="7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CDDE" w14:textId="77777777" w:rsidR="00147073" w:rsidRPr="00C5589D" w:rsidRDefault="00147073" w:rsidP="0014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</w:pPr>
            <w:r w:rsidRPr="00C5589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3474" w14:textId="77777777" w:rsidR="00147073" w:rsidRDefault="00147073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trike/>
                <w:noProof/>
                <w:sz w:val="24"/>
                <w:szCs w:val="24"/>
                <w:lang w:val="mn-MN"/>
              </w:rPr>
            </w:pPr>
            <w:r w:rsidRPr="009A45A8">
              <w:rPr>
                <w:rFonts w:ascii="Arial" w:eastAsia="Times New Roman" w:hAnsi="Arial" w:cs="Arial"/>
                <w:b/>
                <w:bCs/>
                <w:strike/>
                <w:noProof/>
                <w:sz w:val="24"/>
                <w:szCs w:val="24"/>
                <w:highlight w:val="yellow"/>
                <w:lang w:val="mn-MN"/>
              </w:rPr>
              <w:t>2,273,316.0</w:t>
            </w:r>
          </w:p>
          <w:p w14:paraId="1B858CA0" w14:textId="59C38445" w:rsidR="009368E4" w:rsidRPr="009A45A8" w:rsidRDefault="009368E4" w:rsidP="001470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mn-MN"/>
              </w:rPr>
            </w:pPr>
            <w:r w:rsidRPr="009A45A8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u w:val="single"/>
                <w:lang w:val="mn-MN"/>
              </w:rPr>
              <w:t>2,458,751.5</w:t>
            </w:r>
          </w:p>
        </w:tc>
      </w:tr>
    </w:tbl>
    <w:p w14:paraId="3558B94D" w14:textId="77777777" w:rsidR="000A4C68" w:rsidRPr="00A815C1" w:rsidRDefault="000A4C68" w:rsidP="001C7C68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743217D0" w14:textId="16EBAA33" w:rsidR="001C7C68" w:rsidRPr="00A815C1" w:rsidRDefault="001C7C68" w:rsidP="00EA268A">
      <w:pPr>
        <w:spacing w:after="0" w:line="240" w:lineRule="auto"/>
        <w:ind w:firstLine="720"/>
        <w:rPr>
          <w:rFonts w:ascii="Arial" w:eastAsia="Times New Roman" w:hAnsi="Arial" w:cs="Arial"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noProof/>
          <w:sz w:val="24"/>
          <w:szCs w:val="24"/>
          <w:lang w:val="mn-MN"/>
        </w:rPr>
        <w:t>6 дугаар зүйл.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Энэ хуулийг 202</w:t>
      </w:r>
      <w:r w:rsidR="00F53277"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>6</w:t>
      </w:r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оны</w:t>
      </w:r>
      <w:bookmarkStart w:id="0" w:name="_GoBack"/>
      <w:bookmarkEnd w:id="0"/>
      <w:r w:rsidRPr="00A815C1">
        <w:rPr>
          <w:rFonts w:ascii="Arial" w:eastAsia="Times New Roman" w:hAnsi="Arial" w:cs="Arial"/>
          <w:noProof/>
          <w:sz w:val="24"/>
          <w:szCs w:val="24"/>
          <w:lang w:val="mn-MN"/>
        </w:rPr>
        <w:t xml:space="preserve"> 01 дүгээр сарын 01-ний өдрөөс эхлэн дагаж мөрдөнө.</w:t>
      </w:r>
    </w:p>
    <w:p w14:paraId="40C87BC0" w14:textId="77777777" w:rsidR="001C7C68" w:rsidRPr="00A815C1" w:rsidRDefault="001C7C68" w:rsidP="001C7C68">
      <w:pPr>
        <w:spacing w:after="0" w:line="240" w:lineRule="auto"/>
        <w:jc w:val="right"/>
        <w:rPr>
          <w:rFonts w:ascii="Arial" w:eastAsia="Times New Roman" w:hAnsi="Arial" w:cs="Arial"/>
          <w:noProof/>
          <w:sz w:val="24"/>
          <w:szCs w:val="24"/>
          <w:lang w:val="mn-MN"/>
        </w:rPr>
      </w:pPr>
    </w:p>
    <w:p w14:paraId="664051E2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815C1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4C9242D6" w14:textId="77777777" w:rsidR="001C7C68" w:rsidRPr="00A815C1" w:rsidRDefault="001C7C68" w:rsidP="001C7C68">
      <w:pPr>
        <w:spacing w:after="0" w:line="240" w:lineRule="auto"/>
        <w:jc w:val="both"/>
        <w:rPr>
          <w:rFonts w:ascii="Arial" w:eastAsia="Calibri" w:hAnsi="Arial" w:cs="Arial"/>
          <w:b/>
          <w:noProof/>
          <w:sz w:val="24"/>
          <w:szCs w:val="24"/>
          <w:lang w:val="mn-MN"/>
        </w:rPr>
      </w:pPr>
      <w:r w:rsidRPr="00A815C1">
        <w:rPr>
          <w:rFonts w:ascii="Arial" w:eastAsia="Calibri" w:hAnsi="Arial" w:cs="Arial"/>
          <w:b/>
          <w:noProof/>
          <w:sz w:val="24"/>
          <w:szCs w:val="24"/>
          <w:lang w:val="mn-MN"/>
        </w:rPr>
        <w:tab/>
      </w:r>
    </w:p>
    <w:p w14:paraId="221AEFA0" w14:textId="77777777" w:rsidR="001C7C68" w:rsidRPr="00A815C1" w:rsidRDefault="001C7C68" w:rsidP="001C7C68">
      <w:pPr>
        <w:spacing w:after="0" w:line="240" w:lineRule="auto"/>
        <w:jc w:val="center"/>
        <w:rPr>
          <w:rFonts w:ascii="Calibri" w:eastAsia="Calibri" w:hAnsi="Calibri" w:cs="Times New Roman"/>
          <w:lang w:val="mn-MN"/>
        </w:rPr>
      </w:pPr>
      <w:r w:rsidRPr="00A815C1">
        <w:rPr>
          <w:rFonts w:ascii="Arial" w:eastAsia="Calibri" w:hAnsi="Arial" w:cs="Arial"/>
          <w:noProof/>
          <w:sz w:val="24"/>
          <w:szCs w:val="24"/>
          <w:lang w:val="mn-MN"/>
        </w:rPr>
        <w:t>Гарын үсэг</w:t>
      </w:r>
    </w:p>
    <w:p w14:paraId="48650FC4" w14:textId="77777777" w:rsidR="005F438A" w:rsidRPr="00C90135" w:rsidRDefault="005F438A"/>
    <w:sectPr w:rsidR="005F438A" w:rsidRPr="00C90135" w:rsidSect="00F910D3">
      <w:footerReference w:type="default" r:id="rId11"/>
      <w:pgSz w:w="11906" w:h="16838" w:code="9"/>
      <w:pgMar w:top="1170" w:right="9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F22CA" w14:textId="77777777" w:rsidR="00341D91" w:rsidRDefault="00341D91">
      <w:pPr>
        <w:spacing w:after="0" w:line="240" w:lineRule="auto"/>
      </w:pPr>
      <w:r>
        <w:separator/>
      </w:r>
    </w:p>
  </w:endnote>
  <w:endnote w:type="continuationSeparator" w:id="0">
    <w:p w14:paraId="50759C19" w14:textId="77777777" w:rsidR="00341D91" w:rsidRDefault="00341D91">
      <w:pPr>
        <w:spacing w:after="0" w:line="240" w:lineRule="auto"/>
      </w:pPr>
      <w:r>
        <w:continuationSeparator/>
      </w:r>
    </w:p>
  </w:endnote>
  <w:endnote w:type="continuationNotice" w:id="1">
    <w:p w14:paraId="49BE3541" w14:textId="77777777" w:rsidR="00341D91" w:rsidRDefault="00341D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78578" w14:textId="77777777" w:rsidR="00F910D3" w:rsidRDefault="00F910D3">
    <w:pPr>
      <w:pStyle w:val="Footer"/>
      <w:jc w:val="right"/>
    </w:pPr>
  </w:p>
  <w:p w14:paraId="64783D36" w14:textId="77777777" w:rsidR="00F910D3" w:rsidRDefault="00F910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DEC35" w14:textId="77777777" w:rsidR="00341D91" w:rsidRDefault="00341D91">
      <w:pPr>
        <w:spacing w:after="0" w:line="240" w:lineRule="auto"/>
      </w:pPr>
      <w:r>
        <w:separator/>
      </w:r>
    </w:p>
  </w:footnote>
  <w:footnote w:type="continuationSeparator" w:id="0">
    <w:p w14:paraId="4FD0BBEA" w14:textId="77777777" w:rsidR="00341D91" w:rsidRDefault="00341D91">
      <w:pPr>
        <w:spacing w:after="0" w:line="240" w:lineRule="auto"/>
      </w:pPr>
      <w:r>
        <w:continuationSeparator/>
      </w:r>
    </w:p>
  </w:footnote>
  <w:footnote w:type="continuationNotice" w:id="1">
    <w:p w14:paraId="61435703" w14:textId="77777777" w:rsidR="00341D91" w:rsidRDefault="00341D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47314"/>
    <w:multiLevelType w:val="multilevel"/>
    <w:tmpl w:val="10F869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" w:hanging="1800"/>
      </w:pPr>
      <w:rPr>
        <w:rFonts w:hint="default"/>
      </w:rPr>
    </w:lvl>
  </w:abstractNum>
  <w:abstractNum w:abstractNumId="1" w15:restartNumberingAfterBreak="0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CA"/>
    <w:rsid w:val="00003E7E"/>
    <w:rsid w:val="0000442C"/>
    <w:rsid w:val="000051CA"/>
    <w:rsid w:val="00007BF8"/>
    <w:rsid w:val="00007F29"/>
    <w:rsid w:val="0001042D"/>
    <w:rsid w:val="000153CF"/>
    <w:rsid w:val="000173EA"/>
    <w:rsid w:val="0003133B"/>
    <w:rsid w:val="0003273A"/>
    <w:rsid w:val="000557D7"/>
    <w:rsid w:val="0006339F"/>
    <w:rsid w:val="0006755A"/>
    <w:rsid w:val="000748A3"/>
    <w:rsid w:val="000775C1"/>
    <w:rsid w:val="00077C41"/>
    <w:rsid w:val="00077CC0"/>
    <w:rsid w:val="00085047"/>
    <w:rsid w:val="0009205C"/>
    <w:rsid w:val="00094045"/>
    <w:rsid w:val="000A2BAA"/>
    <w:rsid w:val="000A4C68"/>
    <w:rsid w:val="000B1158"/>
    <w:rsid w:val="000B49DF"/>
    <w:rsid w:val="000B53AC"/>
    <w:rsid w:val="000B6BC4"/>
    <w:rsid w:val="000C610F"/>
    <w:rsid w:val="000E5776"/>
    <w:rsid w:val="000F2CD3"/>
    <w:rsid w:val="000F547B"/>
    <w:rsid w:val="001001F0"/>
    <w:rsid w:val="00107D1B"/>
    <w:rsid w:val="00110C0E"/>
    <w:rsid w:val="00112917"/>
    <w:rsid w:val="00147073"/>
    <w:rsid w:val="001511C3"/>
    <w:rsid w:val="00152DEF"/>
    <w:rsid w:val="00152E44"/>
    <w:rsid w:val="00174FB5"/>
    <w:rsid w:val="0017686C"/>
    <w:rsid w:val="00177F11"/>
    <w:rsid w:val="00180E2F"/>
    <w:rsid w:val="00186522"/>
    <w:rsid w:val="0019598D"/>
    <w:rsid w:val="001A55C1"/>
    <w:rsid w:val="001C1AD7"/>
    <w:rsid w:val="001C7C68"/>
    <w:rsid w:val="001D2F17"/>
    <w:rsid w:val="001D6F9E"/>
    <w:rsid w:val="001E2BA2"/>
    <w:rsid w:val="001E633E"/>
    <w:rsid w:val="001F0AB6"/>
    <w:rsid w:val="001F4DEC"/>
    <w:rsid w:val="001F7482"/>
    <w:rsid w:val="002064C8"/>
    <w:rsid w:val="00206B4D"/>
    <w:rsid w:val="0020764A"/>
    <w:rsid w:val="00207687"/>
    <w:rsid w:val="002113B0"/>
    <w:rsid w:val="00212E9E"/>
    <w:rsid w:val="00216083"/>
    <w:rsid w:val="00220E3E"/>
    <w:rsid w:val="00222DA8"/>
    <w:rsid w:val="00225C11"/>
    <w:rsid w:val="00227B72"/>
    <w:rsid w:val="00233162"/>
    <w:rsid w:val="0023395B"/>
    <w:rsid w:val="002345EB"/>
    <w:rsid w:val="00235EA1"/>
    <w:rsid w:val="002379E6"/>
    <w:rsid w:val="00240056"/>
    <w:rsid w:val="00250499"/>
    <w:rsid w:val="00257C46"/>
    <w:rsid w:val="0026753D"/>
    <w:rsid w:val="00271D8C"/>
    <w:rsid w:val="0027781E"/>
    <w:rsid w:val="00281085"/>
    <w:rsid w:val="00293512"/>
    <w:rsid w:val="00296343"/>
    <w:rsid w:val="002A02BA"/>
    <w:rsid w:val="002A577E"/>
    <w:rsid w:val="002A65B4"/>
    <w:rsid w:val="002B05CF"/>
    <w:rsid w:val="002B4CFF"/>
    <w:rsid w:val="002B55E1"/>
    <w:rsid w:val="002B61B4"/>
    <w:rsid w:val="002D2B7A"/>
    <w:rsid w:val="002D2BCD"/>
    <w:rsid w:val="002D2F2F"/>
    <w:rsid w:val="002E0B0E"/>
    <w:rsid w:val="002E4778"/>
    <w:rsid w:val="002E5F86"/>
    <w:rsid w:val="002E6D37"/>
    <w:rsid w:val="002E7491"/>
    <w:rsid w:val="002F1DBD"/>
    <w:rsid w:val="002F466D"/>
    <w:rsid w:val="003048C4"/>
    <w:rsid w:val="003115DF"/>
    <w:rsid w:val="00324AB7"/>
    <w:rsid w:val="003318E8"/>
    <w:rsid w:val="003343FB"/>
    <w:rsid w:val="0034025F"/>
    <w:rsid w:val="00341D91"/>
    <w:rsid w:val="003544B7"/>
    <w:rsid w:val="00355AC7"/>
    <w:rsid w:val="00361428"/>
    <w:rsid w:val="00362DBD"/>
    <w:rsid w:val="003639C6"/>
    <w:rsid w:val="00391C0D"/>
    <w:rsid w:val="00391E90"/>
    <w:rsid w:val="00395E00"/>
    <w:rsid w:val="003A0A19"/>
    <w:rsid w:val="003B071F"/>
    <w:rsid w:val="003B5E36"/>
    <w:rsid w:val="003C30C9"/>
    <w:rsid w:val="003C349E"/>
    <w:rsid w:val="003C6B6A"/>
    <w:rsid w:val="003C76EE"/>
    <w:rsid w:val="003E12D8"/>
    <w:rsid w:val="003E2D78"/>
    <w:rsid w:val="003E4E00"/>
    <w:rsid w:val="003E5469"/>
    <w:rsid w:val="00401D4A"/>
    <w:rsid w:val="004026B2"/>
    <w:rsid w:val="00404C44"/>
    <w:rsid w:val="00417A7B"/>
    <w:rsid w:val="00423C56"/>
    <w:rsid w:val="00440812"/>
    <w:rsid w:val="004440EA"/>
    <w:rsid w:val="00446DDE"/>
    <w:rsid w:val="00453EDA"/>
    <w:rsid w:val="00455834"/>
    <w:rsid w:val="0046358D"/>
    <w:rsid w:val="00471DD7"/>
    <w:rsid w:val="004723E6"/>
    <w:rsid w:val="00474124"/>
    <w:rsid w:val="00474BB6"/>
    <w:rsid w:val="00477A6F"/>
    <w:rsid w:val="00480635"/>
    <w:rsid w:val="0049083E"/>
    <w:rsid w:val="00491464"/>
    <w:rsid w:val="00494234"/>
    <w:rsid w:val="004A0B29"/>
    <w:rsid w:val="004A0C65"/>
    <w:rsid w:val="004A5D11"/>
    <w:rsid w:val="004A7591"/>
    <w:rsid w:val="004B784F"/>
    <w:rsid w:val="004C1A51"/>
    <w:rsid w:val="004C1A72"/>
    <w:rsid w:val="004D31DF"/>
    <w:rsid w:val="004D7330"/>
    <w:rsid w:val="004F2ACB"/>
    <w:rsid w:val="0050299A"/>
    <w:rsid w:val="0051294A"/>
    <w:rsid w:val="00517802"/>
    <w:rsid w:val="005219C0"/>
    <w:rsid w:val="00522B9F"/>
    <w:rsid w:val="00524D93"/>
    <w:rsid w:val="0053174B"/>
    <w:rsid w:val="00534C83"/>
    <w:rsid w:val="00540EA5"/>
    <w:rsid w:val="00543632"/>
    <w:rsid w:val="005447AF"/>
    <w:rsid w:val="00551C47"/>
    <w:rsid w:val="0055201E"/>
    <w:rsid w:val="00556A25"/>
    <w:rsid w:val="00560FAE"/>
    <w:rsid w:val="00567ECE"/>
    <w:rsid w:val="005A0617"/>
    <w:rsid w:val="005A198E"/>
    <w:rsid w:val="005A3411"/>
    <w:rsid w:val="005A5652"/>
    <w:rsid w:val="005A7B6A"/>
    <w:rsid w:val="005C6318"/>
    <w:rsid w:val="005C75D2"/>
    <w:rsid w:val="005D3B66"/>
    <w:rsid w:val="005D6A32"/>
    <w:rsid w:val="005E2363"/>
    <w:rsid w:val="005E787A"/>
    <w:rsid w:val="005F438A"/>
    <w:rsid w:val="005F60E8"/>
    <w:rsid w:val="006011A2"/>
    <w:rsid w:val="00616A24"/>
    <w:rsid w:val="006177F2"/>
    <w:rsid w:val="00621615"/>
    <w:rsid w:val="00632B4C"/>
    <w:rsid w:val="00635490"/>
    <w:rsid w:val="006378C5"/>
    <w:rsid w:val="006426EA"/>
    <w:rsid w:val="00642F43"/>
    <w:rsid w:val="006440A0"/>
    <w:rsid w:val="006444C2"/>
    <w:rsid w:val="0065123D"/>
    <w:rsid w:val="00653C2F"/>
    <w:rsid w:val="00655DE2"/>
    <w:rsid w:val="00656C3E"/>
    <w:rsid w:val="00657095"/>
    <w:rsid w:val="00673B01"/>
    <w:rsid w:val="00687C39"/>
    <w:rsid w:val="00690540"/>
    <w:rsid w:val="006A0C45"/>
    <w:rsid w:val="006A3E92"/>
    <w:rsid w:val="006A491C"/>
    <w:rsid w:val="006B0C93"/>
    <w:rsid w:val="006B634E"/>
    <w:rsid w:val="006C575A"/>
    <w:rsid w:val="006C579D"/>
    <w:rsid w:val="006D1EF6"/>
    <w:rsid w:val="006D733C"/>
    <w:rsid w:val="006E166C"/>
    <w:rsid w:val="006E74F5"/>
    <w:rsid w:val="00702F19"/>
    <w:rsid w:val="0070700F"/>
    <w:rsid w:val="00711FA5"/>
    <w:rsid w:val="007129BB"/>
    <w:rsid w:val="00714F9F"/>
    <w:rsid w:val="00722D9E"/>
    <w:rsid w:val="00724A24"/>
    <w:rsid w:val="00730561"/>
    <w:rsid w:val="00730E16"/>
    <w:rsid w:val="00733374"/>
    <w:rsid w:val="00742B89"/>
    <w:rsid w:val="00742FBB"/>
    <w:rsid w:val="0074343E"/>
    <w:rsid w:val="007535FD"/>
    <w:rsid w:val="007552C1"/>
    <w:rsid w:val="0075744B"/>
    <w:rsid w:val="00760438"/>
    <w:rsid w:val="00760A5C"/>
    <w:rsid w:val="00767232"/>
    <w:rsid w:val="00771AD6"/>
    <w:rsid w:val="00773CD8"/>
    <w:rsid w:val="00774B9C"/>
    <w:rsid w:val="00776DED"/>
    <w:rsid w:val="007914B6"/>
    <w:rsid w:val="007936BB"/>
    <w:rsid w:val="00796E53"/>
    <w:rsid w:val="007A154D"/>
    <w:rsid w:val="007A1E2E"/>
    <w:rsid w:val="007B2E72"/>
    <w:rsid w:val="007B5709"/>
    <w:rsid w:val="007D7519"/>
    <w:rsid w:val="007D7A0F"/>
    <w:rsid w:val="007E278B"/>
    <w:rsid w:val="007E5C11"/>
    <w:rsid w:val="007F01CE"/>
    <w:rsid w:val="007F0B30"/>
    <w:rsid w:val="007F7A9B"/>
    <w:rsid w:val="008017BB"/>
    <w:rsid w:val="00802413"/>
    <w:rsid w:val="008038EA"/>
    <w:rsid w:val="00812FEC"/>
    <w:rsid w:val="008176FB"/>
    <w:rsid w:val="00817CA7"/>
    <w:rsid w:val="008222D7"/>
    <w:rsid w:val="00826597"/>
    <w:rsid w:val="00832864"/>
    <w:rsid w:val="00835239"/>
    <w:rsid w:val="008441F8"/>
    <w:rsid w:val="00846837"/>
    <w:rsid w:val="00860224"/>
    <w:rsid w:val="00860E6B"/>
    <w:rsid w:val="00863638"/>
    <w:rsid w:val="00864D44"/>
    <w:rsid w:val="008654E1"/>
    <w:rsid w:val="00867340"/>
    <w:rsid w:val="00876901"/>
    <w:rsid w:val="008831DB"/>
    <w:rsid w:val="00883A38"/>
    <w:rsid w:val="00890798"/>
    <w:rsid w:val="00892164"/>
    <w:rsid w:val="008953A4"/>
    <w:rsid w:val="00897C76"/>
    <w:rsid w:val="008A051E"/>
    <w:rsid w:val="008A1EAC"/>
    <w:rsid w:val="008A2089"/>
    <w:rsid w:val="008B4229"/>
    <w:rsid w:val="008B6343"/>
    <w:rsid w:val="008C5EC9"/>
    <w:rsid w:val="008D1022"/>
    <w:rsid w:val="008D63C4"/>
    <w:rsid w:val="008E00B2"/>
    <w:rsid w:val="008E3F75"/>
    <w:rsid w:val="008E7147"/>
    <w:rsid w:val="008F1BBB"/>
    <w:rsid w:val="00903C2C"/>
    <w:rsid w:val="00907021"/>
    <w:rsid w:val="009108A5"/>
    <w:rsid w:val="00920C1F"/>
    <w:rsid w:val="009221D5"/>
    <w:rsid w:val="00932392"/>
    <w:rsid w:val="00934A56"/>
    <w:rsid w:val="009368E4"/>
    <w:rsid w:val="009416CB"/>
    <w:rsid w:val="00944713"/>
    <w:rsid w:val="009510BF"/>
    <w:rsid w:val="00951CEF"/>
    <w:rsid w:val="00951F31"/>
    <w:rsid w:val="00956636"/>
    <w:rsid w:val="00957B69"/>
    <w:rsid w:val="00961CDB"/>
    <w:rsid w:val="009625A0"/>
    <w:rsid w:val="00965F28"/>
    <w:rsid w:val="0098284C"/>
    <w:rsid w:val="00985457"/>
    <w:rsid w:val="00987317"/>
    <w:rsid w:val="009921FC"/>
    <w:rsid w:val="00992C99"/>
    <w:rsid w:val="009A0AFF"/>
    <w:rsid w:val="009A45A8"/>
    <w:rsid w:val="009A7E0C"/>
    <w:rsid w:val="009B1F7F"/>
    <w:rsid w:val="009B4BF4"/>
    <w:rsid w:val="009B6A9A"/>
    <w:rsid w:val="009C0488"/>
    <w:rsid w:val="009C0FF3"/>
    <w:rsid w:val="009D17C5"/>
    <w:rsid w:val="009D2569"/>
    <w:rsid w:val="009D7E46"/>
    <w:rsid w:val="009E0250"/>
    <w:rsid w:val="009E251F"/>
    <w:rsid w:val="009F10E9"/>
    <w:rsid w:val="00A0236D"/>
    <w:rsid w:val="00A02D68"/>
    <w:rsid w:val="00A041C3"/>
    <w:rsid w:val="00A064B7"/>
    <w:rsid w:val="00A14F10"/>
    <w:rsid w:val="00A167DC"/>
    <w:rsid w:val="00A35F5E"/>
    <w:rsid w:val="00A368F5"/>
    <w:rsid w:val="00A37B39"/>
    <w:rsid w:val="00A50EFB"/>
    <w:rsid w:val="00A5304F"/>
    <w:rsid w:val="00A63758"/>
    <w:rsid w:val="00A64073"/>
    <w:rsid w:val="00A65F8E"/>
    <w:rsid w:val="00A67703"/>
    <w:rsid w:val="00A7026B"/>
    <w:rsid w:val="00A737D7"/>
    <w:rsid w:val="00A7389F"/>
    <w:rsid w:val="00A815C1"/>
    <w:rsid w:val="00A834A5"/>
    <w:rsid w:val="00A85903"/>
    <w:rsid w:val="00A90CD2"/>
    <w:rsid w:val="00A91EC6"/>
    <w:rsid w:val="00A93E6A"/>
    <w:rsid w:val="00A95665"/>
    <w:rsid w:val="00AB3F31"/>
    <w:rsid w:val="00AB7ABF"/>
    <w:rsid w:val="00AC6306"/>
    <w:rsid w:val="00AC6718"/>
    <w:rsid w:val="00AD404E"/>
    <w:rsid w:val="00AE07C9"/>
    <w:rsid w:val="00AE23D9"/>
    <w:rsid w:val="00AE2A57"/>
    <w:rsid w:val="00AE5A5C"/>
    <w:rsid w:val="00AF1CAE"/>
    <w:rsid w:val="00AF567E"/>
    <w:rsid w:val="00B045C8"/>
    <w:rsid w:val="00B1690B"/>
    <w:rsid w:val="00B21F0B"/>
    <w:rsid w:val="00B2213C"/>
    <w:rsid w:val="00B231AB"/>
    <w:rsid w:val="00B24887"/>
    <w:rsid w:val="00B25C4E"/>
    <w:rsid w:val="00B31895"/>
    <w:rsid w:val="00B32C83"/>
    <w:rsid w:val="00B3342D"/>
    <w:rsid w:val="00B54477"/>
    <w:rsid w:val="00B63F4A"/>
    <w:rsid w:val="00B66082"/>
    <w:rsid w:val="00B704E4"/>
    <w:rsid w:val="00B709C1"/>
    <w:rsid w:val="00B72103"/>
    <w:rsid w:val="00B806EB"/>
    <w:rsid w:val="00B81172"/>
    <w:rsid w:val="00B83DB3"/>
    <w:rsid w:val="00B83EB3"/>
    <w:rsid w:val="00B85C2F"/>
    <w:rsid w:val="00B90EFE"/>
    <w:rsid w:val="00B9482D"/>
    <w:rsid w:val="00B961A8"/>
    <w:rsid w:val="00B97D4D"/>
    <w:rsid w:val="00BA3B0B"/>
    <w:rsid w:val="00BA40CC"/>
    <w:rsid w:val="00BA63D5"/>
    <w:rsid w:val="00BB0FBE"/>
    <w:rsid w:val="00BB5092"/>
    <w:rsid w:val="00BB5AB3"/>
    <w:rsid w:val="00BC41B9"/>
    <w:rsid w:val="00BC6309"/>
    <w:rsid w:val="00BD2F33"/>
    <w:rsid w:val="00BD34F0"/>
    <w:rsid w:val="00BD4D84"/>
    <w:rsid w:val="00BD6630"/>
    <w:rsid w:val="00BD6BB8"/>
    <w:rsid w:val="00BE2FAF"/>
    <w:rsid w:val="00BE49A4"/>
    <w:rsid w:val="00BE62D6"/>
    <w:rsid w:val="00BF3DB6"/>
    <w:rsid w:val="00C06F2B"/>
    <w:rsid w:val="00C13C4B"/>
    <w:rsid w:val="00C17543"/>
    <w:rsid w:val="00C17FB6"/>
    <w:rsid w:val="00C20560"/>
    <w:rsid w:val="00C20D55"/>
    <w:rsid w:val="00C21144"/>
    <w:rsid w:val="00C22FC9"/>
    <w:rsid w:val="00C25280"/>
    <w:rsid w:val="00C2643B"/>
    <w:rsid w:val="00C30C36"/>
    <w:rsid w:val="00C326AB"/>
    <w:rsid w:val="00C43E11"/>
    <w:rsid w:val="00C515E8"/>
    <w:rsid w:val="00C5423B"/>
    <w:rsid w:val="00C577FC"/>
    <w:rsid w:val="00C63E0B"/>
    <w:rsid w:val="00C655C2"/>
    <w:rsid w:val="00C748CC"/>
    <w:rsid w:val="00C751BF"/>
    <w:rsid w:val="00C817F6"/>
    <w:rsid w:val="00C8466A"/>
    <w:rsid w:val="00C87B37"/>
    <w:rsid w:val="00C90135"/>
    <w:rsid w:val="00C94474"/>
    <w:rsid w:val="00C948E7"/>
    <w:rsid w:val="00C94B6C"/>
    <w:rsid w:val="00C94FE5"/>
    <w:rsid w:val="00C9543E"/>
    <w:rsid w:val="00C96F5D"/>
    <w:rsid w:val="00CA3C5B"/>
    <w:rsid w:val="00CB024C"/>
    <w:rsid w:val="00CB2973"/>
    <w:rsid w:val="00CB75B5"/>
    <w:rsid w:val="00CC332A"/>
    <w:rsid w:val="00CC418E"/>
    <w:rsid w:val="00CD0863"/>
    <w:rsid w:val="00CD0E2E"/>
    <w:rsid w:val="00CD1243"/>
    <w:rsid w:val="00CD4C93"/>
    <w:rsid w:val="00CE0866"/>
    <w:rsid w:val="00CE3FED"/>
    <w:rsid w:val="00CE64C6"/>
    <w:rsid w:val="00CF6828"/>
    <w:rsid w:val="00D02F78"/>
    <w:rsid w:val="00D055E6"/>
    <w:rsid w:val="00D101C7"/>
    <w:rsid w:val="00D11487"/>
    <w:rsid w:val="00D13078"/>
    <w:rsid w:val="00D15057"/>
    <w:rsid w:val="00D16208"/>
    <w:rsid w:val="00D27F9D"/>
    <w:rsid w:val="00D3127E"/>
    <w:rsid w:val="00D320FA"/>
    <w:rsid w:val="00D346DC"/>
    <w:rsid w:val="00D3616A"/>
    <w:rsid w:val="00D36A79"/>
    <w:rsid w:val="00D37AA0"/>
    <w:rsid w:val="00D6568B"/>
    <w:rsid w:val="00D755E8"/>
    <w:rsid w:val="00D76540"/>
    <w:rsid w:val="00D816CC"/>
    <w:rsid w:val="00D83F6D"/>
    <w:rsid w:val="00D90910"/>
    <w:rsid w:val="00D91669"/>
    <w:rsid w:val="00DA3E63"/>
    <w:rsid w:val="00DB0BC4"/>
    <w:rsid w:val="00DB3712"/>
    <w:rsid w:val="00DB3DB8"/>
    <w:rsid w:val="00DB416D"/>
    <w:rsid w:val="00DC0CE2"/>
    <w:rsid w:val="00DC1B50"/>
    <w:rsid w:val="00DC2FBC"/>
    <w:rsid w:val="00DC68D6"/>
    <w:rsid w:val="00DC6FDD"/>
    <w:rsid w:val="00DC71E1"/>
    <w:rsid w:val="00DD0F2F"/>
    <w:rsid w:val="00DD22DD"/>
    <w:rsid w:val="00DF4910"/>
    <w:rsid w:val="00DF6350"/>
    <w:rsid w:val="00DF67E5"/>
    <w:rsid w:val="00DF77A0"/>
    <w:rsid w:val="00E03A9E"/>
    <w:rsid w:val="00E06CFE"/>
    <w:rsid w:val="00E07F9D"/>
    <w:rsid w:val="00E101B9"/>
    <w:rsid w:val="00E1152D"/>
    <w:rsid w:val="00E11761"/>
    <w:rsid w:val="00E11ACA"/>
    <w:rsid w:val="00E14621"/>
    <w:rsid w:val="00E1663B"/>
    <w:rsid w:val="00E2360F"/>
    <w:rsid w:val="00E36B0C"/>
    <w:rsid w:val="00E37C64"/>
    <w:rsid w:val="00E41CF6"/>
    <w:rsid w:val="00E465D5"/>
    <w:rsid w:val="00E4695B"/>
    <w:rsid w:val="00E578F7"/>
    <w:rsid w:val="00E61AA6"/>
    <w:rsid w:val="00E62D97"/>
    <w:rsid w:val="00E6368C"/>
    <w:rsid w:val="00E66748"/>
    <w:rsid w:val="00E70B91"/>
    <w:rsid w:val="00E753B8"/>
    <w:rsid w:val="00E76169"/>
    <w:rsid w:val="00E834AA"/>
    <w:rsid w:val="00E857C6"/>
    <w:rsid w:val="00E91281"/>
    <w:rsid w:val="00E9388F"/>
    <w:rsid w:val="00E95560"/>
    <w:rsid w:val="00EA0947"/>
    <w:rsid w:val="00EA268A"/>
    <w:rsid w:val="00EA5CE2"/>
    <w:rsid w:val="00EA6FED"/>
    <w:rsid w:val="00EB1067"/>
    <w:rsid w:val="00EC0B67"/>
    <w:rsid w:val="00EC3FAC"/>
    <w:rsid w:val="00EC659D"/>
    <w:rsid w:val="00EC738E"/>
    <w:rsid w:val="00ED1F40"/>
    <w:rsid w:val="00ED2229"/>
    <w:rsid w:val="00ED330E"/>
    <w:rsid w:val="00EF1725"/>
    <w:rsid w:val="00EF288D"/>
    <w:rsid w:val="00F06E1E"/>
    <w:rsid w:val="00F07180"/>
    <w:rsid w:val="00F150CC"/>
    <w:rsid w:val="00F1795C"/>
    <w:rsid w:val="00F2169C"/>
    <w:rsid w:val="00F22A48"/>
    <w:rsid w:val="00F234E5"/>
    <w:rsid w:val="00F30D38"/>
    <w:rsid w:val="00F32744"/>
    <w:rsid w:val="00F34A0D"/>
    <w:rsid w:val="00F37DE0"/>
    <w:rsid w:val="00F37F9C"/>
    <w:rsid w:val="00F40E40"/>
    <w:rsid w:val="00F45B2F"/>
    <w:rsid w:val="00F46737"/>
    <w:rsid w:val="00F46AF0"/>
    <w:rsid w:val="00F5182A"/>
    <w:rsid w:val="00F5189D"/>
    <w:rsid w:val="00F53277"/>
    <w:rsid w:val="00F54CB2"/>
    <w:rsid w:val="00F55BDE"/>
    <w:rsid w:val="00F60086"/>
    <w:rsid w:val="00F63D47"/>
    <w:rsid w:val="00F64107"/>
    <w:rsid w:val="00F65EE2"/>
    <w:rsid w:val="00F727CF"/>
    <w:rsid w:val="00F7348F"/>
    <w:rsid w:val="00F80171"/>
    <w:rsid w:val="00F84250"/>
    <w:rsid w:val="00F86A3C"/>
    <w:rsid w:val="00F910D3"/>
    <w:rsid w:val="00FA2505"/>
    <w:rsid w:val="00FB0570"/>
    <w:rsid w:val="00FB2295"/>
    <w:rsid w:val="00FB4887"/>
    <w:rsid w:val="00FC3F2E"/>
    <w:rsid w:val="00FC5DCB"/>
    <w:rsid w:val="00FC6732"/>
    <w:rsid w:val="00FE79B2"/>
    <w:rsid w:val="00FF106E"/>
    <w:rsid w:val="00FF3131"/>
    <w:rsid w:val="00FF44B0"/>
    <w:rsid w:val="010322C3"/>
    <w:rsid w:val="0106AACB"/>
    <w:rsid w:val="0663BD44"/>
    <w:rsid w:val="06DA7375"/>
    <w:rsid w:val="08207B1B"/>
    <w:rsid w:val="096D8829"/>
    <w:rsid w:val="09F9CEAB"/>
    <w:rsid w:val="0A03A407"/>
    <w:rsid w:val="0A730720"/>
    <w:rsid w:val="0CACDBBF"/>
    <w:rsid w:val="0D92B2D0"/>
    <w:rsid w:val="11670682"/>
    <w:rsid w:val="1505EC91"/>
    <w:rsid w:val="151CF49E"/>
    <w:rsid w:val="19312ED6"/>
    <w:rsid w:val="197AC1EB"/>
    <w:rsid w:val="1B343B2B"/>
    <w:rsid w:val="1E745BAE"/>
    <w:rsid w:val="1EEC1153"/>
    <w:rsid w:val="1EFD84B6"/>
    <w:rsid w:val="2836109E"/>
    <w:rsid w:val="28EE431D"/>
    <w:rsid w:val="2A7604E6"/>
    <w:rsid w:val="2AA0E577"/>
    <w:rsid w:val="2B585810"/>
    <w:rsid w:val="2F081FB5"/>
    <w:rsid w:val="3042A250"/>
    <w:rsid w:val="3169D982"/>
    <w:rsid w:val="31A5479D"/>
    <w:rsid w:val="33BA71A3"/>
    <w:rsid w:val="33F206E7"/>
    <w:rsid w:val="378F4D82"/>
    <w:rsid w:val="392EDA50"/>
    <w:rsid w:val="399829EF"/>
    <w:rsid w:val="3C639C6E"/>
    <w:rsid w:val="3C9B5860"/>
    <w:rsid w:val="3CA3C708"/>
    <w:rsid w:val="3E246038"/>
    <w:rsid w:val="3EA0B8A5"/>
    <w:rsid w:val="419EA311"/>
    <w:rsid w:val="41E1C1D5"/>
    <w:rsid w:val="43BDDC50"/>
    <w:rsid w:val="46470CDF"/>
    <w:rsid w:val="478CDCE0"/>
    <w:rsid w:val="48153DA4"/>
    <w:rsid w:val="49CF25A0"/>
    <w:rsid w:val="4DC0E900"/>
    <w:rsid w:val="4DD23348"/>
    <w:rsid w:val="4DF6D1B4"/>
    <w:rsid w:val="4EDB2105"/>
    <w:rsid w:val="5303404D"/>
    <w:rsid w:val="56061869"/>
    <w:rsid w:val="576081AC"/>
    <w:rsid w:val="62D49BA0"/>
    <w:rsid w:val="66229255"/>
    <w:rsid w:val="67578410"/>
    <w:rsid w:val="696A71DA"/>
    <w:rsid w:val="6AB3BEB4"/>
    <w:rsid w:val="6AD39E0B"/>
    <w:rsid w:val="6CE18556"/>
    <w:rsid w:val="6D6E351C"/>
    <w:rsid w:val="6D6F9B9A"/>
    <w:rsid w:val="6E79C8FF"/>
    <w:rsid w:val="700DB11B"/>
    <w:rsid w:val="71455421"/>
    <w:rsid w:val="72092C19"/>
    <w:rsid w:val="74C7F631"/>
    <w:rsid w:val="7805CDF8"/>
    <w:rsid w:val="78FE9F49"/>
    <w:rsid w:val="7999741E"/>
    <w:rsid w:val="79A2ADC0"/>
    <w:rsid w:val="7A6262B7"/>
    <w:rsid w:val="7CD6A06B"/>
    <w:rsid w:val="7E2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3AB2"/>
  <w15:chartTrackingRefBased/>
  <w15:docId w15:val="{D7A04F04-9916-41D1-B487-5F989701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C7C6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C68"/>
  </w:style>
  <w:style w:type="table" w:customStyle="1" w:styleId="TableGrid1">
    <w:name w:val="Table Grid1"/>
    <w:basedOn w:val="TableNormal"/>
    <w:next w:val="TableGrid"/>
    <w:uiPriority w:val="5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3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C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C4B"/>
  </w:style>
  <w:style w:type="paragraph" w:styleId="Revision">
    <w:name w:val="Revision"/>
    <w:hidden/>
    <w:uiPriority w:val="99"/>
    <w:semiHidden/>
    <w:rsid w:val="00D31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a8cc53-7945-4244-9ef1-2e99ee9bf853">
      <Terms xmlns="http://schemas.microsoft.com/office/infopath/2007/PartnerControls"/>
    </lcf76f155ced4ddcb4097134ff3c332f>
    <TaxCatchAll xmlns="63e5e5bd-c8f5-4608-bc7d-dee19e0012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F230BFB01F74AAF05B485CFE57D2E" ma:contentTypeVersion="10" ma:contentTypeDescription="Create a new document." ma:contentTypeScope="" ma:versionID="d6b1a217f516ddd7908398237283cc8a">
  <xsd:schema xmlns:xsd="http://www.w3.org/2001/XMLSchema" xmlns:xs="http://www.w3.org/2001/XMLSchema" xmlns:p="http://schemas.microsoft.com/office/2006/metadata/properties" xmlns:ns2="b6a8cc53-7945-4244-9ef1-2e99ee9bf853" xmlns:ns3="63e5e5bd-c8f5-4608-bc7d-dee19e00121b" targetNamespace="http://schemas.microsoft.com/office/2006/metadata/properties" ma:root="true" ma:fieldsID="089ba0b9e73dc7dcdd9ab7fec4001a44" ns2:_="" ns3:_="">
    <xsd:import namespace="b6a8cc53-7945-4244-9ef1-2e99ee9bf853"/>
    <xsd:import namespace="63e5e5bd-c8f5-4608-bc7d-dee19e001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8cc53-7945-4244-9ef1-2e99ee9b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2e2e3d-913c-45cc-8a86-8c027bc44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5e5bd-c8f5-4608-bc7d-dee19e0012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f793f3-4ea2-4253-95ac-a0582c02129e}" ma:internalName="TaxCatchAll" ma:showField="CatchAllData" ma:web="63e5e5bd-c8f5-4608-bc7d-dee19e001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28F9B-3958-43B1-8E41-4AE0EA9FEBB7}">
  <ds:schemaRefs>
    <ds:schemaRef ds:uri="http://schemas.microsoft.com/office/2006/metadata/properties"/>
    <ds:schemaRef ds:uri="http://schemas.microsoft.com/office/infopath/2007/PartnerControls"/>
    <ds:schemaRef ds:uri="b6a8cc53-7945-4244-9ef1-2e99ee9bf853"/>
    <ds:schemaRef ds:uri="63e5e5bd-c8f5-4608-bc7d-dee19e00121b"/>
  </ds:schemaRefs>
</ds:datastoreItem>
</file>

<file path=customXml/itemProps2.xml><?xml version="1.0" encoding="utf-8"?>
<ds:datastoreItem xmlns:ds="http://schemas.openxmlformats.org/officeDocument/2006/customXml" ds:itemID="{71E42640-B262-474E-8150-F2E97B6061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A8B16-AF95-43F5-BF6C-AF05FF68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8cc53-7945-4244-9ef1-2e99ee9bf853"/>
    <ds:schemaRef ds:uri="63e5e5bd-c8f5-4608-bc7d-dee19e001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5439CF-827C-5242-9DD2-904A9C61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Дашням Батхишиг</dc:creator>
  <cp:keywords/>
  <dc:description/>
  <cp:lastModifiedBy>Microsoft Office User</cp:lastModifiedBy>
  <cp:revision>479</cp:revision>
  <cp:lastPrinted>2025-11-12T07:23:00Z</cp:lastPrinted>
  <dcterms:created xsi:type="dcterms:W3CDTF">2022-09-27T15:54:00Z</dcterms:created>
  <dcterms:modified xsi:type="dcterms:W3CDTF">2025-11-12T07:23:00Z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0x010100560F230BFB01F74AAF05B485CFE57D2E</vt:lpwstr>
  </property>
  <property fmtid="{D5CDD505-2E9C-101B-9397-08002B2CF9AE}" pid="3" name="MediaServiceImageTags">
    <vt:lpwstr/>
  </property>
  <property fmtid="{D5CDD505-2E9C-101B-9397-08002B2CF9AE}" pid="4" name="Order">
    <vt:r8>26700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