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5156" w14:textId="77777777" w:rsidR="00CB0089" w:rsidRPr="00D207BB" w:rsidRDefault="00CB0089" w:rsidP="00D207BB">
      <w:pPr>
        <w:spacing w:after="0" w:line="240" w:lineRule="auto"/>
        <w:ind w:firstLine="720"/>
        <w:contextualSpacing/>
        <w:rPr>
          <w:rFonts w:ascii="Arial" w:hAnsi="Arial" w:cs="Arial"/>
          <w:noProof/>
          <w:sz w:val="24"/>
          <w:szCs w:val="24"/>
          <w:lang w:val="en-US"/>
        </w:rPr>
      </w:pPr>
    </w:p>
    <w:p w14:paraId="461647C2" w14:textId="2D959473" w:rsidR="006B64DA" w:rsidRPr="00D207BB" w:rsidRDefault="002B43CC" w:rsidP="00D207BB">
      <w:pPr>
        <w:spacing w:after="0" w:line="240" w:lineRule="auto"/>
        <w:ind w:left="848"/>
        <w:contextualSpacing/>
        <w:jc w:val="center"/>
        <w:rPr>
          <w:rFonts w:ascii="Arial" w:eastAsia="Arial" w:hAnsi="Arial" w:cs="Arial"/>
          <w:color w:val="000000"/>
          <w:kern w:val="2"/>
          <w:sz w:val="24"/>
          <w:szCs w:val="24"/>
          <w:lang w:val="en-US" w:eastAsia="zh-CN"/>
          <w14:ligatures w14:val="standardContextual"/>
        </w:rPr>
      </w:pPr>
      <w:r w:rsidRPr="00D207BB">
        <w:rPr>
          <w:rFonts w:ascii="Arial" w:eastAsia="Arial" w:hAnsi="Arial" w:cs="Arial"/>
          <w:b/>
          <w:color w:val="000000"/>
          <w:kern w:val="2"/>
          <w:sz w:val="24"/>
          <w:szCs w:val="24"/>
          <w:lang w:val="en-US" w:eastAsia="zh-CN"/>
          <w14:ligatures w14:val="standardContextual"/>
        </w:rPr>
        <w:t xml:space="preserve">ТОВЧ </w:t>
      </w:r>
      <w:r w:rsidR="006B64DA" w:rsidRPr="00D207BB">
        <w:rPr>
          <w:rFonts w:ascii="Arial" w:eastAsia="Arial" w:hAnsi="Arial" w:cs="Arial"/>
          <w:b/>
          <w:color w:val="000000"/>
          <w:kern w:val="2"/>
          <w:sz w:val="24"/>
          <w:szCs w:val="24"/>
          <w:lang w:val="en-US" w:eastAsia="zh-CN"/>
          <w14:ligatures w14:val="standardContextual"/>
        </w:rPr>
        <w:t xml:space="preserve">ТАНИЛЦУУЛГА </w:t>
      </w:r>
    </w:p>
    <w:p w14:paraId="5FCBB0CC" w14:textId="77777777" w:rsidR="006B64DA" w:rsidRPr="00D207BB" w:rsidRDefault="006B64DA" w:rsidP="00D207BB">
      <w:pPr>
        <w:spacing w:after="0" w:line="240" w:lineRule="auto"/>
        <w:ind w:left="915"/>
        <w:contextualSpacing/>
        <w:jc w:val="center"/>
        <w:rPr>
          <w:rFonts w:ascii="Arial" w:eastAsia="Arial" w:hAnsi="Arial" w:cs="Arial"/>
          <w:color w:val="000000"/>
          <w:kern w:val="2"/>
          <w:sz w:val="24"/>
          <w:szCs w:val="24"/>
          <w:lang w:val="en-US" w:eastAsia="zh-CN"/>
          <w14:ligatures w14:val="standardContextual"/>
        </w:rPr>
      </w:pPr>
      <w:r w:rsidRPr="00D207BB">
        <w:rPr>
          <w:rFonts w:ascii="Arial" w:eastAsia="Arial" w:hAnsi="Arial" w:cs="Arial"/>
          <w:b/>
          <w:color w:val="000000"/>
          <w:kern w:val="2"/>
          <w:sz w:val="24"/>
          <w:szCs w:val="24"/>
          <w:lang w:val="en-US" w:eastAsia="zh-CN"/>
          <w14:ligatures w14:val="standardContextual"/>
        </w:rPr>
        <w:t xml:space="preserve"> </w:t>
      </w:r>
    </w:p>
    <w:p w14:paraId="244A5B5A" w14:textId="78F3AD17" w:rsidR="006B64DA" w:rsidRPr="00D207BB" w:rsidRDefault="002B43CC" w:rsidP="00D207BB">
      <w:pPr>
        <w:spacing w:after="0" w:line="240" w:lineRule="auto"/>
        <w:ind w:left="4395"/>
        <w:contextualSpacing/>
        <w:jc w:val="both"/>
        <w:rPr>
          <w:rFonts w:ascii="Arial" w:eastAsia="Arial" w:hAnsi="Arial" w:cs="Arial"/>
          <w:color w:val="000000"/>
          <w:kern w:val="2"/>
          <w:sz w:val="24"/>
          <w:szCs w:val="24"/>
          <w:lang w:val="en-US" w:eastAsia="zh-CN"/>
          <w14:ligatures w14:val="standardContextual"/>
        </w:rPr>
      </w:pPr>
      <w:r w:rsidRPr="00D207BB">
        <w:rPr>
          <w:rFonts w:ascii="Arial" w:eastAsia="Arial" w:hAnsi="Arial" w:cs="Arial"/>
          <w:color w:val="000000"/>
          <w:kern w:val="2"/>
          <w:sz w:val="24"/>
          <w:szCs w:val="24"/>
          <w:lang w:val="en-US" w:eastAsia="zh-CN"/>
          <w14:ligatures w14:val="standardContextual"/>
        </w:rPr>
        <w:t>/</w:t>
      </w:r>
      <w:proofErr w:type="spellStart"/>
      <w:r w:rsidR="006B64DA" w:rsidRPr="00D207BB">
        <w:rPr>
          <w:rFonts w:ascii="Arial" w:eastAsia="Arial" w:hAnsi="Arial" w:cs="Arial"/>
          <w:color w:val="000000"/>
          <w:kern w:val="2"/>
          <w:sz w:val="24"/>
          <w:szCs w:val="24"/>
          <w:lang w:val="en-US" w:eastAsia="zh-CN"/>
          <w14:ligatures w14:val="standardContextual"/>
        </w:rPr>
        <w:t>Гэр</w:t>
      </w:r>
      <w:proofErr w:type="spellEnd"/>
      <w:r w:rsidR="006B64DA" w:rsidRPr="00D207BB">
        <w:rPr>
          <w:rFonts w:ascii="Arial" w:eastAsia="Arial" w:hAnsi="Arial" w:cs="Arial"/>
          <w:color w:val="000000"/>
          <w:kern w:val="2"/>
          <w:sz w:val="24"/>
          <w:szCs w:val="24"/>
          <w:lang w:val="en-US" w:eastAsia="zh-CN"/>
          <w14:ligatures w14:val="standardContextual"/>
        </w:rPr>
        <w:t xml:space="preserve"> </w:t>
      </w:r>
      <w:proofErr w:type="spellStart"/>
      <w:r w:rsidR="006B64DA" w:rsidRPr="00D207BB">
        <w:rPr>
          <w:rFonts w:ascii="Arial" w:eastAsia="Arial" w:hAnsi="Arial" w:cs="Arial"/>
          <w:color w:val="000000"/>
          <w:kern w:val="2"/>
          <w:sz w:val="24"/>
          <w:szCs w:val="24"/>
          <w:lang w:val="en-US" w:eastAsia="zh-CN"/>
          <w14:ligatures w14:val="standardContextual"/>
        </w:rPr>
        <w:t>бүлийн</w:t>
      </w:r>
      <w:proofErr w:type="spellEnd"/>
      <w:r w:rsidR="006B64DA" w:rsidRPr="00D207BB">
        <w:rPr>
          <w:rFonts w:ascii="Arial" w:eastAsia="Arial" w:hAnsi="Arial" w:cs="Arial"/>
          <w:color w:val="000000"/>
          <w:kern w:val="2"/>
          <w:sz w:val="24"/>
          <w:szCs w:val="24"/>
          <w:lang w:val="en-US" w:eastAsia="zh-CN"/>
          <w14:ligatures w14:val="standardContextual"/>
        </w:rPr>
        <w:t xml:space="preserve"> </w:t>
      </w:r>
      <w:r w:rsidR="006B64DA" w:rsidRPr="00D207BB">
        <w:rPr>
          <w:rFonts w:ascii="Arial" w:eastAsia="Arial" w:hAnsi="Arial" w:cs="Arial"/>
          <w:color w:val="000000"/>
          <w:kern w:val="2"/>
          <w:sz w:val="24"/>
          <w:szCs w:val="24"/>
          <w:lang w:eastAsia="zh-CN"/>
          <w14:ligatures w14:val="standardContextual"/>
        </w:rPr>
        <w:t xml:space="preserve">хэрэг шүүхэд хянан </w:t>
      </w:r>
      <w:r w:rsidR="00EB4D74" w:rsidRPr="00D207BB">
        <w:rPr>
          <w:rFonts w:ascii="Arial" w:eastAsia="Arial" w:hAnsi="Arial" w:cs="Arial"/>
          <w:color w:val="000000"/>
          <w:kern w:val="2"/>
          <w:sz w:val="24"/>
          <w:szCs w:val="24"/>
          <w:lang w:eastAsia="zh-CN"/>
          <w14:ligatures w14:val="standardContextual"/>
        </w:rPr>
        <w:t xml:space="preserve">     </w:t>
      </w:r>
      <w:r w:rsidR="006B64DA" w:rsidRPr="00D207BB">
        <w:rPr>
          <w:rFonts w:ascii="Arial" w:eastAsia="Arial" w:hAnsi="Arial" w:cs="Arial"/>
          <w:color w:val="000000"/>
          <w:kern w:val="2"/>
          <w:sz w:val="24"/>
          <w:szCs w:val="24"/>
          <w:lang w:eastAsia="zh-CN"/>
          <w14:ligatures w14:val="standardContextual"/>
        </w:rPr>
        <w:t>шийдв</w:t>
      </w:r>
      <w:r w:rsidR="00EB4D74" w:rsidRPr="00D207BB">
        <w:rPr>
          <w:rFonts w:ascii="Arial" w:eastAsia="Arial" w:hAnsi="Arial" w:cs="Arial"/>
          <w:color w:val="000000"/>
          <w:kern w:val="2"/>
          <w:sz w:val="24"/>
          <w:szCs w:val="24"/>
          <w:lang w:eastAsia="zh-CN"/>
          <w14:ligatures w14:val="standardContextual"/>
        </w:rPr>
        <w:t xml:space="preserve">эрлэх </w:t>
      </w:r>
      <w:proofErr w:type="spellStart"/>
      <w:r w:rsidR="006B64DA" w:rsidRPr="00D207BB">
        <w:rPr>
          <w:rFonts w:ascii="Arial" w:eastAsia="Arial" w:hAnsi="Arial" w:cs="Arial"/>
          <w:color w:val="000000"/>
          <w:kern w:val="2"/>
          <w:sz w:val="24"/>
          <w:szCs w:val="24"/>
          <w:lang w:val="en-US" w:eastAsia="zh-CN"/>
          <w14:ligatures w14:val="standardContextual"/>
        </w:rPr>
        <w:t>тухай</w:t>
      </w:r>
      <w:proofErr w:type="spellEnd"/>
      <w:r w:rsidR="006B64DA" w:rsidRPr="00D207BB">
        <w:rPr>
          <w:rFonts w:ascii="Arial" w:eastAsia="Arial" w:hAnsi="Arial" w:cs="Arial"/>
          <w:color w:val="000000"/>
          <w:kern w:val="2"/>
          <w:sz w:val="24"/>
          <w:szCs w:val="24"/>
          <w:lang w:val="en-US" w:eastAsia="zh-CN"/>
          <w14:ligatures w14:val="standardContextual"/>
        </w:rPr>
        <w:t xml:space="preserve"> </w:t>
      </w:r>
      <w:proofErr w:type="spellStart"/>
      <w:r w:rsidR="006B64DA" w:rsidRPr="00D207BB">
        <w:rPr>
          <w:rFonts w:ascii="Arial" w:eastAsia="Arial" w:hAnsi="Arial" w:cs="Arial"/>
          <w:color w:val="000000"/>
          <w:kern w:val="2"/>
          <w:sz w:val="24"/>
          <w:szCs w:val="24"/>
          <w:lang w:val="en-US" w:eastAsia="zh-CN"/>
          <w14:ligatures w14:val="standardContextual"/>
        </w:rPr>
        <w:t>хуулийн</w:t>
      </w:r>
      <w:proofErr w:type="spellEnd"/>
      <w:r w:rsidR="006B64DA" w:rsidRPr="00D207BB">
        <w:rPr>
          <w:rFonts w:ascii="Arial" w:eastAsia="Arial" w:hAnsi="Arial" w:cs="Arial"/>
          <w:color w:val="000000"/>
          <w:kern w:val="2"/>
          <w:sz w:val="24"/>
          <w:szCs w:val="24"/>
          <w:lang w:val="en-US" w:eastAsia="zh-CN"/>
          <w14:ligatures w14:val="standardContextual"/>
        </w:rPr>
        <w:t xml:space="preserve"> </w:t>
      </w:r>
      <w:proofErr w:type="spellStart"/>
      <w:r w:rsidR="006B64DA" w:rsidRPr="00D207BB">
        <w:rPr>
          <w:rFonts w:ascii="Arial" w:eastAsia="Arial" w:hAnsi="Arial" w:cs="Arial"/>
          <w:color w:val="000000"/>
          <w:kern w:val="2"/>
          <w:sz w:val="24"/>
          <w:szCs w:val="24"/>
          <w:lang w:val="en-US" w:eastAsia="zh-CN"/>
          <w14:ligatures w14:val="standardContextual"/>
        </w:rPr>
        <w:t>төслийн</w:t>
      </w:r>
      <w:proofErr w:type="spellEnd"/>
      <w:r w:rsidR="006B64DA" w:rsidRPr="00D207BB">
        <w:rPr>
          <w:rFonts w:ascii="Arial" w:eastAsia="Arial" w:hAnsi="Arial" w:cs="Arial"/>
          <w:color w:val="000000"/>
          <w:kern w:val="2"/>
          <w:sz w:val="24"/>
          <w:szCs w:val="24"/>
          <w:lang w:val="en-US" w:eastAsia="zh-CN"/>
          <w14:ligatures w14:val="standardContextual"/>
        </w:rPr>
        <w:t xml:space="preserve"> </w:t>
      </w:r>
      <w:proofErr w:type="spellStart"/>
      <w:r w:rsidR="006B64DA" w:rsidRPr="00D207BB">
        <w:rPr>
          <w:rFonts w:ascii="Arial" w:eastAsia="Arial" w:hAnsi="Arial" w:cs="Arial"/>
          <w:color w:val="000000"/>
          <w:kern w:val="2"/>
          <w:sz w:val="24"/>
          <w:szCs w:val="24"/>
          <w:lang w:val="en-US" w:eastAsia="zh-CN"/>
          <w14:ligatures w14:val="standardContextual"/>
        </w:rPr>
        <w:t>талаар</w:t>
      </w:r>
      <w:proofErr w:type="spellEnd"/>
      <w:r w:rsidRPr="00D207BB">
        <w:rPr>
          <w:rFonts w:ascii="Arial" w:eastAsia="Arial" w:hAnsi="Arial" w:cs="Arial"/>
          <w:color w:val="000000"/>
          <w:kern w:val="2"/>
          <w:sz w:val="24"/>
          <w:szCs w:val="24"/>
          <w:lang w:val="en-US" w:eastAsia="zh-CN"/>
          <w14:ligatures w14:val="standardContextual"/>
        </w:rPr>
        <w:t>/</w:t>
      </w:r>
      <w:r w:rsidR="006B64DA" w:rsidRPr="00D207BB">
        <w:rPr>
          <w:rFonts w:ascii="Arial" w:eastAsia="Arial" w:hAnsi="Arial" w:cs="Arial"/>
          <w:b/>
          <w:color w:val="000000"/>
          <w:kern w:val="2"/>
          <w:sz w:val="24"/>
          <w:szCs w:val="24"/>
          <w:lang w:val="en-US" w:eastAsia="zh-CN"/>
          <w14:ligatures w14:val="standardContextual"/>
        </w:rPr>
        <w:t xml:space="preserve"> </w:t>
      </w:r>
    </w:p>
    <w:p w14:paraId="526C4DF4" w14:textId="77777777" w:rsidR="006B64DA" w:rsidRPr="00D207BB" w:rsidRDefault="006B64DA" w:rsidP="00D207BB">
      <w:pPr>
        <w:spacing w:after="0" w:line="240" w:lineRule="auto"/>
        <w:ind w:left="-15" w:firstLine="842"/>
        <w:contextualSpacing/>
        <w:jc w:val="both"/>
        <w:rPr>
          <w:rFonts w:ascii="Arial" w:eastAsia="Arial" w:hAnsi="Arial" w:cs="Arial"/>
          <w:color w:val="000000"/>
          <w:kern w:val="2"/>
          <w:sz w:val="24"/>
          <w:szCs w:val="24"/>
          <w:lang w:val="en-US" w:eastAsia="zh-CN"/>
          <w14:ligatures w14:val="standardContextual"/>
        </w:rPr>
      </w:pPr>
    </w:p>
    <w:p w14:paraId="67B2E37F" w14:textId="77777777" w:rsidR="00CE02C7" w:rsidRPr="00D207BB" w:rsidRDefault="00CE02C7" w:rsidP="00D207BB">
      <w:pPr>
        <w:spacing w:after="0" w:line="240" w:lineRule="auto"/>
        <w:ind w:firstLine="720"/>
        <w:contextualSpacing/>
        <w:jc w:val="both"/>
        <w:rPr>
          <w:rFonts w:ascii="Arial" w:eastAsiaTheme="minorHAnsi" w:hAnsi="Arial" w:cs="Arial"/>
          <w:noProof/>
          <w:sz w:val="24"/>
          <w:szCs w:val="24"/>
          <w:lang w:val="af-ZA"/>
        </w:rPr>
      </w:pPr>
      <w:bookmarkStart w:id="0" w:name="_Hlk199422840"/>
      <w:r w:rsidRPr="00D207BB">
        <w:rPr>
          <w:rFonts w:ascii="Arial" w:eastAsiaTheme="minorHAnsi" w:hAnsi="Arial" w:cs="Arial"/>
          <w:noProof/>
          <w:sz w:val="24"/>
          <w:szCs w:val="24"/>
          <w:lang w:val="af-ZA"/>
        </w:rPr>
        <w:t xml:space="preserve">2024 оны 06 дугаар сарын 05-ны өдрийн Монгол Улсын Их Хурлын чуулганы нэгдсэн хуралдаанаар батлагдсан Шүүх байгуулах тухай хуулийн </w:t>
      </w:r>
      <w:bookmarkStart w:id="1" w:name="_Hlk174431737"/>
      <w:r w:rsidRPr="00D207BB">
        <w:rPr>
          <w:rFonts w:ascii="Arial" w:eastAsiaTheme="minorHAnsi" w:hAnsi="Arial" w:cs="Arial"/>
          <w:noProof/>
          <w:sz w:val="24"/>
          <w:szCs w:val="24"/>
          <w:lang w:val="af-ZA"/>
        </w:rPr>
        <w:t xml:space="preserve">1 дүгээр зүйлийн </w:t>
      </w:r>
      <w:r w:rsidRPr="00D207BB">
        <w:rPr>
          <w:rFonts w:ascii="Arial" w:eastAsiaTheme="minorHAnsi" w:hAnsi="Arial" w:cs="Arial"/>
          <w:noProof/>
          <w:sz w:val="24"/>
          <w:szCs w:val="24"/>
          <w:shd w:val="clear" w:color="auto" w:fill="FFFFFF"/>
          <w:lang w:val="af-ZA"/>
        </w:rPr>
        <w:t xml:space="preserve">Гурав дахь хэсгийн </w:t>
      </w:r>
      <w:r w:rsidRPr="00D207BB">
        <w:rPr>
          <w:rFonts w:ascii="Arial" w:eastAsiaTheme="minorHAnsi" w:hAnsi="Arial" w:cs="Arial"/>
          <w:noProof/>
          <w:sz w:val="24"/>
          <w:szCs w:val="24"/>
          <w:lang w:val="af-ZA"/>
        </w:rPr>
        <w:t xml:space="preserve">1 дэх заалтад </w:t>
      </w:r>
      <w:bookmarkEnd w:id="1"/>
      <w:r w:rsidRPr="00D207BB">
        <w:rPr>
          <w:rFonts w:ascii="Arial" w:eastAsiaTheme="minorHAnsi" w:hAnsi="Arial" w:cs="Arial"/>
          <w:noProof/>
          <w:sz w:val="24"/>
          <w:szCs w:val="24"/>
          <w:lang w:val="af-ZA"/>
        </w:rPr>
        <w:t xml:space="preserve">Гэр бүл, хүүхдийн хэргийн давж заалдах шатны шүүх, 2 дугаар зүйлийн </w:t>
      </w:r>
      <w:r w:rsidRPr="00D207BB">
        <w:rPr>
          <w:rFonts w:ascii="Arial" w:eastAsiaTheme="minorHAnsi" w:hAnsi="Arial" w:cs="Arial"/>
          <w:noProof/>
          <w:sz w:val="24"/>
          <w:szCs w:val="24"/>
          <w:shd w:val="clear" w:color="auto" w:fill="FFFFFF"/>
          <w:lang w:val="af-ZA"/>
        </w:rPr>
        <w:t xml:space="preserve">Дөрөв дэх хэсгийн </w:t>
      </w:r>
      <w:r w:rsidRPr="00D207BB">
        <w:rPr>
          <w:rFonts w:ascii="Arial" w:eastAsiaTheme="minorHAnsi" w:hAnsi="Arial" w:cs="Arial"/>
          <w:noProof/>
          <w:sz w:val="24"/>
          <w:szCs w:val="24"/>
          <w:lang w:val="af-ZA"/>
        </w:rPr>
        <w:t xml:space="preserve">1 дэх заалтад </w:t>
      </w:r>
      <w:r w:rsidRPr="00D207BB">
        <w:rPr>
          <w:rFonts w:ascii="Arial" w:eastAsiaTheme="minorHAnsi" w:hAnsi="Arial" w:cs="Arial"/>
          <w:noProof/>
          <w:sz w:val="24"/>
          <w:szCs w:val="24"/>
          <w:shd w:val="clear" w:color="auto" w:fill="FFFFFF"/>
          <w:lang w:val="af-ZA"/>
        </w:rPr>
        <w:t xml:space="preserve">Нийслэл дэх </w:t>
      </w:r>
      <w:bookmarkStart w:id="2" w:name="_Hlk179298551"/>
      <w:r w:rsidRPr="00D207BB">
        <w:rPr>
          <w:rFonts w:ascii="Arial" w:eastAsiaTheme="minorHAnsi" w:hAnsi="Arial" w:cs="Arial"/>
          <w:noProof/>
          <w:sz w:val="24"/>
          <w:szCs w:val="24"/>
          <w:shd w:val="clear" w:color="auto" w:fill="FFFFFF"/>
          <w:lang w:val="af-ZA"/>
        </w:rPr>
        <w:t xml:space="preserve">Гэр бүл, хүүхдийн хэргийн анхан </w:t>
      </w:r>
      <w:bookmarkEnd w:id="2"/>
      <w:r w:rsidRPr="00D207BB">
        <w:rPr>
          <w:rFonts w:ascii="Arial" w:eastAsiaTheme="minorHAnsi" w:hAnsi="Arial" w:cs="Arial"/>
          <w:noProof/>
          <w:sz w:val="24"/>
          <w:szCs w:val="24"/>
          <w:shd w:val="clear" w:color="auto" w:fill="FFFFFF"/>
          <w:lang w:val="af-ZA"/>
        </w:rPr>
        <w:t>шатны тойргийн шүүхийг тус тус</w:t>
      </w:r>
      <w:r w:rsidRPr="00D207BB">
        <w:rPr>
          <w:rFonts w:ascii="Arial" w:eastAsiaTheme="minorHAnsi" w:hAnsi="Arial" w:cs="Arial"/>
          <w:noProof/>
          <w:sz w:val="24"/>
          <w:szCs w:val="24"/>
          <w:lang w:val="af-ZA"/>
        </w:rPr>
        <w:t xml:space="preserve"> байгуулахаар заасан.</w:t>
      </w:r>
      <w:r w:rsidRPr="00D207BB">
        <w:rPr>
          <w:rFonts w:ascii="Arial" w:eastAsiaTheme="minorHAnsi" w:hAnsi="Arial" w:cs="Arial"/>
          <w:noProof/>
          <w:sz w:val="24"/>
          <w:szCs w:val="24"/>
          <w:vertAlign w:val="superscript"/>
          <w:lang w:val="af-ZA"/>
        </w:rPr>
        <w:footnoteReference w:id="1"/>
      </w:r>
      <w:r w:rsidRPr="00D207BB">
        <w:rPr>
          <w:rFonts w:ascii="Arial" w:eastAsiaTheme="minorHAnsi" w:hAnsi="Arial" w:cs="Arial"/>
          <w:noProof/>
          <w:sz w:val="24"/>
          <w:szCs w:val="24"/>
          <w:lang w:val="af-ZA"/>
        </w:rPr>
        <w:t xml:space="preserve"> </w:t>
      </w:r>
    </w:p>
    <w:p w14:paraId="04ED8767" w14:textId="77777777" w:rsidR="007F3A44" w:rsidRPr="00D207BB" w:rsidRDefault="007F3A44" w:rsidP="00D207BB">
      <w:pPr>
        <w:spacing w:after="0" w:line="240" w:lineRule="auto"/>
        <w:ind w:firstLine="720"/>
        <w:contextualSpacing/>
        <w:jc w:val="both"/>
        <w:rPr>
          <w:rFonts w:ascii="Arial" w:eastAsiaTheme="minorHAnsi" w:hAnsi="Arial" w:cs="Arial"/>
          <w:noProof/>
          <w:sz w:val="24"/>
          <w:szCs w:val="24"/>
          <w:lang w:val="af-ZA"/>
        </w:rPr>
      </w:pPr>
    </w:p>
    <w:p w14:paraId="54CE7E24" w14:textId="77777777" w:rsidR="00CE02C7" w:rsidRPr="00D207BB" w:rsidRDefault="00CE02C7" w:rsidP="00D207BB">
      <w:pPr>
        <w:spacing w:after="0" w:line="240" w:lineRule="auto"/>
        <w:ind w:firstLine="720"/>
        <w:contextualSpacing/>
        <w:jc w:val="both"/>
        <w:rPr>
          <w:rFonts w:ascii="Arial" w:eastAsiaTheme="minorHAnsi" w:hAnsi="Arial" w:cs="Arial"/>
          <w:noProof/>
          <w:sz w:val="24"/>
          <w:szCs w:val="24"/>
          <w:lang w:val="af-ZA"/>
        </w:rPr>
      </w:pPr>
      <w:r w:rsidRPr="00D207BB">
        <w:rPr>
          <w:rFonts w:ascii="Arial" w:eastAsiaTheme="minorHAnsi" w:hAnsi="Arial" w:cs="Arial"/>
          <w:noProof/>
          <w:sz w:val="24"/>
          <w:szCs w:val="24"/>
          <w:lang w:val="af-ZA"/>
        </w:rPr>
        <w:t>Шүүх байгуулах тухай хууль /</w:t>
      </w:r>
      <w:r w:rsidRPr="00D207BB">
        <w:rPr>
          <w:rFonts w:ascii="Arial" w:eastAsiaTheme="minorHAnsi" w:hAnsi="Arial" w:cs="Arial"/>
          <w:noProof/>
          <w:sz w:val="24"/>
          <w:szCs w:val="24"/>
        </w:rPr>
        <w:t>Ш</w:t>
      </w:r>
      <w:r w:rsidRPr="00D207BB">
        <w:rPr>
          <w:rFonts w:ascii="Arial" w:eastAsiaTheme="minorHAnsi" w:hAnsi="Arial" w:cs="Arial"/>
          <w:noProof/>
          <w:sz w:val="24"/>
          <w:szCs w:val="24"/>
          <w:lang w:val="af-ZA"/>
        </w:rPr>
        <w:t xml:space="preserve">инэчилсэн найруулга/-ийг дагаж мөрдөх журмын тухай хуулийн </w:t>
      </w:r>
      <w:r w:rsidRPr="00D207BB">
        <w:rPr>
          <w:rFonts w:ascii="Arial" w:eastAsiaTheme="minorHAnsi" w:hAnsi="Arial" w:cs="Arial"/>
          <w:noProof/>
          <w:sz w:val="24"/>
          <w:szCs w:val="24"/>
          <w:shd w:val="clear" w:color="auto" w:fill="FFFFFF"/>
          <w:lang w:val="af-ZA"/>
        </w:rPr>
        <w:t xml:space="preserve">5 дугаар зүйлд тус зохицуулалтыг 2026 оны 01 дүгээр сарын 01-ний өдрөөс эхлэн дагаж </w:t>
      </w:r>
      <w:r w:rsidRPr="00D207BB">
        <w:rPr>
          <w:rFonts w:ascii="Arial" w:eastAsiaTheme="minorHAnsi" w:hAnsi="Arial" w:cs="Arial"/>
          <w:noProof/>
          <w:sz w:val="24"/>
          <w:szCs w:val="24"/>
          <w:lang w:val="af-ZA"/>
        </w:rPr>
        <w:t>мөрдөхөөр заасан.</w:t>
      </w:r>
      <w:r w:rsidRPr="00D207BB">
        <w:rPr>
          <w:rFonts w:ascii="Arial" w:eastAsiaTheme="minorHAnsi" w:hAnsi="Arial" w:cs="Arial"/>
          <w:noProof/>
          <w:sz w:val="24"/>
          <w:szCs w:val="24"/>
          <w:vertAlign w:val="superscript"/>
          <w:lang w:val="af-ZA"/>
        </w:rPr>
        <w:footnoteReference w:id="2"/>
      </w:r>
      <w:r w:rsidRPr="00D207BB">
        <w:rPr>
          <w:rFonts w:ascii="Arial" w:eastAsiaTheme="minorHAnsi" w:hAnsi="Arial" w:cs="Arial"/>
          <w:noProof/>
          <w:sz w:val="24"/>
          <w:szCs w:val="24"/>
          <w:lang w:val="af-ZA"/>
        </w:rPr>
        <w:t xml:space="preserve"> </w:t>
      </w:r>
    </w:p>
    <w:p w14:paraId="130299DF" w14:textId="77777777" w:rsidR="007F3A44" w:rsidRPr="00D207BB" w:rsidRDefault="007F3A44" w:rsidP="00D207BB">
      <w:pPr>
        <w:spacing w:after="0" w:line="240" w:lineRule="auto"/>
        <w:ind w:firstLine="720"/>
        <w:contextualSpacing/>
        <w:jc w:val="both"/>
        <w:rPr>
          <w:rFonts w:ascii="Arial" w:eastAsiaTheme="minorHAnsi" w:hAnsi="Arial" w:cs="Arial"/>
          <w:noProof/>
          <w:sz w:val="24"/>
          <w:szCs w:val="24"/>
          <w:lang w:val="af-ZA"/>
        </w:rPr>
      </w:pPr>
    </w:p>
    <w:p w14:paraId="4003AA8E" w14:textId="74E93623" w:rsidR="00CE02C7" w:rsidRPr="00D207BB" w:rsidRDefault="00CE02C7" w:rsidP="00D207BB">
      <w:pPr>
        <w:spacing w:after="0" w:line="240" w:lineRule="auto"/>
        <w:ind w:firstLine="720"/>
        <w:contextualSpacing/>
        <w:jc w:val="both"/>
        <w:rPr>
          <w:rFonts w:ascii="Arial" w:eastAsiaTheme="minorHAnsi" w:hAnsi="Arial" w:cs="Arial"/>
          <w:noProof/>
          <w:sz w:val="24"/>
          <w:szCs w:val="24"/>
          <w:lang w:val="af-ZA"/>
        </w:rPr>
      </w:pPr>
      <w:r w:rsidRPr="00D207BB">
        <w:rPr>
          <w:rFonts w:ascii="Arial" w:eastAsiaTheme="minorHAnsi" w:hAnsi="Arial" w:cs="Arial"/>
          <w:noProof/>
          <w:sz w:val="24"/>
          <w:szCs w:val="24"/>
          <w:lang w:val="af-ZA"/>
        </w:rPr>
        <w:t>Түүнчлэн, “Хууль баталсантай холбогдуулан авах зарим арга хэмжээний тухай” Монгол Улсын Их Хурлын 2024 оны 06 дугаар сарын 05-ны өдрийн 68 дугаар тогтоолын 4-т нийслэлд Гэр бүл, хүүхдийн хэргийн анхан шатны тойргийн болон давж заалдах шатны шүүх байгуулсантай холбогдуулан эрүү, иргэний хэргийг хянан шийдвэрлэх хууль тогтоомжид холбогдох зохицуулалтыг тусган Монгол Улсын Их Хурлын 2025 оны хаврын ээлжит чуулганы хугацаанд өргөн мэдүүлэхийг даалгасан</w:t>
      </w:r>
      <w:bookmarkEnd w:id="0"/>
      <w:r w:rsidRPr="00D207BB">
        <w:rPr>
          <w:rFonts w:ascii="Arial" w:eastAsiaTheme="minorHAnsi" w:hAnsi="Arial" w:cs="Arial"/>
          <w:noProof/>
          <w:sz w:val="24"/>
          <w:szCs w:val="24"/>
          <w:lang w:val="af-ZA"/>
        </w:rPr>
        <w:t xml:space="preserve">. </w:t>
      </w:r>
    </w:p>
    <w:p w14:paraId="681C5781" w14:textId="77777777" w:rsidR="007F3A44" w:rsidRPr="00D207BB" w:rsidRDefault="007F3A44" w:rsidP="00D207BB">
      <w:pPr>
        <w:spacing w:after="0" w:line="240" w:lineRule="auto"/>
        <w:ind w:firstLine="720"/>
        <w:contextualSpacing/>
        <w:jc w:val="both"/>
        <w:rPr>
          <w:rFonts w:ascii="Arial" w:eastAsiaTheme="minorHAnsi" w:hAnsi="Arial" w:cs="Arial"/>
          <w:noProof/>
          <w:sz w:val="24"/>
          <w:szCs w:val="24"/>
          <w:lang w:val="af-ZA"/>
        </w:rPr>
      </w:pPr>
    </w:p>
    <w:p w14:paraId="1FF77D5F" w14:textId="5E6CD4F8" w:rsidR="006B64DA" w:rsidRPr="00D207BB" w:rsidRDefault="006B64DA" w:rsidP="00D207BB">
      <w:pPr>
        <w:spacing w:after="0" w:line="240" w:lineRule="auto"/>
        <w:ind w:left="-15" w:firstLine="735"/>
        <w:contextualSpacing/>
        <w:jc w:val="both"/>
        <w:rPr>
          <w:rFonts w:ascii="Arial" w:eastAsia="Arial" w:hAnsi="Arial" w:cs="Arial"/>
          <w:color w:val="000000"/>
          <w:kern w:val="2"/>
          <w:sz w:val="24"/>
          <w:szCs w:val="24"/>
          <w:lang w:val="af-ZA" w:eastAsia="zh-CN"/>
          <w14:ligatures w14:val="standardContextual"/>
        </w:rPr>
      </w:pPr>
      <w:r w:rsidRPr="00D207BB">
        <w:rPr>
          <w:rFonts w:ascii="Arial" w:eastAsia="Arial" w:hAnsi="Arial" w:cs="Arial"/>
          <w:color w:val="000000"/>
          <w:kern w:val="2"/>
          <w:sz w:val="24"/>
          <w:szCs w:val="24"/>
          <w:lang w:val="af-ZA" w:eastAsia="zh-CN"/>
          <w14:ligatures w14:val="standardContextual"/>
        </w:rPr>
        <w:t xml:space="preserve">Ийнхүү Хууль зүй, дотоод хэргийн сайдын тушаалаар </w:t>
      </w:r>
      <w:r w:rsidR="00CE02C7" w:rsidRPr="00D207BB">
        <w:rPr>
          <w:rFonts w:ascii="Arial" w:eastAsia="Arial" w:hAnsi="Arial" w:cs="Arial"/>
          <w:color w:val="000000"/>
          <w:kern w:val="2"/>
          <w:sz w:val="24"/>
          <w:szCs w:val="24"/>
          <w:lang w:val="af-ZA" w:eastAsia="zh-CN"/>
          <w14:ligatures w14:val="standardContextual"/>
        </w:rPr>
        <w:t xml:space="preserve">байгуулсан Ажлын хэсэг </w:t>
      </w:r>
      <w:r w:rsidRPr="00D207BB">
        <w:rPr>
          <w:rFonts w:ascii="Arial" w:eastAsia="Arial" w:hAnsi="Arial" w:cs="Arial"/>
          <w:color w:val="000000"/>
          <w:kern w:val="2"/>
          <w:sz w:val="24"/>
          <w:szCs w:val="24"/>
          <w:lang w:val="af-ZA" w:eastAsia="zh-CN"/>
          <w14:ligatures w14:val="standardContextual"/>
        </w:rPr>
        <w:t xml:space="preserve">хуулийн төслийг боловсруулав.  </w:t>
      </w:r>
    </w:p>
    <w:p w14:paraId="74915AB5" w14:textId="77777777" w:rsidR="006B64DA" w:rsidRPr="00D207BB" w:rsidRDefault="006B64DA" w:rsidP="00D207BB">
      <w:pPr>
        <w:spacing w:after="0" w:line="240" w:lineRule="auto"/>
        <w:ind w:left="-15" w:firstLine="842"/>
        <w:contextualSpacing/>
        <w:jc w:val="both"/>
        <w:rPr>
          <w:rFonts w:ascii="Arial" w:eastAsia="Arial" w:hAnsi="Arial" w:cs="Arial"/>
          <w:color w:val="000000"/>
          <w:kern w:val="2"/>
          <w:sz w:val="24"/>
          <w:szCs w:val="24"/>
          <w:lang w:val="af-ZA" w:eastAsia="zh-CN"/>
          <w14:ligatures w14:val="standardContextual"/>
        </w:rPr>
      </w:pPr>
    </w:p>
    <w:p w14:paraId="4F5B0C11" w14:textId="25064138" w:rsidR="006B64DA" w:rsidRPr="00D207BB" w:rsidRDefault="00CE02C7" w:rsidP="00D207BB">
      <w:pPr>
        <w:spacing w:after="0" w:line="240" w:lineRule="auto"/>
        <w:ind w:firstLine="720"/>
        <w:contextualSpacing/>
        <w:jc w:val="both"/>
        <w:rPr>
          <w:rFonts w:ascii="Arial" w:eastAsia="Calibri" w:hAnsi="Arial" w:cs="Arial"/>
          <w:sz w:val="24"/>
          <w:szCs w:val="24"/>
          <w:lang w:val="af-ZA" w:eastAsia="en-US"/>
        </w:rPr>
      </w:pPr>
      <w:r w:rsidRPr="00D207BB">
        <w:rPr>
          <w:rFonts w:ascii="Arial" w:eastAsia="Calibri" w:hAnsi="Arial" w:cs="Arial"/>
          <w:sz w:val="24"/>
          <w:szCs w:val="24"/>
          <w:lang w:val="af-ZA" w:eastAsia="en-US"/>
        </w:rPr>
        <w:t>Уг хуулийн төслөөр олон нийтийн хэлэлцүүл</w:t>
      </w:r>
      <w:r w:rsidR="004D71CE" w:rsidRPr="00D207BB">
        <w:rPr>
          <w:rFonts w:ascii="Arial" w:eastAsia="Calibri" w:hAnsi="Arial" w:cs="Arial"/>
          <w:sz w:val="24"/>
          <w:szCs w:val="24"/>
          <w:lang w:val="af-ZA" w:eastAsia="en-US"/>
        </w:rPr>
        <w:t>гийг 2025 оны 05 дугаар сарын 12, 09 дүгээр сарын 29-ний өдөр тус тус</w:t>
      </w:r>
      <w:r w:rsidRPr="00D207BB">
        <w:rPr>
          <w:rFonts w:ascii="Arial" w:eastAsia="Calibri" w:hAnsi="Arial" w:cs="Arial"/>
          <w:sz w:val="24"/>
          <w:szCs w:val="24"/>
          <w:lang w:val="af-ZA" w:eastAsia="en-US"/>
        </w:rPr>
        <w:t xml:space="preserve"> зохион байгуулж, ХЗДХЯ-ны цахим хууд</w:t>
      </w:r>
      <w:r w:rsidR="00D207BB">
        <w:rPr>
          <w:rFonts w:ascii="Arial" w:eastAsia="Calibri" w:hAnsi="Arial" w:cs="Arial"/>
          <w:sz w:val="24"/>
          <w:szCs w:val="24"/>
          <w:lang w:val="af-ZA" w:eastAsia="en-US"/>
        </w:rPr>
        <w:t>ас болон эрх зүйн мэдээллийн нэгдсэн системд тус тус</w:t>
      </w:r>
      <w:r w:rsidRPr="00D207BB">
        <w:rPr>
          <w:rFonts w:ascii="Arial" w:eastAsia="Calibri" w:hAnsi="Arial" w:cs="Arial"/>
          <w:sz w:val="24"/>
          <w:szCs w:val="24"/>
          <w:lang w:val="af-ZA" w:eastAsia="en-US"/>
        </w:rPr>
        <w:t xml:space="preserve"> санал авахаар байршуулсан </w:t>
      </w:r>
      <w:r w:rsidR="00DF26C6" w:rsidRPr="00D207BB">
        <w:rPr>
          <w:rFonts w:ascii="Arial" w:eastAsia="Calibri" w:hAnsi="Arial" w:cs="Arial"/>
          <w:sz w:val="24"/>
          <w:szCs w:val="24"/>
          <w:lang w:val="af-ZA" w:eastAsia="en-US"/>
        </w:rPr>
        <w:t>б</w:t>
      </w:r>
      <w:r w:rsidR="004D71CE" w:rsidRPr="00D207BB">
        <w:rPr>
          <w:rFonts w:ascii="Arial" w:eastAsia="Calibri" w:hAnsi="Arial" w:cs="Arial"/>
          <w:sz w:val="24"/>
          <w:szCs w:val="24"/>
          <w:lang w:val="af-ZA" w:eastAsia="en-US"/>
        </w:rPr>
        <w:t>өгөө</w:t>
      </w:r>
      <w:r w:rsidR="00DF26C6" w:rsidRPr="00D207BB">
        <w:rPr>
          <w:rFonts w:ascii="Arial" w:eastAsia="Calibri" w:hAnsi="Arial" w:cs="Arial"/>
          <w:sz w:val="24"/>
          <w:szCs w:val="24"/>
          <w:lang w:val="af-ZA" w:eastAsia="en-US"/>
        </w:rPr>
        <w:t xml:space="preserve">д холбогдох байгууллагаас санал авч тусгасан </w:t>
      </w:r>
      <w:r w:rsidRPr="00D207BB">
        <w:rPr>
          <w:rFonts w:ascii="Arial" w:eastAsia="Calibri" w:hAnsi="Arial" w:cs="Arial"/>
          <w:sz w:val="24"/>
          <w:szCs w:val="24"/>
          <w:lang w:val="af-ZA" w:eastAsia="en-US"/>
        </w:rPr>
        <w:t xml:space="preserve">болно. </w:t>
      </w:r>
    </w:p>
    <w:p w14:paraId="0BF0E16A" w14:textId="77777777" w:rsidR="00CE02C7" w:rsidRPr="00D207BB" w:rsidRDefault="00CE02C7" w:rsidP="00D207BB">
      <w:pPr>
        <w:spacing w:after="0" w:line="240" w:lineRule="auto"/>
        <w:ind w:firstLine="720"/>
        <w:contextualSpacing/>
        <w:jc w:val="both"/>
        <w:rPr>
          <w:rFonts w:ascii="Arial" w:eastAsia="Calibri" w:hAnsi="Arial" w:cs="Arial"/>
          <w:sz w:val="24"/>
          <w:szCs w:val="24"/>
          <w:lang w:val="af-ZA" w:eastAsia="en-US"/>
        </w:rPr>
      </w:pPr>
    </w:p>
    <w:p w14:paraId="6CD900AF" w14:textId="2E229116" w:rsidR="006B64DA" w:rsidRPr="00D207BB" w:rsidRDefault="006B64DA" w:rsidP="00D207BB">
      <w:pPr>
        <w:spacing w:after="0" w:line="240" w:lineRule="auto"/>
        <w:ind w:left="852"/>
        <w:contextualSpacing/>
        <w:jc w:val="both"/>
        <w:rPr>
          <w:rFonts w:ascii="Arial" w:eastAsia="Arial" w:hAnsi="Arial" w:cs="Arial"/>
          <w:color w:val="000000"/>
          <w:kern w:val="2"/>
          <w:sz w:val="24"/>
          <w:szCs w:val="24"/>
          <w:lang w:eastAsia="zh-CN"/>
          <w14:ligatures w14:val="standardContextual"/>
        </w:rPr>
      </w:pPr>
      <w:r w:rsidRPr="00D207BB">
        <w:rPr>
          <w:rFonts w:ascii="Arial" w:eastAsia="Arial" w:hAnsi="Arial" w:cs="Arial"/>
          <w:color w:val="000000"/>
          <w:kern w:val="2"/>
          <w:sz w:val="24"/>
          <w:szCs w:val="24"/>
          <w:lang w:eastAsia="zh-CN"/>
          <w14:ligatures w14:val="standardContextual"/>
        </w:rPr>
        <w:t xml:space="preserve">Хуулийн төсөлд зарчмын шинжтэй дараах зохицуулалтыг тусгалаа. Үүнд: </w:t>
      </w:r>
    </w:p>
    <w:p w14:paraId="44DB8318" w14:textId="77777777" w:rsidR="002B43CC" w:rsidRPr="00D207BB" w:rsidRDefault="002B43CC" w:rsidP="00D207BB">
      <w:pPr>
        <w:spacing w:after="0" w:line="240" w:lineRule="auto"/>
        <w:ind w:left="852"/>
        <w:contextualSpacing/>
        <w:jc w:val="both"/>
        <w:rPr>
          <w:rFonts w:ascii="Arial" w:eastAsia="Arial" w:hAnsi="Arial" w:cs="Arial"/>
          <w:color w:val="000000"/>
          <w:kern w:val="2"/>
          <w:sz w:val="24"/>
          <w:szCs w:val="24"/>
          <w:lang w:eastAsia="zh-CN"/>
          <w14:ligatures w14:val="standardContextual"/>
        </w:rPr>
      </w:pPr>
    </w:p>
    <w:p w14:paraId="2DFF3D10" w14:textId="77777777" w:rsidR="002B43CC" w:rsidRDefault="002B43CC" w:rsidP="00D207BB">
      <w:pPr>
        <w:spacing w:after="0" w:line="240" w:lineRule="auto"/>
        <w:ind w:firstLine="720"/>
        <w:contextualSpacing/>
        <w:jc w:val="center"/>
        <w:rPr>
          <w:rFonts w:ascii="Arial" w:hAnsi="Arial" w:cs="Arial"/>
          <w:b/>
          <w:bCs/>
          <w:noProof/>
          <w:sz w:val="24"/>
          <w:szCs w:val="24"/>
          <w:lang w:bidi="mn-Mong-MN"/>
        </w:rPr>
      </w:pPr>
      <w:r w:rsidRPr="00D207BB">
        <w:rPr>
          <w:rFonts w:ascii="Arial" w:hAnsi="Arial" w:cs="Arial"/>
          <w:b/>
          <w:bCs/>
          <w:noProof/>
          <w:sz w:val="24"/>
          <w:szCs w:val="24"/>
          <w:lang w:bidi="mn-Mong-MN"/>
        </w:rPr>
        <w:t>Хэрэг хянан шийдвэрлэх шүүхийн харьяалал</w:t>
      </w:r>
    </w:p>
    <w:p w14:paraId="64C2F04F" w14:textId="77777777" w:rsidR="00D207BB" w:rsidRPr="00D207BB" w:rsidRDefault="00D207BB" w:rsidP="00D207BB">
      <w:pPr>
        <w:spacing w:after="0" w:line="240" w:lineRule="auto"/>
        <w:ind w:firstLine="720"/>
        <w:contextualSpacing/>
        <w:jc w:val="center"/>
        <w:rPr>
          <w:rFonts w:ascii="Arial" w:hAnsi="Arial" w:cs="Arial"/>
          <w:b/>
          <w:bCs/>
          <w:noProof/>
          <w:sz w:val="24"/>
          <w:szCs w:val="24"/>
          <w:lang w:bidi="mn-Mong-MN"/>
        </w:rPr>
      </w:pPr>
    </w:p>
    <w:p w14:paraId="10CD8655" w14:textId="77777777" w:rsidR="00421898" w:rsidRPr="00D207BB" w:rsidRDefault="00421898" w:rsidP="00D207BB">
      <w:pPr>
        <w:spacing w:after="0" w:line="240" w:lineRule="auto"/>
        <w:ind w:firstLine="720"/>
        <w:contextualSpacing/>
        <w:jc w:val="both"/>
        <w:rPr>
          <w:rFonts w:ascii="Arial" w:hAnsi="Arial" w:cs="Arial"/>
          <w:noProof/>
          <w:color w:val="000000" w:themeColor="text1"/>
          <w:sz w:val="24"/>
          <w:szCs w:val="24"/>
          <w:lang w:bidi="mn-Mong-MN"/>
        </w:rPr>
      </w:pPr>
      <w:r w:rsidRPr="00D207BB">
        <w:rPr>
          <w:rFonts w:ascii="Arial" w:hAnsi="Arial" w:cs="Arial"/>
          <w:noProof/>
          <w:color w:val="000000" w:themeColor="text1"/>
          <w:sz w:val="24"/>
          <w:szCs w:val="24"/>
          <w:lang w:bidi="mn-Mong-MN"/>
        </w:rPr>
        <w:t>Нийслэл дэх Гэр бүл, хүүхдийн хэргийн анхан шатны тойргийн шүүх байгуулагдсантай холбогдуулан Нийслэлийн Баянгол, Баянзүрх, Сонгинохайрхан, Сүхбаатар, Чингэлтэй, Хан-Уул дүүргийн засаг захиргаа, нутаг дэвсгэрийн бүх нэгжид хамаарах нэхэмжлэл, хүсэлтийг Гэр бүл, хүүхдийн хэргийн анхан шатны тойргийн шүүх</w:t>
      </w:r>
      <w:r w:rsidRPr="00D207BB">
        <w:rPr>
          <w:rFonts w:ascii="Arial" w:hAnsi="Arial" w:cs="Arial"/>
          <w:strike/>
          <w:noProof/>
          <w:color w:val="000000" w:themeColor="text1"/>
          <w:sz w:val="24"/>
          <w:szCs w:val="24"/>
          <w:lang w:bidi="mn-Mong-MN"/>
        </w:rPr>
        <w:t xml:space="preserve"> </w:t>
      </w:r>
      <w:r w:rsidRPr="00D207BB">
        <w:rPr>
          <w:rFonts w:ascii="Arial" w:hAnsi="Arial" w:cs="Arial"/>
          <w:noProof/>
          <w:color w:val="000000" w:themeColor="text1"/>
          <w:sz w:val="24"/>
          <w:szCs w:val="24"/>
          <w:lang w:bidi="mn-Mong-MN"/>
        </w:rPr>
        <w:t>харьяалан анхан шатны журмаар хянан шийдвэрлэхээр тусгалаа.</w:t>
      </w:r>
    </w:p>
    <w:p w14:paraId="37A73176" w14:textId="77777777" w:rsidR="00421898" w:rsidRPr="00D207BB" w:rsidRDefault="00421898" w:rsidP="00D207BB">
      <w:pPr>
        <w:spacing w:after="0" w:line="240" w:lineRule="auto"/>
        <w:ind w:firstLine="720"/>
        <w:contextualSpacing/>
        <w:jc w:val="both"/>
        <w:rPr>
          <w:rFonts w:ascii="Arial" w:hAnsi="Arial" w:cs="Arial"/>
          <w:noProof/>
          <w:color w:val="000000" w:themeColor="text1"/>
          <w:sz w:val="24"/>
          <w:szCs w:val="24"/>
          <w:lang w:bidi="mn-Mong-MN"/>
        </w:rPr>
      </w:pPr>
    </w:p>
    <w:p w14:paraId="242159C1" w14:textId="3DA8DA05" w:rsidR="00421898" w:rsidRPr="00D207BB" w:rsidRDefault="00421898" w:rsidP="00D207BB">
      <w:pPr>
        <w:spacing w:after="0" w:line="240" w:lineRule="auto"/>
        <w:ind w:firstLine="720"/>
        <w:contextualSpacing/>
        <w:jc w:val="both"/>
        <w:rPr>
          <w:rFonts w:ascii="Arial" w:hAnsi="Arial" w:cs="Arial"/>
          <w:noProof/>
          <w:color w:val="000000" w:themeColor="text1"/>
          <w:sz w:val="24"/>
          <w:szCs w:val="24"/>
          <w:lang w:bidi="mn-Mong-MN"/>
        </w:rPr>
      </w:pPr>
      <w:r w:rsidRPr="00D207BB">
        <w:rPr>
          <w:rFonts w:ascii="Arial" w:hAnsi="Arial" w:cs="Arial"/>
          <w:noProof/>
          <w:color w:val="000000" w:themeColor="text1"/>
          <w:sz w:val="24"/>
          <w:szCs w:val="24"/>
          <w:lang w:bidi="mn-Mong-MN"/>
        </w:rPr>
        <w:t>Дээрхээс бусад нутаг дэвсгэрт хамаарах гэр бүлийн хэргийг холбогдох</w:t>
      </w:r>
      <w:r w:rsidR="00D207BB">
        <w:rPr>
          <w:rFonts w:ascii="Arial" w:hAnsi="Arial" w:cs="Arial"/>
          <w:noProof/>
          <w:color w:val="000000" w:themeColor="text1"/>
          <w:sz w:val="24"/>
          <w:szCs w:val="24"/>
          <w:lang w:bidi="mn-Mong-MN"/>
        </w:rPr>
        <w:t xml:space="preserve"> иргэний хэргийн</w:t>
      </w:r>
      <w:r w:rsidRPr="00D207BB">
        <w:rPr>
          <w:rFonts w:ascii="Arial" w:hAnsi="Arial" w:cs="Arial"/>
          <w:noProof/>
          <w:color w:val="000000" w:themeColor="text1"/>
          <w:sz w:val="24"/>
          <w:szCs w:val="24"/>
          <w:lang w:bidi="mn-Mong-MN"/>
        </w:rPr>
        <w:t xml:space="preserve"> шүүх анхан шатны журмаар энэ хуульд заасны дагуу хянан шийдвэрлэнэ. </w:t>
      </w:r>
    </w:p>
    <w:p w14:paraId="2E7D0B72" w14:textId="77777777" w:rsidR="00421898" w:rsidRPr="00D207BB" w:rsidRDefault="00421898" w:rsidP="00D207BB">
      <w:pPr>
        <w:spacing w:after="0" w:line="240" w:lineRule="auto"/>
        <w:ind w:firstLine="720"/>
        <w:contextualSpacing/>
        <w:jc w:val="both"/>
        <w:rPr>
          <w:rFonts w:ascii="Arial" w:hAnsi="Arial" w:cs="Arial"/>
          <w:noProof/>
          <w:color w:val="000000" w:themeColor="text1"/>
          <w:sz w:val="24"/>
          <w:szCs w:val="24"/>
          <w:lang w:bidi="mn-Mong-MN"/>
        </w:rPr>
      </w:pPr>
    </w:p>
    <w:p w14:paraId="0E2CCF16" w14:textId="77777777" w:rsidR="00421898" w:rsidRPr="00D207BB" w:rsidRDefault="00421898" w:rsidP="00D207BB">
      <w:pPr>
        <w:spacing w:after="0" w:line="240" w:lineRule="auto"/>
        <w:ind w:firstLine="720"/>
        <w:contextualSpacing/>
        <w:jc w:val="both"/>
        <w:rPr>
          <w:rFonts w:ascii="Arial" w:hAnsi="Arial" w:cs="Arial"/>
          <w:noProof/>
          <w:color w:val="000000" w:themeColor="text1"/>
          <w:sz w:val="24"/>
          <w:szCs w:val="24"/>
          <w:lang w:bidi="mn-Mong-MN"/>
        </w:rPr>
      </w:pPr>
      <w:r w:rsidRPr="00D207BB">
        <w:rPr>
          <w:rFonts w:ascii="Arial" w:hAnsi="Arial" w:cs="Arial"/>
          <w:noProof/>
          <w:color w:val="000000" w:themeColor="text1"/>
          <w:sz w:val="24"/>
          <w:szCs w:val="24"/>
          <w:lang w:bidi="mn-Mong-MN"/>
        </w:rPr>
        <w:t xml:space="preserve">Түүнчлэн Шүүх байгуулах тухай хуулийн 1 дүгээр зүйлийн Гурав дахь хэсгийн 1-д Гэр бүл, хүүхдийн хэргийн давж заалдах шатны шүүх Монгол Улсын бүх засаг захиргаа, нутаг дэвсгэрийн хэмжээн дэх гэр бүл, хүүхдийн хэргийг давж заалдах журмаар хянан шийдвэрлэхээр байсныг Нийслэлийн Баянгол, Баянзүрх, </w:t>
      </w:r>
      <w:r w:rsidRPr="00D207BB">
        <w:rPr>
          <w:rFonts w:ascii="Arial" w:hAnsi="Arial" w:cs="Arial"/>
          <w:noProof/>
          <w:color w:val="000000" w:themeColor="text1"/>
          <w:sz w:val="24"/>
          <w:szCs w:val="24"/>
          <w:lang w:bidi="mn-Mong-MN"/>
        </w:rPr>
        <w:lastRenderedPageBreak/>
        <w:t>Сонгинохайрхан, Сүхбаатар, Чингэлтэй, Хан-Уул дүүргийн засаг захиргаа, нутаг дэвсгэрийн бүх нэгжид хамаарах хэргийг давж заалдах журмаар хянан шийдвэрлэхээр, бусад нутаг дэвсгэрийн хувьд тухайн нутаг дэвсгэр дэх давж заалдах шатны шүүх давж заалдах журмаар хянан шийдвэрлэхээр тусгалаа.</w:t>
      </w:r>
    </w:p>
    <w:p w14:paraId="68113B15" w14:textId="77777777" w:rsidR="00421898" w:rsidRPr="00D207BB" w:rsidRDefault="00421898" w:rsidP="00D207BB">
      <w:pPr>
        <w:spacing w:after="0" w:line="240" w:lineRule="auto"/>
        <w:contextualSpacing/>
        <w:jc w:val="both"/>
        <w:rPr>
          <w:rFonts w:ascii="Arial" w:hAnsi="Arial" w:cs="Arial"/>
          <w:noProof/>
          <w:color w:val="000000" w:themeColor="text1"/>
          <w:sz w:val="24"/>
          <w:szCs w:val="24"/>
          <w:lang w:bidi="mn-Mong-MN"/>
        </w:rPr>
      </w:pPr>
    </w:p>
    <w:p w14:paraId="78148864" w14:textId="77777777" w:rsidR="00421898" w:rsidRPr="00D207BB" w:rsidRDefault="00421898" w:rsidP="00D207BB">
      <w:pPr>
        <w:spacing w:after="0" w:line="240" w:lineRule="auto"/>
        <w:ind w:firstLine="709"/>
        <w:contextualSpacing/>
        <w:jc w:val="both"/>
        <w:rPr>
          <w:rFonts w:ascii="Arial" w:hAnsi="Arial" w:cs="Arial"/>
          <w:noProof/>
          <w:color w:val="000000" w:themeColor="text1"/>
          <w:sz w:val="24"/>
          <w:szCs w:val="24"/>
          <w:lang w:bidi="mn-Mong-MN"/>
        </w:rPr>
      </w:pPr>
      <w:r w:rsidRPr="00D207BB">
        <w:rPr>
          <w:rFonts w:ascii="Arial" w:hAnsi="Arial" w:cs="Arial"/>
          <w:noProof/>
          <w:color w:val="000000" w:themeColor="text1"/>
          <w:sz w:val="24"/>
          <w:szCs w:val="24"/>
          <w:lang w:bidi="mn-Mong-MN"/>
        </w:rPr>
        <w:t>Гэр бүл, хүүхдийн хэргийн давж заалдах шатны шүүх гэр бүлийн хэргийг давж заалдах журмаар хянан шийдвэрлэж, Улсын дээд шүүх гэр бүлийн хэргийг хяналтын журмаар хянан шийдвэрлэнэ.</w:t>
      </w:r>
    </w:p>
    <w:p w14:paraId="1B78E6DC" w14:textId="77777777" w:rsidR="00421898" w:rsidRPr="00D207BB" w:rsidRDefault="00421898" w:rsidP="00D207BB">
      <w:pPr>
        <w:spacing w:after="0" w:line="240" w:lineRule="auto"/>
        <w:ind w:firstLine="709"/>
        <w:contextualSpacing/>
        <w:jc w:val="both"/>
        <w:rPr>
          <w:rFonts w:ascii="Arial" w:hAnsi="Arial" w:cs="Arial"/>
          <w:noProof/>
          <w:color w:val="000000" w:themeColor="text1"/>
          <w:sz w:val="24"/>
          <w:szCs w:val="24"/>
          <w:lang w:bidi="mn-Mong-MN"/>
        </w:rPr>
      </w:pPr>
    </w:p>
    <w:p w14:paraId="7F4487D1" w14:textId="141EC3B6" w:rsidR="002B43CC" w:rsidRDefault="00421898" w:rsidP="00D207BB">
      <w:pPr>
        <w:pStyle w:val="ListParagraph"/>
        <w:spacing w:after="0" w:line="240" w:lineRule="auto"/>
        <w:ind w:left="0" w:firstLine="709"/>
        <w:jc w:val="both"/>
        <w:rPr>
          <w:rFonts w:ascii="Arial" w:hAnsi="Arial" w:cs="Arial"/>
          <w:b/>
          <w:bCs/>
          <w:noProof/>
          <w:color w:val="000000" w:themeColor="text1"/>
          <w:sz w:val="24"/>
          <w:szCs w:val="24"/>
          <w:lang w:bidi="mn-Mong-MN"/>
        </w:rPr>
      </w:pPr>
      <w:r w:rsidRPr="00D207BB">
        <w:rPr>
          <w:rFonts w:ascii="Arial" w:hAnsi="Arial" w:cs="Arial"/>
          <w:b/>
          <w:bCs/>
          <w:noProof/>
          <w:sz w:val="24"/>
          <w:szCs w:val="24"/>
          <w:lang w:bidi="ar-BH"/>
        </w:rPr>
        <w:t>Х</w:t>
      </w:r>
      <w:r w:rsidR="002B43CC" w:rsidRPr="00D207BB">
        <w:rPr>
          <w:rFonts w:ascii="Arial" w:hAnsi="Arial" w:cs="Arial"/>
          <w:b/>
          <w:bCs/>
          <w:noProof/>
          <w:sz w:val="24"/>
          <w:szCs w:val="24"/>
          <w:lang w:bidi="ar-BH"/>
        </w:rPr>
        <w:t>үүхдийн эрх, ашиг сонирхлыг тэргүүн ээлжид хамгаалах зарчим</w:t>
      </w:r>
      <w:r w:rsidRPr="00D207BB">
        <w:rPr>
          <w:rFonts w:ascii="Arial" w:hAnsi="Arial" w:cs="Arial"/>
          <w:b/>
          <w:bCs/>
          <w:noProof/>
          <w:sz w:val="24"/>
          <w:szCs w:val="24"/>
          <w:lang w:bidi="ar-BH"/>
        </w:rPr>
        <w:t xml:space="preserve">, </w:t>
      </w:r>
      <w:r w:rsidRPr="00D207BB">
        <w:rPr>
          <w:rFonts w:ascii="Arial" w:hAnsi="Arial" w:cs="Arial"/>
          <w:b/>
          <w:bCs/>
          <w:noProof/>
          <w:color w:val="000000" w:themeColor="text1"/>
          <w:sz w:val="24"/>
          <w:szCs w:val="24"/>
          <w:lang w:bidi="mn-Mong-MN"/>
        </w:rPr>
        <w:t xml:space="preserve">Шүүхийн </w:t>
      </w:r>
      <w:r w:rsidRPr="00D207BB">
        <w:rPr>
          <w:rFonts w:ascii="Arial" w:hAnsi="Arial" w:cs="Arial"/>
          <w:b/>
          <w:bCs/>
          <w:i/>
          <w:iCs/>
          <w:noProof/>
          <w:color w:val="000000" w:themeColor="text1"/>
          <w:sz w:val="24"/>
          <w:szCs w:val="24"/>
          <w:lang w:bidi="mn-Mong-MN"/>
        </w:rPr>
        <w:t xml:space="preserve">ex officio </w:t>
      </w:r>
      <w:r w:rsidRPr="00D207BB">
        <w:rPr>
          <w:rFonts w:ascii="Arial" w:hAnsi="Arial" w:cs="Arial"/>
          <w:b/>
          <w:bCs/>
          <w:noProof/>
          <w:color w:val="000000" w:themeColor="text1"/>
          <w:sz w:val="24"/>
          <w:szCs w:val="24"/>
          <w:lang w:bidi="mn-Mong-MN"/>
        </w:rPr>
        <w:t xml:space="preserve">оролцоо </w:t>
      </w:r>
    </w:p>
    <w:p w14:paraId="3604B978" w14:textId="77777777" w:rsidR="00D207BB" w:rsidRPr="00D207BB" w:rsidRDefault="00D207BB" w:rsidP="00D207BB">
      <w:pPr>
        <w:pStyle w:val="ListParagraph"/>
        <w:spacing w:after="0" w:line="240" w:lineRule="auto"/>
        <w:ind w:left="0" w:firstLine="709"/>
        <w:jc w:val="both"/>
        <w:rPr>
          <w:rFonts w:ascii="Arial" w:hAnsi="Arial" w:cs="Arial"/>
          <w:b/>
          <w:bCs/>
          <w:noProof/>
          <w:color w:val="000000" w:themeColor="text1"/>
          <w:sz w:val="24"/>
          <w:szCs w:val="24"/>
          <w:lang w:bidi="mn-Mong-MN"/>
        </w:rPr>
      </w:pPr>
    </w:p>
    <w:p w14:paraId="551A674D" w14:textId="2512B3E3" w:rsidR="002B43CC" w:rsidRPr="00D207BB" w:rsidRDefault="002B43CC" w:rsidP="00D207BB">
      <w:pPr>
        <w:tabs>
          <w:tab w:val="left" w:pos="9214"/>
        </w:tabs>
        <w:spacing w:after="0" w:line="240" w:lineRule="auto"/>
        <w:ind w:right="-8" w:firstLine="738"/>
        <w:contextualSpacing/>
        <w:jc w:val="both"/>
        <w:rPr>
          <w:rFonts w:ascii="Arial" w:hAnsi="Arial" w:cs="Arial"/>
          <w:noProof/>
          <w:sz w:val="24"/>
          <w:szCs w:val="24"/>
          <w:lang w:bidi="ar-BH"/>
        </w:rPr>
      </w:pPr>
      <w:r w:rsidRPr="00D207BB">
        <w:rPr>
          <w:rFonts w:ascii="Arial" w:hAnsi="Arial" w:cs="Arial"/>
          <w:noProof/>
          <w:sz w:val="24"/>
          <w:szCs w:val="24"/>
          <w:lang w:bidi="ar-BH"/>
        </w:rPr>
        <w:t xml:space="preserve">Гэр бүлийн холбогдолтой хэргийг хянан шийдвэрлэхэд Иргэний хэрэг шүүхэд хянан шийдвэрлэх тухай хуульд заасан мэтгэлцэх зарчмаас гадна шүүх өөрийн санаачилгаар нөхцөл байдлыг шинжлэн судлах агуулга бүхий </w:t>
      </w:r>
      <w:r w:rsidR="00421898" w:rsidRPr="00D207BB">
        <w:rPr>
          <w:rFonts w:ascii="Arial" w:hAnsi="Arial" w:cs="Arial"/>
          <w:noProof/>
          <w:sz w:val="24"/>
          <w:szCs w:val="24"/>
          <w:lang w:bidi="ar-BH"/>
        </w:rPr>
        <w:t xml:space="preserve">дээрх </w:t>
      </w:r>
      <w:r w:rsidRPr="00D207BB">
        <w:rPr>
          <w:rFonts w:ascii="Arial" w:hAnsi="Arial" w:cs="Arial"/>
          <w:noProof/>
          <w:sz w:val="24"/>
          <w:szCs w:val="24"/>
          <w:lang w:bidi="ar-BH"/>
        </w:rPr>
        <w:t>зарчим хэрэгжихээр шинэлэг зохицуулалтыг бий болголоо.</w:t>
      </w:r>
    </w:p>
    <w:p w14:paraId="6196304E" w14:textId="77777777" w:rsidR="00421898" w:rsidRPr="00D207BB" w:rsidRDefault="00421898" w:rsidP="00D207BB">
      <w:pPr>
        <w:tabs>
          <w:tab w:val="left" w:pos="9214"/>
        </w:tabs>
        <w:spacing w:after="0" w:line="240" w:lineRule="auto"/>
        <w:ind w:right="-8" w:firstLine="738"/>
        <w:contextualSpacing/>
        <w:jc w:val="both"/>
        <w:rPr>
          <w:rFonts w:ascii="Arial" w:hAnsi="Arial" w:cs="Arial"/>
          <w:noProof/>
          <w:sz w:val="24"/>
          <w:szCs w:val="24"/>
          <w:lang w:bidi="ar-BH"/>
        </w:rPr>
      </w:pPr>
    </w:p>
    <w:p w14:paraId="70F9CFA2" w14:textId="371AE330" w:rsidR="002B43CC" w:rsidRPr="00D207BB" w:rsidRDefault="00421898" w:rsidP="00D207BB">
      <w:pPr>
        <w:spacing w:after="0" w:line="240" w:lineRule="auto"/>
        <w:ind w:firstLine="720"/>
        <w:contextualSpacing/>
        <w:jc w:val="both"/>
        <w:rPr>
          <w:rFonts w:ascii="Arial" w:hAnsi="Arial" w:cs="Arial"/>
          <w:noProof/>
          <w:color w:val="000000" w:themeColor="text1"/>
          <w:sz w:val="24"/>
          <w:szCs w:val="24"/>
          <w:lang w:bidi="mn-Mong-MN"/>
        </w:rPr>
      </w:pPr>
      <w:r w:rsidRPr="00D207BB">
        <w:rPr>
          <w:rFonts w:ascii="Arial" w:hAnsi="Arial" w:cs="Arial"/>
          <w:noProof/>
          <w:sz w:val="24"/>
          <w:szCs w:val="24"/>
          <w:lang w:bidi="ar-BH"/>
        </w:rPr>
        <w:t xml:space="preserve">Шүүх хүүхдийн эрх ашгийн тулд шаардлагатай тохиолдолд </w:t>
      </w:r>
      <w:r w:rsidRPr="00D207BB">
        <w:rPr>
          <w:rFonts w:ascii="Arial" w:hAnsi="Arial" w:cs="Arial"/>
          <w:i/>
          <w:iCs/>
          <w:noProof/>
          <w:color w:val="000000" w:themeColor="text1"/>
          <w:sz w:val="24"/>
          <w:szCs w:val="24"/>
          <w:lang w:bidi="mn-Mong-MN"/>
        </w:rPr>
        <w:t xml:space="preserve">ex officio </w:t>
      </w:r>
      <w:r w:rsidRPr="00D207BB">
        <w:rPr>
          <w:rFonts w:ascii="Arial" w:hAnsi="Arial" w:cs="Arial"/>
          <w:noProof/>
          <w:color w:val="000000" w:themeColor="text1"/>
          <w:sz w:val="24"/>
          <w:szCs w:val="24"/>
          <w:lang w:bidi="mn-Mong-MN"/>
        </w:rPr>
        <w:t xml:space="preserve">оролцооны хүрээнд нотлох баримт цуглуулах, энэ талаар бусад хувь хүн, байгууллага хамтран ажиллах буюу шаардсан баримтыг гаргаж өгөх агуулгатай зохицуулалтыг тусгалаа. </w:t>
      </w:r>
    </w:p>
    <w:p w14:paraId="3A9F71D0" w14:textId="77777777" w:rsidR="002B43CC" w:rsidRPr="00D207BB" w:rsidRDefault="002B43CC" w:rsidP="00D207BB">
      <w:pPr>
        <w:tabs>
          <w:tab w:val="left" w:pos="9072"/>
          <w:tab w:val="left" w:pos="9214"/>
        </w:tabs>
        <w:spacing w:after="0" w:line="240" w:lineRule="auto"/>
        <w:ind w:right="-8" w:firstLine="738"/>
        <w:contextualSpacing/>
        <w:jc w:val="both"/>
        <w:rPr>
          <w:rFonts w:ascii="Arial" w:hAnsi="Arial" w:cs="Arial"/>
          <w:noProof/>
          <w:sz w:val="24"/>
          <w:szCs w:val="24"/>
          <w:lang w:bidi="ar-BH"/>
        </w:rPr>
      </w:pPr>
      <w:r w:rsidRPr="00D207BB">
        <w:rPr>
          <w:rFonts w:ascii="Arial" w:hAnsi="Arial" w:cs="Arial"/>
          <w:noProof/>
          <w:sz w:val="24"/>
          <w:szCs w:val="24"/>
          <w:lang w:bidi="ar-BH"/>
        </w:rPr>
        <w:t xml:space="preserve">Гадаад улсын туршлагаас үзэхэд, Гэр бүлийн хэрэг хянан шийдвэрлэх ажиллагаанд диспозитив зарчмаас гадна хүүхдийн хууль ёсны дээд эрх, ашиг сонирхол /best interest of the child/-ыг тэргүүн ээлуид хамгаалах зорилгоор гэр бүлийн нөхцөл байдлыг нарийн шалган тогтоох /fact finding/ ажиллагаа хийгддэг. </w:t>
      </w:r>
    </w:p>
    <w:p w14:paraId="11DE0B10" w14:textId="77777777" w:rsidR="002B43CC" w:rsidRPr="00D207BB" w:rsidRDefault="002B43CC" w:rsidP="00D207BB">
      <w:pPr>
        <w:tabs>
          <w:tab w:val="left" w:pos="9072"/>
          <w:tab w:val="left" w:pos="9214"/>
        </w:tabs>
        <w:spacing w:after="0" w:line="240" w:lineRule="auto"/>
        <w:ind w:right="-8" w:firstLine="738"/>
        <w:contextualSpacing/>
        <w:jc w:val="both"/>
        <w:rPr>
          <w:rFonts w:ascii="Arial" w:hAnsi="Arial" w:cs="Arial"/>
          <w:noProof/>
          <w:sz w:val="24"/>
          <w:szCs w:val="24"/>
          <w:lang w:bidi="ar-BH"/>
        </w:rPr>
      </w:pPr>
    </w:p>
    <w:p w14:paraId="5893774D" w14:textId="77777777" w:rsidR="002B43CC" w:rsidRPr="00D207BB" w:rsidRDefault="002B43CC" w:rsidP="00D207BB">
      <w:pPr>
        <w:tabs>
          <w:tab w:val="left" w:pos="9072"/>
          <w:tab w:val="left" w:pos="9214"/>
        </w:tabs>
        <w:spacing w:after="0" w:line="240" w:lineRule="auto"/>
        <w:ind w:right="-8" w:firstLine="738"/>
        <w:contextualSpacing/>
        <w:jc w:val="both"/>
        <w:rPr>
          <w:rFonts w:ascii="Arial" w:hAnsi="Arial" w:cs="Arial"/>
          <w:noProof/>
          <w:sz w:val="24"/>
          <w:szCs w:val="24"/>
          <w:lang w:bidi="ar-BH"/>
        </w:rPr>
      </w:pPr>
      <w:r w:rsidRPr="00D207BB">
        <w:rPr>
          <w:rFonts w:ascii="Arial" w:hAnsi="Arial" w:cs="Arial"/>
          <w:noProof/>
          <w:sz w:val="24"/>
          <w:szCs w:val="24"/>
          <w:lang w:bidi="ar-BH"/>
        </w:rPr>
        <w:t xml:space="preserve"> Тодруулбал, Япон, БНСУ зэрэг гэр бүлийн дагнасан шүүхтэй улсуудад, гэр бүлийн хэрэг хянан шийдвэрлэх шүүгч өөрийн санаачилгаар захирамж гарган хүүхдийн эрх, ашиг сонрхлыг тэргүүн ээлжид хамгаалах зорилгоор гэр бүлийн нөхцөл байдлын шинжээч /family investigator/-ээр гэр бүлийн нөхцөл байдлыг шинжлэн судлуулж, үнэлгээний тайлан гаргуулах, ач холбогдол бүхий бусад шаардлагатай мэдээллийг холбогдох байгууллагаас гаргуулан авах зэрэг бүрэн эрхтэй байдаг. </w:t>
      </w:r>
    </w:p>
    <w:p w14:paraId="48D87B25" w14:textId="77777777" w:rsidR="002B43CC" w:rsidRPr="00D207BB" w:rsidRDefault="002B43CC" w:rsidP="00D207BB">
      <w:pPr>
        <w:tabs>
          <w:tab w:val="left" w:pos="9072"/>
          <w:tab w:val="left" w:pos="9214"/>
        </w:tabs>
        <w:spacing w:after="0" w:line="240" w:lineRule="auto"/>
        <w:ind w:right="-8" w:firstLine="738"/>
        <w:contextualSpacing/>
        <w:jc w:val="both"/>
        <w:rPr>
          <w:rFonts w:ascii="Arial" w:hAnsi="Arial" w:cs="Arial"/>
          <w:noProof/>
          <w:sz w:val="24"/>
          <w:szCs w:val="24"/>
          <w:lang w:bidi="ar-BH"/>
        </w:rPr>
      </w:pPr>
    </w:p>
    <w:p w14:paraId="0E531A50" w14:textId="66AD5CEB" w:rsidR="002B43CC" w:rsidRPr="00D207BB" w:rsidRDefault="002B43CC" w:rsidP="00D207BB">
      <w:pPr>
        <w:tabs>
          <w:tab w:val="left" w:pos="9072"/>
          <w:tab w:val="left" w:pos="9214"/>
        </w:tabs>
        <w:spacing w:after="0" w:line="240" w:lineRule="auto"/>
        <w:ind w:right="-8" w:firstLine="738"/>
        <w:contextualSpacing/>
        <w:jc w:val="both"/>
        <w:rPr>
          <w:rFonts w:ascii="Arial" w:hAnsi="Arial" w:cs="Arial"/>
          <w:noProof/>
          <w:sz w:val="24"/>
          <w:szCs w:val="24"/>
          <w:lang w:bidi="ar-BH"/>
        </w:rPr>
      </w:pPr>
      <w:r w:rsidRPr="00D207BB">
        <w:rPr>
          <w:rFonts w:ascii="Arial" w:hAnsi="Arial" w:cs="Arial"/>
          <w:noProof/>
          <w:sz w:val="24"/>
          <w:szCs w:val="24"/>
          <w:lang w:bidi="ar-BH"/>
        </w:rPr>
        <w:t xml:space="preserve">Манай улсын хувьд гэр бүлийн нөхцөл байдлын шинжээчийн систем шүүхэд байхгүй бөгөөд холбогдох зохицуулалт хуульд байхгүй, түүнчлэн иргэний хэргийн шүүгч өөрөө </w:t>
      </w:r>
      <w:r w:rsidR="00421898" w:rsidRPr="00D207BB">
        <w:rPr>
          <w:rFonts w:ascii="Arial" w:hAnsi="Arial" w:cs="Arial"/>
          <w:noProof/>
          <w:sz w:val="24"/>
          <w:szCs w:val="24"/>
          <w:lang w:bidi="ar-BH"/>
        </w:rPr>
        <w:t>идэвхтэй шалгах</w:t>
      </w:r>
      <w:r w:rsidRPr="00D207BB">
        <w:rPr>
          <w:rFonts w:ascii="Arial" w:hAnsi="Arial" w:cs="Arial"/>
          <w:noProof/>
          <w:sz w:val="24"/>
          <w:szCs w:val="24"/>
          <w:lang w:bidi="ar-BH"/>
        </w:rPr>
        <w:t xml:space="preserve"> зарчмыг хэрэгжүүлдэггүй.</w:t>
      </w:r>
    </w:p>
    <w:p w14:paraId="1F5CBAC5" w14:textId="77777777" w:rsidR="002B43CC" w:rsidRPr="00D207BB" w:rsidRDefault="002B43CC" w:rsidP="00D207BB">
      <w:pPr>
        <w:tabs>
          <w:tab w:val="left" w:pos="9072"/>
          <w:tab w:val="left" w:pos="9214"/>
        </w:tabs>
        <w:spacing w:after="0" w:line="240" w:lineRule="auto"/>
        <w:ind w:right="-8" w:firstLine="738"/>
        <w:contextualSpacing/>
        <w:jc w:val="both"/>
        <w:rPr>
          <w:rFonts w:ascii="Arial" w:hAnsi="Arial" w:cs="Arial"/>
          <w:noProof/>
          <w:sz w:val="24"/>
          <w:szCs w:val="24"/>
          <w:lang w:bidi="ar-BH"/>
        </w:rPr>
      </w:pPr>
    </w:p>
    <w:p w14:paraId="6F530587" w14:textId="25253486" w:rsidR="002B43CC" w:rsidRPr="00D207BB" w:rsidRDefault="002B43CC" w:rsidP="00D207BB">
      <w:pPr>
        <w:tabs>
          <w:tab w:val="left" w:pos="9072"/>
          <w:tab w:val="left" w:pos="9214"/>
        </w:tabs>
        <w:spacing w:after="0" w:line="240" w:lineRule="auto"/>
        <w:ind w:right="-8" w:firstLine="738"/>
        <w:contextualSpacing/>
        <w:jc w:val="both"/>
        <w:rPr>
          <w:rFonts w:ascii="Arial" w:hAnsi="Arial" w:cs="Arial"/>
          <w:noProof/>
          <w:sz w:val="24"/>
          <w:szCs w:val="24"/>
          <w:lang w:bidi="ar-BH"/>
        </w:rPr>
      </w:pPr>
      <w:r w:rsidRPr="00D207BB">
        <w:rPr>
          <w:rFonts w:ascii="Arial" w:hAnsi="Arial" w:cs="Arial"/>
          <w:noProof/>
          <w:sz w:val="24"/>
          <w:szCs w:val="24"/>
          <w:lang w:bidi="ar-BH"/>
        </w:rPr>
        <w:t xml:space="preserve">Хүүхдийн эрх, ашиг сонирхлыг тэргүүн ээлжид хамгаалах зарчмыг хэрэгжүүлэх гол зохицуулалт нь эдгээр улсын хувьд шүүх нотлох буюу fact finding зарчим байх тул Нийслэл дэх Гэр бүл, хүүхдийн хэргийн анхан шатны тойргийн шүүх байгуулагдсантай холбогдуулан энэхүү зарчмыг бодит болгох зорилгоор хуулийн төсөлд тусгалаа. </w:t>
      </w:r>
    </w:p>
    <w:p w14:paraId="5F07F52A" w14:textId="77777777" w:rsidR="002B43CC" w:rsidRPr="00D207BB" w:rsidRDefault="002B43CC" w:rsidP="00D207BB">
      <w:pPr>
        <w:tabs>
          <w:tab w:val="left" w:pos="9072"/>
          <w:tab w:val="left" w:pos="9214"/>
        </w:tabs>
        <w:spacing w:after="0" w:line="240" w:lineRule="auto"/>
        <w:ind w:right="410" w:firstLine="738"/>
        <w:contextualSpacing/>
        <w:jc w:val="both"/>
        <w:rPr>
          <w:rFonts w:ascii="Arial" w:hAnsi="Arial" w:cs="Arial"/>
          <w:b/>
          <w:bCs/>
          <w:noProof/>
          <w:sz w:val="24"/>
          <w:szCs w:val="24"/>
          <w:lang w:bidi="ar-BH"/>
        </w:rPr>
      </w:pPr>
    </w:p>
    <w:p w14:paraId="23638E9F" w14:textId="43A1BEF4" w:rsidR="002B43CC" w:rsidRDefault="002B43CC" w:rsidP="00D207BB">
      <w:pPr>
        <w:spacing w:after="0" w:line="240" w:lineRule="auto"/>
        <w:contextualSpacing/>
        <w:jc w:val="center"/>
        <w:rPr>
          <w:rFonts w:ascii="Arial" w:hAnsi="Arial" w:cs="Arial"/>
          <w:b/>
          <w:bCs/>
          <w:noProof/>
          <w:color w:val="000000" w:themeColor="text1"/>
          <w:sz w:val="24"/>
          <w:szCs w:val="24"/>
          <w:lang w:bidi="mn-Mong-MN"/>
        </w:rPr>
      </w:pPr>
      <w:r w:rsidRPr="00D207BB">
        <w:rPr>
          <w:rFonts w:ascii="Arial" w:hAnsi="Arial" w:cs="Arial"/>
          <w:noProof/>
          <w:color w:val="000000" w:themeColor="text1"/>
          <w:sz w:val="24"/>
          <w:szCs w:val="24"/>
          <w:lang w:bidi="mn-Mong-MN"/>
        </w:rPr>
        <w:tab/>
      </w:r>
      <w:r w:rsidRPr="00D207BB">
        <w:rPr>
          <w:rFonts w:ascii="Arial" w:hAnsi="Arial" w:cs="Arial"/>
          <w:b/>
          <w:bCs/>
          <w:noProof/>
          <w:color w:val="000000" w:themeColor="text1"/>
          <w:sz w:val="24"/>
          <w:szCs w:val="24"/>
          <w:lang w:bidi="mn-Mong-MN"/>
        </w:rPr>
        <w:t>Гэр бүлийн нөхцөл байдлыг шинжээч</w:t>
      </w:r>
    </w:p>
    <w:p w14:paraId="46A09A5C" w14:textId="77777777" w:rsidR="00D207BB" w:rsidRPr="00D207BB" w:rsidRDefault="00D207BB" w:rsidP="00D207BB">
      <w:pPr>
        <w:spacing w:after="0" w:line="240" w:lineRule="auto"/>
        <w:contextualSpacing/>
        <w:jc w:val="center"/>
        <w:rPr>
          <w:rFonts w:ascii="Arial" w:hAnsi="Arial" w:cs="Arial"/>
          <w:b/>
          <w:bCs/>
          <w:noProof/>
          <w:color w:val="000000" w:themeColor="text1"/>
          <w:sz w:val="24"/>
          <w:szCs w:val="24"/>
          <w:lang w:bidi="mn-Mong-MN"/>
        </w:rPr>
      </w:pPr>
    </w:p>
    <w:p w14:paraId="3D632388" w14:textId="77777777" w:rsidR="002B43CC" w:rsidRPr="00D207BB" w:rsidRDefault="002B43CC" w:rsidP="00D207BB">
      <w:pPr>
        <w:spacing w:after="0" w:line="240" w:lineRule="auto"/>
        <w:ind w:right="-2" w:firstLine="738"/>
        <w:contextualSpacing/>
        <w:jc w:val="both"/>
        <w:rPr>
          <w:rFonts w:ascii="Arial" w:hAnsi="Arial" w:cs="Arial"/>
          <w:color w:val="000000" w:themeColor="text1"/>
          <w:sz w:val="24"/>
          <w:szCs w:val="24"/>
        </w:rPr>
      </w:pPr>
      <w:r w:rsidRPr="00D207BB">
        <w:rPr>
          <w:rFonts w:ascii="Arial" w:hAnsi="Arial" w:cs="Arial"/>
          <w:color w:val="000000" w:themeColor="text1"/>
          <w:sz w:val="24"/>
          <w:szCs w:val="24"/>
        </w:rPr>
        <w:t>Япон, БНСУ зэрэг гэр бүлийн дагнасан шүүхтэй улсуудад, гэр бүлийн хэрэг хянан шийдвэрлэх шүүгч өөрийн санаачилгаар захирамж гарган гэр бүлийн нөхцөл байдлын шинжээч /</w:t>
      </w:r>
      <w:r w:rsidRPr="00D207BB">
        <w:rPr>
          <w:rFonts w:ascii="Arial" w:hAnsi="Arial" w:cs="Arial"/>
          <w:color w:val="000000" w:themeColor="text1"/>
          <w:sz w:val="24"/>
          <w:szCs w:val="24"/>
          <w:lang w:bidi="mn-Mong-CN"/>
        </w:rPr>
        <w:t>family investigator</w:t>
      </w:r>
      <w:r w:rsidRPr="00D207BB">
        <w:rPr>
          <w:rFonts w:ascii="Arial" w:hAnsi="Arial" w:cs="Arial"/>
          <w:color w:val="000000" w:themeColor="text1"/>
          <w:sz w:val="24"/>
          <w:szCs w:val="24"/>
        </w:rPr>
        <w:t>/-ээр гэр бүлийн нөхцөл байдлыг шинжлэн судлуулж, үнэлгээний тайлан гаргуулах, ач холбогдол бүхий бусад шаардлагатай мэдээллийг холбогдох байгууллагаас гаргуулан авах зэрэг бүрэн эрхтэй байдаг.</w:t>
      </w:r>
    </w:p>
    <w:p w14:paraId="1F56F3F9" w14:textId="77777777" w:rsidR="002B43CC" w:rsidRPr="00D207BB" w:rsidRDefault="002B43CC" w:rsidP="00D207BB">
      <w:pPr>
        <w:spacing w:after="0" w:line="240" w:lineRule="auto"/>
        <w:contextualSpacing/>
        <w:jc w:val="both"/>
        <w:rPr>
          <w:rFonts w:ascii="Arial" w:hAnsi="Arial" w:cs="Arial"/>
          <w:color w:val="000000" w:themeColor="text1"/>
          <w:sz w:val="24"/>
          <w:szCs w:val="24"/>
        </w:rPr>
      </w:pPr>
    </w:p>
    <w:p w14:paraId="65DA4995" w14:textId="77777777" w:rsidR="002B43CC" w:rsidRPr="00D207BB" w:rsidRDefault="002B43CC" w:rsidP="00D207BB">
      <w:pPr>
        <w:spacing w:after="0" w:line="240" w:lineRule="auto"/>
        <w:ind w:firstLine="720"/>
        <w:contextualSpacing/>
        <w:jc w:val="both"/>
        <w:rPr>
          <w:rFonts w:ascii="Arial" w:hAnsi="Arial" w:cs="Arial"/>
          <w:color w:val="000000" w:themeColor="text1"/>
          <w:sz w:val="24"/>
          <w:szCs w:val="24"/>
        </w:rPr>
      </w:pPr>
      <w:r w:rsidRPr="00D207BB">
        <w:rPr>
          <w:rFonts w:ascii="Arial" w:hAnsi="Arial" w:cs="Arial"/>
          <w:color w:val="000000" w:themeColor="text1"/>
          <w:sz w:val="24"/>
          <w:szCs w:val="24"/>
        </w:rPr>
        <w:lastRenderedPageBreak/>
        <w:t xml:space="preserve">Гэр бүлийн нөхцөл байдлын шинжээч гэр бүлийн нөхцөл байдлыг нягтлан шалгаж, маргааны шалтгаан нөхцөлийг тогтоож, эвлэрэх боломжтой эсэх, боломжтой бол эвлэрэх арга замыг санал болгох зэргээр шүүгч шийдвэрээ гаргахад шаардлагатай нөхцөл байдлыг тал талаас нь судална. </w:t>
      </w:r>
    </w:p>
    <w:p w14:paraId="0245C6D4" w14:textId="77777777" w:rsidR="002B43CC" w:rsidRPr="00D207BB" w:rsidRDefault="002B43CC" w:rsidP="00D207BB">
      <w:pPr>
        <w:spacing w:after="0" w:line="240" w:lineRule="auto"/>
        <w:ind w:firstLine="360"/>
        <w:contextualSpacing/>
        <w:jc w:val="both"/>
        <w:rPr>
          <w:rFonts w:ascii="Arial" w:hAnsi="Arial" w:cs="Arial"/>
          <w:b/>
          <w:bCs/>
          <w:color w:val="000000" w:themeColor="text1"/>
          <w:sz w:val="24"/>
          <w:szCs w:val="24"/>
        </w:rPr>
      </w:pPr>
    </w:p>
    <w:p w14:paraId="49E9637E" w14:textId="77777777" w:rsidR="002B43CC" w:rsidRPr="00D207BB" w:rsidRDefault="002B43CC" w:rsidP="00D207BB">
      <w:pPr>
        <w:spacing w:after="0" w:line="240" w:lineRule="auto"/>
        <w:ind w:firstLine="360"/>
        <w:contextualSpacing/>
        <w:jc w:val="both"/>
        <w:rPr>
          <w:rFonts w:ascii="Arial" w:hAnsi="Arial" w:cs="Arial"/>
          <w:color w:val="000000" w:themeColor="text1"/>
          <w:sz w:val="24"/>
          <w:szCs w:val="24"/>
        </w:rPr>
      </w:pPr>
      <w:r w:rsidRPr="00D207BB">
        <w:rPr>
          <w:rFonts w:ascii="Arial" w:hAnsi="Arial" w:cs="Arial"/>
          <w:b/>
          <w:bCs/>
          <w:color w:val="000000" w:themeColor="text1"/>
          <w:sz w:val="24"/>
          <w:szCs w:val="24"/>
        </w:rPr>
        <w:tab/>
      </w:r>
      <w:r w:rsidRPr="00D207BB">
        <w:rPr>
          <w:rFonts w:ascii="Arial" w:hAnsi="Arial" w:cs="Arial"/>
          <w:color w:val="000000" w:themeColor="text1"/>
          <w:sz w:val="24"/>
          <w:szCs w:val="24"/>
        </w:rPr>
        <w:t>Энэхүү гэр бүлийн нөхцөл байдлын шинжээч нь шүүхийн ажилтан байх бөгөөд аль ч талд орохгүй, хараат бусаар, асуудлыг тал бүрээс нь судлах үүрэгтэй бөгөөд хуульч бус, нийгмийн ухаан, сэтгэл зүй, боловсрол зэрэг чиглэлийн магистрын зэрэгтэй байх шаардлага тавигддаг.</w:t>
      </w:r>
      <w:r w:rsidRPr="00D207BB">
        <w:rPr>
          <w:rStyle w:val="FootnoteReference"/>
          <w:rFonts w:ascii="Arial" w:hAnsi="Arial" w:cs="Arial"/>
          <w:color w:val="000000" w:themeColor="text1"/>
          <w:sz w:val="24"/>
          <w:szCs w:val="24"/>
        </w:rPr>
        <w:footnoteReference w:id="3"/>
      </w:r>
    </w:p>
    <w:p w14:paraId="199AC6A0" w14:textId="77777777" w:rsidR="002B43CC" w:rsidRPr="00D207BB" w:rsidRDefault="002B43CC" w:rsidP="00D207BB">
      <w:pPr>
        <w:spacing w:after="0" w:line="240" w:lineRule="auto"/>
        <w:ind w:firstLine="360"/>
        <w:contextualSpacing/>
        <w:jc w:val="both"/>
        <w:rPr>
          <w:rFonts w:ascii="Arial" w:hAnsi="Arial" w:cs="Arial"/>
          <w:color w:val="000000" w:themeColor="text1"/>
          <w:sz w:val="24"/>
          <w:szCs w:val="24"/>
        </w:rPr>
      </w:pPr>
    </w:p>
    <w:p w14:paraId="61C2972E" w14:textId="77777777" w:rsidR="002B43CC" w:rsidRPr="00D207BB" w:rsidRDefault="002B43CC" w:rsidP="00D207BB">
      <w:pPr>
        <w:spacing w:after="0" w:line="240" w:lineRule="auto"/>
        <w:ind w:firstLine="360"/>
        <w:contextualSpacing/>
        <w:jc w:val="both"/>
        <w:rPr>
          <w:rFonts w:ascii="Arial" w:hAnsi="Arial" w:cs="Arial"/>
          <w:color w:val="000000" w:themeColor="text1"/>
          <w:sz w:val="24"/>
          <w:szCs w:val="24"/>
        </w:rPr>
      </w:pPr>
      <w:r w:rsidRPr="00D207BB">
        <w:rPr>
          <w:rFonts w:ascii="Arial" w:hAnsi="Arial" w:cs="Arial"/>
          <w:color w:val="000000" w:themeColor="text1"/>
          <w:sz w:val="24"/>
          <w:szCs w:val="24"/>
        </w:rPr>
        <w:tab/>
        <w:t>Мөн энэхүү гэр бүлийн нөхцөл байдлын шинжээчийн үнэлгээний тайланг бүх хэрэгт заавал шаардахгүй, шүүгч шаардлагатай тохиолдолд хүүхдийн эрх, ашиг сонирхлыг хамгаалах зорилгоор энэхүү ажиллагааг явуулах эрхтэй байхаар тусгалаа.</w:t>
      </w:r>
    </w:p>
    <w:p w14:paraId="012E9C40" w14:textId="77777777" w:rsidR="002B43CC" w:rsidRPr="00D207BB" w:rsidRDefault="002B43CC" w:rsidP="00D207BB">
      <w:pPr>
        <w:spacing w:after="0" w:line="240" w:lineRule="auto"/>
        <w:ind w:firstLine="360"/>
        <w:contextualSpacing/>
        <w:jc w:val="both"/>
        <w:rPr>
          <w:rFonts w:ascii="Arial" w:hAnsi="Arial" w:cs="Arial"/>
          <w:color w:val="000000" w:themeColor="text1"/>
          <w:sz w:val="24"/>
          <w:szCs w:val="24"/>
        </w:rPr>
      </w:pPr>
    </w:p>
    <w:p w14:paraId="742D033C" w14:textId="77777777" w:rsidR="002B43CC" w:rsidRPr="00D207BB" w:rsidRDefault="002B43CC" w:rsidP="00D207BB">
      <w:pPr>
        <w:spacing w:after="0" w:line="240" w:lineRule="auto"/>
        <w:ind w:firstLine="360"/>
        <w:contextualSpacing/>
        <w:jc w:val="both"/>
        <w:rPr>
          <w:rFonts w:ascii="Arial" w:hAnsi="Arial" w:cs="Arial"/>
          <w:color w:val="000000" w:themeColor="text1"/>
          <w:sz w:val="24"/>
          <w:szCs w:val="24"/>
          <w:lang w:bidi="mn-Mong-CN"/>
        </w:rPr>
      </w:pPr>
      <w:r w:rsidRPr="00D207BB">
        <w:rPr>
          <w:rFonts w:ascii="Arial" w:hAnsi="Arial" w:cs="Arial"/>
          <w:color w:val="000000" w:themeColor="text1"/>
          <w:sz w:val="24"/>
          <w:szCs w:val="24"/>
        </w:rPr>
        <w:tab/>
        <w:t xml:space="preserve">Япон, БНСУ-ын хувьд, энэхүү шинжээчийн үнэлгээний тайланг гаргуулах, холбогдох байгууллагаас шаардлагатай лавлагаа, тодорхойлолт гаргуулах нь шүүгчийн </w:t>
      </w:r>
      <w:r w:rsidRPr="00D207BB">
        <w:rPr>
          <w:rFonts w:ascii="Arial" w:hAnsi="Arial" w:cs="Arial"/>
          <w:color w:val="000000" w:themeColor="text1"/>
          <w:sz w:val="24"/>
          <w:szCs w:val="24"/>
          <w:lang w:bidi="mn-Mong-CN"/>
        </w:rPr>
        <w:t xml:space="preserve">duty буюу үүрэг бус, power буюу бүрэн эрх байдаг. </w:t>
      </w:r>
    </w:p>
    <w:p w14:paraId="7DE219A4" w14:textId="77777777" w:rsidR="002B43CC" w:rsidRPr="00D207BB" w:rsidRDefault="002B43CC" w:rsidP="00D207BB">
      <w:pPr>
        <w:spacing w:after="0" w:line="240" w:lineRule="auto"/>
        <w:ind w:firstLine="360"/>
        <w:contextualSpacing/>
        <w:jc w:val="both"/>
        <w:rPr>
          <w:rFonts w:ascii="Arial" w:hAnsi="Arial" w:cs="Arial"/>
          <w:color w:val="000000" w:themeColor="text1"/>
          <w:sz w:val="24"/>
          <w:szCs w:val="24"/>
          <w:lang w:bidi="mn-Mong-CN"/>
        </w:rPr>
      </w:pPr>
    </w:p>
    <w:p w14:paraId="65FEB644" w14:textId="558879E6" w:rsidR="002B43CC" w:rsidRPr="00D207BB" w:rsidRDefault="002B43CC" w:rsidP="00D207BB">
      <w:pPr>
        <w:spacing w:after="0" w:line="240" w:lineRule="auto"/>
        <w:ind w:firstLine="360"/>
        <w:contextualSpacing/>
        <w:jc w:val="both"/>
        <w:rPr>
          <w:rFonts w:ascii="Arial" w:hAnsi="Arial" w:cs="Arial"/>
          <w:color w:val="000000" w:themeColor="text1"/>
          <w:sz w:val="24"/>
          <w:szCs w:val="24"/>
          <w:lang w:bidi="mn-Mong-CN"/>
        </w:rPr>
      </w:pPr>
      <w:r w:rsidRPr="00D207BB">
        <w:rPr>
          <w:rFonts w:ascii="Arial" w:hAnsi="Arial" w:cs="Arial"/>
          <w:color w:val="000000" w:themeColor="text1"/>
          <w:sz w:val="24"/>
          <w:szCs w:val="24"/>
          <w:lang w:bidi="mn-Mong-CN"/>
        </w:rPr>
        <w:tab/>
        <w:t xml:space="preserve">Түүнчлэн энэхүү шинжээчийн үнэлгээний тайлан нь Иргэний хэрэг шүүхэд хянан шийдвэрлэх тухай хуульд заасан шинжээчийн 47 дугаар зүйлд заасан шинжээчийн дүгнэлтээс ялгаатай буюу талууд дахин, нэмэлт шинжилгээ хийлгэх, шинжээчийн үнэлгээний тайланд гомдол гаргах эрхгүй болно. Өөрөөр хэлбэл, энэхүү гэр бүлийн нөхцөл байдлын шинжээчийн үнэлгээний тайланд Шүүх шинжилгээний тухай хуульд заасан журам үйлчлэхгүй. </w:t>
      </w:r>
      <w:r w:rsidR="00421898" w:rsidRPr="00D207BB">
        <w:rPr>
          <w:rFonts w:ascii="Arial" w:hAnsi="Arial" w:cs="Arial"/>
          <w:color w:val="000000" w:themeColor="text1"/>
          <w:sz w:val="24"/>
          <w:szCs w:val="24"/>
          <w:lang w:bidi="mn-Mong-CN"/>
        </w:rPr>
        <w:t>Гэхдээ ИХШХШтХ-д заасны дагуу энэхүү шинжээчийн үнэлгээний тайлан нь нотлох баримт бөгөөд шүүх нотлох баримтаар үнэлэх эсэхийг шийдвэрлэж, хэргийг хянан шийдвэрлэхдээ харгалзан үзнэ.</w:t>
      </w:r>
    </w:p>
    <w:p w14:paraId="6C893EF1" w14:textId="77777777" w:rsidR="002B43CC" w:rsidRPr="00D207BB" w:rsidRDefault="002B43CC" w:rsidP="00D207BB">
      <w:pPr>
        <w:spacing w:after="0" w:line="240" w:lineRule="auto"/>
        <w:ind w:firstLine="360"/>
        <w:contextualSpacing/>
        <w:jc w:val="both"/>
        <w:rPr>
          <w:rFonts w:ascii="Arial" w:hAnsi="Arial" w:cs="Arial"/>
          <w:color w:val="000000" w:themeColor="text1"/>
          <w:sz w:val="24"/>
          <w:szCs w:val="24"/>
          <w:lang w:bidi="mn-Mong-CN"/>
        </w:rPr>
      </w:pPr>
    </w:p>
    <w:p w14:paraId="133B9069" w14:textId="2D6ACFF3" w:rsidR="002B43CC" w:rsidRPr="00D207BB" w:rsidRDefault="002B43CC" w:rsidP="00D207BB">
      <w:pPr>
        <w:spacing w:after="0" w:line="240" w:lineRule="auto"/>
        <w:ind w:firstLine="360"/>
        <w:contextualSpacing/>
        <w:jc w:val="center"/>
        <w:rPr>
          <w:rFonts w:ascii="Arial" w:hAnsi="Arial" w:cs="Arial"/>
          <w:b/>
          <w:bCs/>
          <w:color w:val="000000" w:themeColor="text1"/>
          <w:sz w:val="24"/>
          <w:szCs w:val="24"/>
          <w:lang w:bidi="mn-Mong-CN"/>
        </w:rPr>
      </w:pPr>
      <w:r w:rsidRPr="00D207BB">
        <w:rPr>
          <w:rFonts w:ascii="Arial" w:hAnsi="Arial" w:cs="Arial"/>
          <w:b/>
          <w:bCs/>
          <w:color w:val="000000" w:themeColor="text1"/>
          <w:sz w:val="24"/>
          <w:szCs w:val="24"/>
          <w:lang w:bidi="mn-Mong-CN"/>
        </w:rPr>
        <w:t>Гэр бүлийн хэргийн төрөл</w:t>
      </w:r>
    </w:p>
    <w:p w14:paraId="7D06ED69" w14:textId="77777777" w:rsidR="002B43CC" w:rsidRPr="00D207BB" w:rsidRDefault="002B43CC" w:rsidP="00D207BB">
      <w:pPr>
        <w:spacing w:after="0" w:line="240" w:lineRule="auto"/>
        <w:ind w:firstLine="360"/>
        <w:contextualSpacing/>
        <w:jc w:val="center"/>
        <w:rPr>
          <w:rFonts w:ascii="Arial" w:hAnsi="Arial" w:cs="Arial"/>
          <w:b/>
          <w:bCs/>
          <w:color w:val="000000" w:themeColor="text1"/>
          <w:sz w:val="24"/>
          <w:szCs w:val="24"/>
          <w:lang w:bidi="mn-Mong-CN"/>
        </w:rPr>
      </w:pPr>
    </w:p>
    <w:p w14:paraId="6F046D98" w14:textId="77777777" w:rsidR="002B43CC" w:rsidRPr="00D207BB" w:rsidRDefault="002B43CC" w:rsidP="00D207BB">
      <w:pPr>
        <w:spacing w:after="0" w:line="240" w:lineRule="auto"/>
        <w:ind w:right="-2" w:firstLine="738"/>
        <w:contextualSpacing/>
        <w:jc w:val="both"/>
        <w:rPr>
          <w:rFonts w:ascii="Arial" w:hAnsi="Arial" w:cs="Arial"/>
          <w:color w:val="000000" w:themeColor="text1"/>
          <w:sz w:val="24"/>
          <w:szCs w:val="24"/>
        </w:rPr>
      </w:pPr>
      <w:r w:rsidRPr="00D207BB">
        <w:rPr>
          <w:rFonts w:ascii="Arial" w:hAnsi="Arial" w:cs="Arial"/>
          <w:color w:val="000000" w:themeColor="text1"/>
          <w:sz w:val="24"/>
          <w:szCs w:val="24"/>
        </w:rPr>
        <w:t xml:space="preserve">Иргэний хэрэг шүүхэд хянан шийдвэрлэх тухай хуулийн </w:t>
      </w:r>
      <w:r w:rsidRPr="00D207BB">
        <w:rPr>
          <w:rFonts w:ascii="Arial" w:hAnsi="Arial" w:cs="Arial"/>
          <w:color w:val="000000" w:themeColor="text1"/>
          <w:sz w:val="24"/>
          <w:szCs w:val="24"/>
          <w:lang w:bidi="mn-Mong-CN"/>
        </w:rPr>
        <w:t>“</w:t>
      </w:r>
      <w:r w:rsidRPr="00D207BB">
        <w:rPr>
          <w:rFonts w:ascii="Arial" w:hAnsi="Arial" w:cs="Arial"/>
          <w:color w:val="000000" w:themeColor="text1"/>
          <w:sz w:val="24"/>
          <w:szCs w:val="24"/>
        </w:rPr>
        <w:t xml:space="preserve">Гэр бүлийн холбогдолтой хэрэг хянан шийдвэрлэх ажиллагаа” Арван хоёрдугаар бүлгээр гэр бүлийн холбогдолтой хэргийг хянан шийдвэрлэх ажиллагааг зохицуулж байна. </w:t>
      </w:r>
    </w:p>
    <w:p w14:paraId="17ED4C7E" w14:textId="77777777" w:rsidR="002B43CC" w:rsidRPr="00D207BB" w:rsidRDefault="002B43CC" w:rsidP="00D207BB">
      <w:pPr>
        <w:spacing w:after="0" w:line="240" w:lineRule="auto"/>
        <w:ind w:right="-2" w:firstLine="738"/>
        <w:contextualSpacing/>
        <w:jc w:val="both"/>
        <w:rPr>
          <w:rFonts w:ascii="Arial" w:hAnsi="Arial" w:cs="Arial"/>
          <w:color w:val="000000" w:themeColor="text1"/>
          <w:sz w:val="24"/>
          <w:szCs w:val="24"/>
        </w:rPr>
      </w:pPr>
    </w:p>
    <w:p w14:paraId="059C4363" w14:textId="77777777" w:rsidR="002B43CC" w:rsidRPr="00D207BB" w:rsidRDefault="002B43CC" w:rsidP="00D207BB">
      <w:pPr>
        <w:spacing w:after="0" w:line="240" w:lineRule="auto"/>
        <w:ind w:right="-2" w:firstLine="738"/>
        <w:contextualSpacing/>
        <w:jc w:val="both"/>
        <w:rPr>
          <w:rFonts w:ascii="Arial" w:hAnsi="Arial" w:cs="Arial"/>
          <w:color w:val="000000" w:themeColor="text1"/>
          <w:sz w:val="24"/>
          <w:szCs w:val="24"/>
          <w:lang w:bidi="mn-Mong-CN"/>
        </w:rPr>
      </w:pPr>
      <w:r w:rsidRPr="00D207BB">
        <w:rPr>
          <w:rFonts w:ascii="Arial" w:hAnsi="Arial" w:cs="Arial"/>
          <w:color w:val="000000" w:themeColor="text1"/>
          <w:sz w:val="24"/>
          <w:szCs w:val="24"/>
        </w:rPr>
        <w:t xml:space="preserve">Тус хуульд </w:t>
      </w:r>
      <w:r w:rsidRPr="00D207BB">
        <w:rPr>
          <w:rFonts w:ascii="Arial" w:hAnsi="Arial" w:cs="Arial"/>
          <w:color w:val="000000" w:themeColor="text1"/>
          <w:sz w:val="24"/>
          <w:szCs w:val="24"/>
          <w:lang w:bidi="mn-Mong-CN"/>
        </w:rPr>
        <w:t xml:space="preserve">“гэр бүлийн холбогдолтой хэрэг”, “гэр бүлийн эрх зүйн харилцаанаас үүссэн маргаан” гэх мэт өөр өөр нэр томьёог заасан байдаг тул нэр томьёог жигдлэн “гэр бүлийн хэрэг” болгон томьёолсон. </w:t>
      </w:r>
    </w:p>
    <w:p w14:paraId="56D1D6A0" w14:textId="77777777" w:rsidR="002B43CC" w:rsidRPr="00D207BB" w:rsidRDefault="002B43CC" w:rsidP="00D207BB">
      <w:pPr>
        <w:spacing w:after="0" w:line="240" w:lineRule="auto"/>
        <w:ind w:right="-2" w:firstLine="738"/>
        <w:contextualSpacing/>
        <w:jc w:val="both"/>
        <w:rPr>
          <w:rFonts w:ascii="Arial" w:hAnsi="Arial" w:cs="Arial"/>
          <w:color w:val="000000" w:themeColor="text1"/>
          <w:sz w:val="24"/>
          <w:szCs w:val="24"/>
          <w:lang w:bidi="mn-Mong-CN"/>
        </w:rPr>
      </w:pPr>
    </w:p>
    <w:p w14:paraId="2E9802EC" w14:textId="429CFF36" w:rsidR="002B43CC" w:rsidRPr="00D207BB" w:rsidRDefault="002B43CC" w:rsidP="00D207BB">
      <w:pPr>
        <w:spacing w:after="0" w:line="240" w:lineRule="auto"/>
        <w:ind w:right="-2" w:firstLine="738"/>
        <w:contextualSpacing/>
        <w:jc w:val="both"/>
        <w:rPr>
          <w:rFonts w:ascii="Arial" w:hAnsi="Arial" w:cs="Arial"/>
          <w:color w:val="000000" w:themeColor="text1"/>
          <w:sz w:val="24"/>
          <w:szCs w:val="24"/>
          <w:lang w:bidi="mn-Mong-CN"/>
        </w:rPr>
      </w:pPr>
      <w:r w:rsidRPr="00D207BB">
        <w:rPr>
          <w:rFonts w:ascii="Arial" w:hAnsi="Arial" w:cs="Arial"/>
          <w:color w:val="000000" w:themeColor="text1"/>
          <w:sz w:val="24"/>
          <w:szCs w:val="24"/>
          <w:lang w:bidi="mn-Mong-CN"/>
        </w:rPr>
        <w:t xml:space="preserve"> Мөн гэр бүлийн хэр</w:t>
      </w:r>
      <w:r w:rsidR="00421898" w:rsidRPr="00D207BB">
        <w:rPr>
          <w:rFonts w:ascii="Arial" w:hAnsi="Arial" w:cs="Arial"/>
          <w:color w:val="000000" w:themeColor="text1"/>
          <w:sz w:val="24"/>
          <w:szCs w:val="24"/>
          <w:lang w:bidi="mn-Mong-CN"/>
        </w:rPr>
        <w:t>гийг ердийн журмаар, онцгой ажиллагааны журмаар хянан шийдвэрлэх хэрэг гэж ангилсан.</w:t>
      </w:r>
    </w:p>
    <w:p w14:paraId="0551AF4F" w14:textId="77777777" w:rsidR="00421898" w:rsidRPr="00D207BB" w:rsidRDefault="00421898" w:rsidP="00D207BB">
      <w:pPr>
        <w:spacing w:after="0" w:line="240" w:lineRule="auto"/>
        <w:ind w:right="-2" w:firstLine="738"/>
        <w:contextualSpacing/>
        <w:jc w:val="both"/>
        <w:rPr>
          <w:rFonts w:ascii="Arial" w:hAnsi="Arial" w:cs="Arial"/>
          <w:color w:val="000000" w:themeColor="text1"/>
          <w:sz w:val="24"/>
          <w:szCs w:val="24"/>
          <w:lang w:bidi="mn-Mong-CN"/>
        </w:rPr>
      </w:pPr>
    </w:p>
    <w:p w14:paraId="6D4BCC9C" w14:textId="29BF0F2A" w:rsidR="002B43CC" w:rsidRPr="00D207BB" w:rsidRDefault="002B43CC" w:rsidP="00D207BB">
      <w:pPr>
        <w:spacing w:after="0" w:line="240" w:lineRule="auto"/>
        <w:ind w:right="-2" w:firstLine="738"/>
        <w:contextualSpacing/>
        <w:jc w:val="both"/>
        <w:rPr>
          <w:rFonts w:ascii="Arial" w:hAnsi="Arial" w:cs="Arial"/>
          <w:color w:val="000000" w:themeColor="text1"/>
          <w:sz w:val="24"/>
          <w:szCs w:val="24"/>
          <w:lang w:bidi="mn-Mong-CN"/>
        </w:rPr>
      </w:pPr>
      <w:r w:rsidRPr="00D207BB">
        <w:rPr>
          <w:rFonts w:ascii="Arial" w:hAnsi="Arial" w:cs="Arial"/>
          <w:color w:val="000000" w:themeColor="text1"/>
          <w:sz w:val="24"/>
          <w:szCs w:val="24"/>
          <w:lang w:bidi="mn-Mong-CN"/>
        </w:rPr>
        <w:t xml:space="preserve">Япон, БНСУ-ын гэр бүлийн хэрэг шүүхэд хянан шийдвэрлэх хуулиудад “гэр бүлийн хэрэг /family case/” гэдэгт гэрлэлт цуцлалт, түүнтэй холбоотой хүүхдийн тэтгэлэг гаргуулах, хүүхдийн асрамжийг хэнд үлдээх, дундын эд хөрөнгийг хуваах зэрэг хэргээс гадна үрчлэлт, асран хамгаалалт, харгалзан дэмжлэг тогтоох, хүчингүй болгох, хүүхдийн эцэг, эхийг тогтоох, гэрлэлт хүчин төгөлдөр бусад тооцох, </w:t>
      </w:r>
      <w:r w:rsidRPr="00D207BB">
        <w:rPr>
          <w:rFonts w:ascii="Arial" w:hAnsi="Arial" w:cs="Arial"/>
          <w:color w:val="000000" w:themeColor="text1"/>
          <w:sz w:val="24"/>
          <w:szCs w:val="24"/>
          <w:lang w:bidi="mn-Mong-CN"/>
        </w:rPr>
        <w:lastRenderedPageBreak/>
        <w:t>гэрлэлт цуцлалтыг хүчин төгөлдөр бусад тооцох зэрэг олон төрлийн хэргийг хамруулдаг байна.</w:t>
      </w:r>
      <w:r w:rsidRPr="00D207BB">
        <w:rPr>
          <w:rStyle w:val="FootnoteReference"/>
          <w:rFonts w:ascii="Arial" w:hAnsi="Arial" w:cs="Arial"/>
          <w:color w:val="000000" w:themeColor="text1"/>
          <w:sz w:val="24"/>
          <w:szCs w:val="24"/>
          <w:lang w:bidi="mn-Mong-CN"/>
        </w:rPr>
        <w:footnoteReference w:id="4"/>
      </w:r>
    </w:p>
    <w:p w14:paraId="4D9054A7" w14:textId="77777777" w:rsidR="00421898" w:rsidRPr="00D207BB" w:rsidRDefault="00421898" w:rsidP="00D207BB">
      <w:pPr>
        <w:spacing w:after="0" w:line="240" w:lineRule="auto"/>
        <w:ind w:right="-2" w:firstLine="738"/>
        <w:contextualSpacing/>
        <w:jc w:val="both"/>
        <w:rPr>
          <w:rFonts w:ascii="Arial" w:hAnsi="Arial" w:cs="Arial"/>
          <w:color w:val="000000" w:themeColor="text1"/>
          <w:sz w:val="24"/>
          <w:szCs w:val="24"/>
          <w:lang w:bidi="mn-Mong-CN"/>
        </w:rPr>
      </w:pPr>
    </w:p>
    <w:p w14:paraId="77A33B1F" w14:textId="798017F0" w:rsidR="002B43CC" w:rsidRDefault="002B43CC" w:rsidP="00D207BB">
      <w:pPr>
        <w:spacing w:after="0" w:line="240" w:lineRule="auto"/>
        <w:ind w:firstLine="720"/>
        <w:contextualSpacing/>
        <w:jc w:val="both"/>
        <w:rPr>
          <w:rFonts w:ascii="Arial" w:hAnsi="Arial" w:cs="Arial"/>
          <w:color w:val="000000" w:themeColor="text1"/>
          <w:sz w:val="24"/>
          <w:szCs w:val="24"/>
          <w:lang w:bidi="mn-Mong-CN"/>
        </w:rPr>
      </w:pPr>
      <w:r w:rsidRPr="00D207BB">
        <w:rPr>
          <w:rFonts w:ascii="Arial" w:hAnsi="Arial" w:cs="Arial"/>
          <w:noProof/>
          <w:sz w:val="24"/>
          <w:szCs w:val="24"/>
          <w:lang w:bidi="mn-Mong-MN"/>
        </w:rPr>
        <w:t xml:space="preserve">Иймээс гэр бүлийн хэрэгт гэрлэлт цуцлалт төдийгүй одоогийн онцгой ажиллагааны журмаар хянан шийдвэрлэдэг </w:t>
      </w:r>
      <w:r w:rsidRPr="00D207BB">
        <w:rPr>
          <w:rFonts w:ascii="Arial" w:hAnsi="Arial" w:cs="Arial"/>
          <w:color w:val="000000" w:themeColor="text1"/>
          <w:sz w:val="24"/>
          <w:szCs w:val="24"/>
          <w:lang w:bidi="mn-Mong-CN"/>
        </w:rPr>
        <w:t>хүүхдийн эцэг, эхийг тогтоох, эцэг, эх байх эрхийг хасах, хязгаарлах, сэргээх, хүүхэд үрчилснийг хүчингүйд тооцох зэрэг хэргийг хамруулсан.</w:t>
      </w:r>
    </w:p>
    <w:p w14:paraId="2A9CD15D" w14:textId="77777777" w:rsidR="00D207BB" w:rsidRPr="00D207BB" w:rsidRDefault="00D207BB" w:rsidP="00D207BB">
      <w:pPr>
        <w:spacing w:after="0" w:line="240" w:lineRule="auto"/>
        <w:ind w:firstLine="720"/>
        <w:contextualSpacing/>
        <w:jc w:val="both"/>
        <w:rPr>
          <w:rFonts w:ascii="Arial" w:hAnsi="Arial" w:cs="Arial"/>
          <w:color w:val="000000" w:themeColor="text1"/>
          <w:sz w:val="24"/>
          <w:szCs w:val="24"/>
          <w:lang w:bidi="mn-Mong-CN"/>
        </w:rPr>
      </w:pPr>
    </w:p>
    <w:p w14:paraId="4DCBA0AD" w14:textId="08F77076" w:rsidR="002B43CC" w:rsidRDefault="002B43CC" w:rsidP="00D207BB">
      <w:pPr>
        <w:spacing w:after="0" w:line="240" w:lineRule="auto"/>
        <w:contextualSpacing/>
        <w:jc w:val="center"/>
        <w:rPr>
          <w:rFonts w:ascii="Arial" w:hAnsi="Arial" w:cs="Arial"/>
          <w:b/>
          <w:bCs/>
          <w:sz w:val="24"/>
          <w:szCs w:val="24"/>
        </w:rPr>
      </w:pPr>
      <w:r w:rsidRPr="00D207BB">
        <w:rPr>
          <w:rFonts w:ascii="Arial" w:hAnsi="Arial" w:cs="Arial"/>
          <w:b/>
          <w:bCs/>
          <w:sz w:val="24"/>
          <w:szCs w:val="24"/>
        </w:rPr>
        <w:t>Шүүхийн шатан дахь эвлэрүүлэн зуучлах ажиллагаа</w:t>
      </w:r>
    </w:p>
    <w:p w14:paraId="1434D710" w14:textId="77777777" w:rsidR="00D207BB" w:rsidRPr="00D207BB" w:rsidRDefault="00D207BB" w:rsidP="00D207BB">
      <w:pPr>
        <w:spacing w:after="0" w:line="240" w:lineRule="auto"/>
        <w:contextualSpacing/>
        <w:jc w:val="center"/>
        <w:rPr>
          <w:rFonts w:ascii="Arial" w:hAnsi="Arial" w:cs="Arial"/>
          <w:b/>
          <w:bCs/>
          <w:sz w:val="24"/>
          <w:szCs w:val="24"/>
        </w:rPr>
      </w:pPr>
    </w:p>
    <w:p w14:paraId="0370E1D0" w14:textId="3FEDF525" w:rsidR="002B43CC" w:rsidRDefault="002B43CC" w:rsidP="00D207BB">
      <w:pPr>
        <w:spacing w:after="0" w:line="240" w:lineRule="auto"/>
        <w:ind w:firstLine="734"/>
        <w:contextualSpacing/>
        <w:jc w:val="both"/>
        <w:rPr>
          <w:rFonts w:ascii="Arial" w:hAnsi="Arial" w:cs="Arial"/>
          <w:color w:val="000000" w:themeColor="text1"/>
          <w:sz w:val="24"/>
          <w:szCs w:val="24"/>
        </w:rPr>
      </w:pPr>
      <w:r w:rsidRPr="00D207BB">
        <w:rPr>
          <w:rFonts w:ascii="Arial" w:hAnsi="Arial" w:cs="Arial"/>
          <w:sz w:val="24"/>
          <w:szCs w:val="24"/>
        </w:rPr>
        <w:t>Гэр бүлийн</w:t>
      </w:r>
      <w:r w:rsidRPr="00D207BB">
        <w:rPr>
          <w:rFonts w:ascii="Arial" w:hAnsi="Arial" w:cs="Arial"/>
          <w:b/>
          <w:bCs/>
          <w:sz w:val="24"/>
          <w:szCs w:val="24"/>
        </w:rPr>
        <w:t xml:space="preserve"> </w:t>
      </w:r>
      <w:r w:rsidRPr="00D207BB">
        <w:rPr>
          <w:rFonts w:ascii="Arial" w:hAnsi="Arial" w:cs="Arial"/>
          <w:color w:val="000000" w:themeColor="text1"/>
          <w:sz w:val="24"/>
          <w:szCs w:val="24"/>
        </w:rPr>
        <w:t xml:space="preserve">хэрэг үүсгэсэн шүүгч шаардлагатай гэж үзвэл, эсхүл гэр бүлийн нөхцөл байдлын шинжээчийн үнэлгээгээр талуудыг эвлэрүүлэх боломжтой гэж үзсэн бол талуудыг эвлэрүүлэх арга хэмжээ авахаар хэрэг хянан шийдвэрлэх ажиллагааг түдгэлзүүлж,  эвлэрүүлэн зуучлалын </w:t>
      </w:r>
      <w:r w:rsidR="00421898" w:rsidRPr="00D207BB">
        <w:rPr>
          <w:rFonts w:ascii="Arial" w:hAnsi="Arial" w:cs="Arial"/>
          <w:color w:val="000000" w:themeColor="text1"/>
          <w:sz w:val="24"/>
          <w:szCs w:val="24"/>
        </w:rPr>
        <w:t>багт</w:t>
      </w:r>
      <w:r w:rsidRPr="00D207BB">
        <w:rPr>
          <w:rFonts w:ascii="Arial" w:hAnsi="Arial" w:cs="Arial"/>
          <w:color w:val="000000" w:themeColor="text1"/>
          <w:sz w:val="24"/>
          <w:szCs w:val="24"/>
        </w:rPr>
        <w:t xml:space="preserve"> хэргийг шилжүүлэх тухай шүүгчийн захирамж гаргаснаар шүүхийн шатан дахь эвлэрүүлэн зуучлах ажиллагаа эхлэхээр тусгалаа. </w:t>
      </w:r>
    </w:p>
    <w:p w14:paraId="79E025C1" w14:textId="77777777" w:rsidR="00D207BB" w:rsidRPr="00D207BB" w:rsidRDefault="00D207BB" w:rsidP="00D207BB">
      <w:pPr>
        <w:spacing w:after="0" w:line="240" w:lineRule="auto"/>
        <w:ind w:firstLine="734"/>
        <w:contextualSpacing/>
        <w:jc w:val="both"/>
        <w:rPr>
          <w:rFonts w:ascii="Arial" w:hAnsi="Arial" w:cs="Arial"/>
          <w:color w:val="000000" w:themeColor="text1"/>
          <w:sz w:val="24"/>
          <w:szCs w:val="24"/>
        </w:rPr>
      </w:pPr>
    </w:p>
    <w:p w14:paraId="64C4E997" w14:textId="008D5A0D" w:rsidR="002B43CC" w:rsidRDefault="002B43CC" w:rsidP="00D207BB">
      <w:pPr>
        <w:spacing w:after="0" w:line="240" w:lineRule="auto"/>
        <w:ind w:firstLine="734"/>
        <w:contextualSpacing/>
        <w:jc w:val="both"/>
        <w:rPr>
          <w:rFonts w:ascii="Arial" w:hAnsi="Arial" w:cs="Arial"/>
          <w:sz w:val="24"/>
          <w:szCs w:val="24"/>
        </w:rPr>
      </w:pPr>
      <w:r w:rsidRPr="00D207BB">
        <w:rPr>
          <w:rFonts w:ascii="Arial" w:hAnsi="Arial" w:cs="Arial"/>
          <w:color w:val="000000" w:themeColor="text1"/>
          <w:sz w:val="24"/>
          <w:szCs w:val="24"/>
        </w:rPr>
        <w:t xml:space="preserve">Шүүхийн шатанд эвлэрүүлэн зуучлалын </w:t>
      </w:r>
      <w:r w:rsidR="00421898" w:rsidRPr="00D207BB">
        <w:rPr>
          <w:rFonts w:ascii="Arial" w:hAnsi="Arial" w:cs="Arial"/>
          <w:color w:val="000000" w:themeColor="text1"/>
          <w:sz w:val="24"/>
          <w:szCs w:val="24"/>
        </w:rPr>
        <w:t>багт</w:t>
      </w:r>
      <w:r w:rsidRPr="00D207BB">
        <w:rPr>
          <w:rFonts w:ascii="Arial" w:hAnsi="Arial" w:cs="Arial"/>
          <w:color w:val="000000" w:themeColor="text1"/>
          <w:sz w:val="24"/>
          <w:szCs w:val="24"/>
        </w:rPr>
        <w:t xml:space="preserve"> хэргийг шилжүүлэхэд </w:t>
      </w:r>
      <w:r w:rsidRPr="00D207BB">
        <w:rPr>
          <w:rFonts w:ascii="Arial" w:hAnsi="Arial" w:cs="Arial"/>
          <w:sz w:val="24"/>
          <w:szCs w:val="24"/>
        </w:rPr>
        <w:t>гэр бүлийн нөхцөл байдлын үнэлгээ хийлгэсэн бол энэ тухай шинжээчийн тайланг хавсаргаж,  гэрлэгчид  эвлэрэх боломж, үндэслэлийн талаарх шүүгчийн тайлбарыг энэ захирамжид тусгаж, чиглэл өгөхөөр тусгав.</w:t>
      </w:r>
    </w:p>
    <w:p w14:paraId="784B0DF2" w14:textId="77777777" w:rsidR="00D207BB" w:rsidRPr="00D207BB" w:rsidRDefault="00D207BB" w:rsidP="00D207BB">
      <w:pPr>
        <w:spacing w:after="0" w:line="240" w:lineRule="auto"/>
        <w:ind w:firstLine="734"/>
        <w:contextualSpacing/>
        <w:jc w:val="both"/>
        <w:rPr>
          <w:rFonts w:ascii="Arial" w:hAnsi="Arial" w:cs="Arial"/>
          <w:sz w:val="24"/>
          <w:szCs w:val="24"/>
        </w:rPr>
      </w:pPr>
    </w:p>
    <w:p w14:paraId="11E35489" w14:textId="74F095D1" w:rsidR="002B43CC" w:rsidRDefault="002B43CC" w:rsidP="00D207BB">
      <w:pPr>
        <w:spacing w:after="0" w:line="240" w:lineRule="auto"/>
        <w:ind w:firstLine="734"/>
        <w:contextualSpacing/>
        <w:jc w:val="both"/>
        <w:rPr>
          <w:rFonts w:ascii="Arial" w:hAnsi="Arial" w:cs="Arial"/>
          <w:sz w:val="24"/>
          <w:szCs w:val="24"/>
        </w:rPr>
      </w:pPr>
      <w:r w:rsidRPr="00D207BB">
        <w:rPr>
          <w:rFonts w:ascii="Arial" w:hAnsi="Arial" w:cs="Arial"/>
          <w:sz w:val="24"/>
          <w:szCs w:val="24"/>
        </w:rPr>
        <w:t>Эвлэрүүлэн зуучлалын шүүгч гэх статусыг бий болгов. БНСУ-д шүүхийн шатан дахь эвлэрүүлэн зуучлалыг эвлэрүүлэн зуучлалын хороо /</w:t>
      </w:r>
      <w:r w:rsidRPr="00D207BB">
        <w:rPr>
          <w:rFonts w:ascii="Arial" w:hAnsi="Arial" w:cs="Arial"/>
          <w:sz w:val="24"/>
          <w:szCs w:val="24"/>
          <w:lang w:bidi="mn-Mong-MN"/>
        </w:rPr>
        <w:t>conciliation commitee</w:t>
      </w:r>
      <w:r w:rsidRPr="00D207BB">
        <w:rPr>
          <w:rFonts w:ascii="Arial" w:hAnsi="Arial" w:cs="Arial"/>
          <w:sz w:val="24"/>
          <w:szCs w:val="24"/>
        </w:rPr>
        <w:t>/ явуулдаг бөгөөд хороо нь эвлэрүүлэн зуучлалын шүүгч /</w:t>
      </w:r>
      <w:r w:rsidRPr="00D207BB">
        <w:rPr>
          <w:rFonts w:ascii="Arial" w:hAnsi="Arial" w:cs="Arial"/>
          <w:sz w:val="24"/>
          <w:szCs w:val="24"/>
          <w:lang w:bidi="mn-Mong-CN"/>
        </w:rPr>
        <w:t>cheif mediator judge</w:t>
      </w:r>
      <w:r w:rsidRPr="00D207BB">
        <w:rPr>
          <w:rFonts w:ascii="Arial" w:hAnsi="Arial" w:cs="Arial"/>
          <w:sz w:val="24"/>
          <w:szCs w:val="24"/>
        </w:rPr>
        <w:t xml:space="preserve">/, олон нийтээс сонгогдсон 2 эвлэрүүлэн зуучлагч гишүүнээс бүрддэг. </w:t>
      </w:r>
    </w:p>
    <w:p w14:paraId="5C2A8755" w14:textId="77777777" w:rsidR="00D207BB" w:rsidRPr="00D207BB" w:rsidRDefault="00D207BB" w:rsidP="00D207BB">
      <w:pPr>
        <w:spacing w:after="0" w:line="240" w:lineRule="auto"/>
        <w:ind w:firstLine="734"/>
        <w:contextualSpacing/>
        <w:jc w:val="both"/>
        <w:rPr>
          <w:rFonts w:ascii="Arial" w:hAnsi="Arial" w:cs="Arial"/>
          <w:sz w:val="24"/>
          <w:szCs w:val="24"/>
        </w:rPr>
      </w:pPr>
    </w:p>
    <w:p w14:paraId="7376CE05" w14:textId="0604B2B0" w:rsidR="002B43CC" w:rsidRDefault="002B43CC" w:rsidP="00D207BB">
      <w:pPr>
        <w:spacing w:after="0" w:line="240" w:lineRule="auto"/>
        <w:ind w:firstLine="734"/>
        <w:contextualSpacing/>
        <w:jc w:val="both"/>
        <w:rPr>
          <w:rFonts w:ascii="Arial" w:hAnsi="Arial" w:cs="Arial"/>
          <w:sz w:val="24"/>
          <w:szCs w:val="24"/>
        </w:rPr>
      </w:pPr>
      <w:r w:rsidRPr="00D207BB">
        <w:rPr>
          <w:rFonts w:ascii="Arial" w:hAnsi="Arial" w:cs="Arial"/>
          <w:sz w:val="24"/>
          <w:szCs w:val="24"/>
        </w:rPr>
        <w:t xml:space="preserve">Эвлэрүүлэн зуучлалын шүүгч нь чиглэл өгч, хорооны бусад гишүүн эвлэрүүлэн зуучлах уулзалтыг хийж, талуудыг боломжтой бол гэр бүлийг аврах, боломжгүй бол гэрлэлт цуцлалттай холбоотой хүүхдийн асрамж, тэтгэлэг, дундын эд хөрөнгө хуваах асуудлаар эвийн тохиролцоог хийлгүүлдэг. БНСУ-ын Сөүл хотын Гэр бүлийн шүүхэд 40 гаруй шүүгч байдгаас  шүүгчийг нь эвлэрүүлэн зуучлалын шүүгчээр томилдог байна. </w:t>
      </w:r>
    </w:p>
    <w:p w14:paraId="40A0A9A6" w14:textId="77777777" w:rsidR="00D207BB" w:rsidRPr="00D207BB" w:rsidRDefault="00D207BB" w:rsidP="00D207BB">
      <w:pPr>
        <w:spacing w:after="0" w:line="240" w:lineRule="auto"/>
        <w:ind w:firstLine="734"/>
        <w:contextualSpacing/>
        <w:jc w:val="both"/>
        <w:rPr>
          <w:rFonts w:ascii="Arial" w:hAnsi="Arial" w:cs="Arial"/>
          <w:color w:val="000000" w:themeColor="text1"/>
          <w:sz w:val="24"/>
          <w:szCs w:val="24"/>
        </w:rPr>
      </w:pPr>
    </w:p>
    <w:p w14:paraId="06AE34D0" w14:textId="7D47C042" w:rsidR="002B43CC" w:rsidRDefault="002B43CC" w:rsidP="00D207BB">
      <w:pPr>
        <w:spacing w:after="0" w:line="240" w:lineRule="auto"/>
        <w:ind w:firstLine="734"/>
        <w:contextualSpacing/>
        <w:jc w:val="both"/>
        <w:rPr>
          <w:rFonts w:ascii="Arial" w:hAnsi="Arial" w:cs="Arial"/>
          <w:color w:val="000000" w:themeColor="text1"/>
          <w:sz w:val="24"/>
          <w:szCs w:val="24"/>
        </w:rPr>
      </w:pPr>
      <w:r w:rsidRPr="00D207BB">
        <w:rPr>
          <w:rFonts w:ascii="Arial" w:hAnsi="Arial" w:cs="Arial"/>
          <w:color w:val="000000" w:themeColor="text1"/>
          <w:sz w:val="24"/>
          <w:szCs w:val="24"/>
        </w:rPr>
        <w:t>Ийнхүү хуулийн төсөлд шүүхийн шатан дахь эвлэрүүлэн зуучлах тогтолцоо, процессыг бий болгож, гэр бүлийн хэргийг үр дүнтэй шийдвэрлэх боломжийг бүрдүүллээ.</w:t>
      </w:r>
    </w:p>
    <w:p w14:paraId="00E57BCB" w14:textId="77777777" w:rsidR="00D207BB" w:rsidRPr="00D207BB" w:rsidRDefault="00D207BB" w:rsidP="00D207BB">
      <w:pPr>
        <w:spacing w:after="0" w:line="240" w:lineRule="auto"/>
        <w:ind w:firstLine="734"/>
        <w:contextualSpacing/>
        <w:jc w:val="both"/>
        <w:rPr>
          <w:rFonts w:ascii="Arial" w:hAnsi="Arial" w:cs="Arial"/>
          <w:color w:val="000000" w:themeColor="text1"/>
          <w:sz w:val="24"/>
          <w:szCs w:val="24"/>
        </w:rPr>
      </w:pPr>
    </w:p>
    <w:p w14:paraId="642CC728" w14:textId="0B9A455E" w:rsidR="002B43CC" w:rsidRPr="00D207BB" w:rsidRDefault="002B43CC" w:rsidP="00D207BB">
      <w:pPr>
        <w:spacing w:after="0" w:line="240" w:lineRule="auto"/>
        <w:ind w:firstLine="734"/>
        <w:contextualSpacing/>
        <w:jc w:val="both"/>
        <w:rPr>
          <w:rFonts w:ascii="Arial" w:hAnsi="Arial" w:cs="Arial"/>
          <w:color w:val="000000" w:themeColor="text1"/>
          <w:sz w:val="24"/>
          <w:szCs w:val="24"/>
        </w:rPr>
      </w:pPr>
      <w:r w:rsidRPr="00D207BB">
        <w:rPr>
          <w:rFonts w:ascii="Arial" w:hAnsi="Arial" w:cs="Arial"/>
          <w:color w:val="000000" w:themeColor="text1"/>
          <w:sz w:val="24"/>
          <w:szCs w:val="24"/>
        </w:rPr>
        <w:t xml:space="preserve">Хэрэв талууд бодит байдал дээр гэрлэлт цуцлахгүй байхаар шийдвэл шүүгч эвлэрлийг баталж, хэргийг хэрэгсэхгүй болгох захирамж гаргахаар, харин гэрлэлтийг цуцлахаар шийдвэл эвлэрүүлэн зуучлалын </w:t>
      </w:r>
      <w:r w:rsidR="00421898" w:rsidRPr="00D207BB">
        <w:rPr>
          <w:rFonts w:ascii="Arial" w:hAnsi="Arial" w:cs="Arial"/>
          <w:color w:val="000000" w:themeColor="text1"/>
          <w:sz w:val="24"/>
          <w:szCs w:val="24"/>
        </w:rPr>
        <w:t>баг</w:t>
      </w:r>
      <w:r w:rsidRPr="00D207BB">
        <w:rPr>
          <w:rFonts w:ascii="Arial" w:hAnsi="Arial" w:cs="Arial"/>
          <w:color w:val="000000" w:themeColor="text1"/>
          <w:sz w:val="24"/>
          <w:szCs w:val="24"/>
        </w:rPr>
        <w:t xml:space="preserve"> гэрлэгчдийг гэрлэлт цуцлалттай холбоотой асуудлаар эвийн тохиролцоо хийлгүүлж, шүүгчид хүргүүлж, шүүгч уг тохиролцоог хуульд нийцсэн гэж үзвэл гэрлэлт цуцлах тухай шийдвэр гаргахдаа уг тохиролцоог тусгахаар хуулийн төсөлд тусгалаа. </w:t>
      </w:r>
    </w:p>
    <w:p w14:paraId="35BBCD3C" w14:textId="7CC69B46" w:rsidR="006B64DA" w:rsidRPr="00D207BB" w:rsidRDefault="006B64DA" w:rsidP="00D207BB">
      <w:pPr>
        <w:spacing w:after="0" w:line="240" w:lineRule="auto"/>
        <w:contextualSpacing/>
        <w:rPr>
          <w:rFonts w:ascii="Arial" w:eastAsia="Arial" w:hAnsi="Arial" w:cs="Arial"/>
          <w:color w:val="000000"/>
          <w:kern w:val="2"/>
          <w:sz w:val="24"/>
          <w:szCs w:val="24"/>
          <w:lang w:eastAsia="zh-CN"/>
          <w14:ligatures w14:val="standardContextual"/>
        </w:rPr>
      </w:pPr>
    </w:p>
    <w:p w14:paraId="78F4593E" w14:textId="4CF523FA" w:rsidR="002B43CC" w:rsidRPr="00D207BB" w:rsidRDefault="002B43CC" w:rsidP="00D207BB">
      <w:pPr>
        <w:spacing w:after="0" w:line="240" w:lineRule="auto"/>
        <w:ind w:right="410" w:firstLine="738"/>
        <w:contextualSpacing/>
        <w:jc w:val="center"/>
        <w:rPr>
          <w:rFonts w:ascii="Arial" w:hAnsi="Arial" w:cs="Arial"/>
          <w:noProof/>
          <w:color w:val="000000"/>
          <w:kern w:val="2"/>
          <w:sz w:val="24"/>
          <w:szCs w:val="24"/>
          <w:lang w:eastAsia="zh-CN"/>
          <w14:ligatures w14:val="standardContextual"/>
        </w:rPr>
      </w:pPr>
      <w:r w:rsidRPr="00D207BB">
        <w:rPr>
          <w:rFonts w:ascii="Arial" w:hAnsi="Arial" w:cs="Arial"/>
          <w:noProof/>
          <w:color w:val="000000"/>
          <w:kern w:val="2"/>
          <w:sz w:val="24"/>
          <w:szCs w:val="24"/>
          <w:lang w:eastAsia="zh-CN"/>
          <w14:ligatures w14:val="standardContextual"/>
        </w:rPr>
        <w:t>—000—</w:t>
      </w:r>
    </w:p>
    <w:p w14:paraId="69D51BB0" w14:textId="6189A7B9" w:rsidR="006B64DA" w:rsidRPr="00D207BB" w:rsidRDefault="006B64DA" w:rsidP="00D207BB">
      <w:pPr>
        <w:spacing w:after="0" w:line="240" w:lineRule="auto"/>
        <w:ind w:left="846"/>
        <w:contextualSpacing/>
        <w:jc w:val="center"/>
        <w:rPr>
          <w:rFonts w:ascii="Arial" w:eastAsia="Arial" w:hAnsi="Arial" w:cs="Arial"/>
          <w:color w:val="000000"/>
          <w:kern w:val="2"/>
          <w:sz w:val="24"/>
          <w:szCs w:val="24"/>
          <w:lang w:val="en-US" w:eastAsia="zh-CN"/>
          <w14:ligatures w14:val="standardContextual"/>
        </w:rPr>
      </w:pPr>
    </w:p>
    <w:sectPr w:rsidR="006B64DA" w:rsidRPr="00D207BB" w:rsidSect="00D207BB">
      <w:footerReference w:type="default" r:id="rId7"/>
      <w:pgSz w:w="11900" w:h="16840"/>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D466C" w14:textId="77777777" w:rsidR="00EB0280" w:rsidRDefault="00EB0280" w:rsidP="006B64DA">
      <w:pPr>
        <w:spacing w:after="0" w:line="240" w:lineRule="auto"/>
      </w:pPr>
      <w:r>
        <w:separator/>
      </w:r>
    </w:p>
  </w:endnote>
  <w:endnote w:type="continuationSeparator" w:id="0">
    <w:p w14:paraId="33C0EEC6" w14:textId="77777777" w:rsidR="00EB0280" w:rsidRDefault="00EB0280" w:rsidP="006B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111923"/>
      <w:docPartObj>
        <w:docPartGallery w:val="Page Numbers (Bottom of Page)"/>
        <w:docPartUnique/>
      </w:docPartObj>
    </w:sdtPr>
    <w:sdtEndPr>
      <w:rPr>
        <w:noProof/>
      </w:rPr>
    </w:sdtEndPr>
    <w:sdtContent>
      <w:p w14:paraId="6369870F" w14:textId="77777777" w:rsidR="00CF7FB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6F3DFD" w14:textId="77777777" w:rsidR="00CF7FB1" w:rsidRDefault="00CF7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F1FC" w14:textId="77777777" w:rsidR="00EB0280" w:rsidRDefault="00EB0280" w:rsidP="006B64DA">
      <w:pPr>
        <w:spacing w:after="0" w:line="240" w:lineRule="auto"/>
      </w:pPr>
      <w:r>
        <w:separator/>
      </w:r>
    </w:p>
  </w:footnote>
  <w:footnote w:type="continuationSeparator" w:id="0">
    <w:p w14:paraId="2C50A659" w14:textId="77777777" w:rsidR="00EB0280" w:rsidRDefault="00EB0280" w:rsidP="006B64DA">
      <w:pPr>
        <w:spacing w:after="0" w:line="240" w:lineRule="auto"/>
      </w:pPr>
      <w:r>
        <w:continuationSeparator/>
      </w:r>
    </w:p>
  </w:footnote>
  <w:footnote w:id="1">
    <w:p w14:paraId="25A1AD0F" w14:textId="77777777" w:rsidR="00CE02C7" w:rsidRDefault="00CE02C7" w:rsidP="00CE02C7">
      <w:pPr>
        <w:pStyle w:val="FootnoteText"/>
      </w:pPr>
      <w:r>
        <w:rPr>
          <w:rStyle w:val="FootnoteReference"/>
        </w:rPr>
        <w:footnoteRef/>
      </w:r>
      <w:r>
        <w:t xml:space="preserve"> </w:t>
      </w:r>
      <w:hyperlink r:id="rId1" w:history="1">
        <w:r w:rsidRPr="00A533A9">
          <w:rPr>
            <w:rStyle w:val="Hyperlink"/>
          </w:rPr>
          <w:t>https://legalinfo.mn/mn/detail?lawId=17140721145671</w:t>
        </w:r>
      </w:hyperlink>
      <w:r>
        <w:t xml:space="preserve"> </w:t>
      </w:r>
    </w:p>
  </w:footnote>
  <w:footnote w:id="2">
    <w:p w14:paraId="4678CFD2" w14:textId="77777777" w:rsidR="00CE02C7" w:rsidRDefault="00CE02C7" w:rsidP="00CE02C7">
      <w:pPr>
        <w:pStyle w:val="FootnoteText"/>
      </w:pPr>
      <w:r>
        <w:rPr>
          <w:rStyle w:val="FootnoteReference"/>
        </w:rPr>
        <w:footnoteRef/>
      </w:r>
      <w:r>
        <w:t xml:space="preserve"> </w:t>
      </w:r>
      <w:hyperlink r:id="rId2" w:history="1">
        <w:r w:rsidRPr="00A533A9">
          <w:rPr>
            <w:rStyle w:val="Hyperlink"/>
          </w:rPr>
          <w:t>https://legalinfo.mn/mn/detail?lawId=17140721217671</w:t>
        </w:r>
      </w:hyperlink>
      <w:r>
        <w:t xml:space="preserve"> </w:t>
      </w:r>
    </w:p>
  </w:footnote>
  <w:footnote w:id="3">
    <w:p w14:paraId="04C9960C" w14:textId="77777777" w:rsidR="002B43CC" w:rsidRPr="00C050B7" w:rsidRDefault="002B43CC" w:rsidP="002B43CC">
      <w:pPr>
        <w:pStyle w:val="FootnoteText"/>
        <w:rPr>
          <w:rFonts w:ascii="Arial" w:hAnsi="Arial" w:cs="Arial"/>
          <w:szCs w:val="25"/>
          <w:lang w:val="mn-MN" w:bidi="mn-Mong-CN"/>
        </w:rPr>
      </w:pPr>
      <w:r w:rsidRPr="00C050B7">
        <w:rPr>
          <w:rStyle w:val="FootnoteReference"/>
          <w:rFonts w:ascii="Arial" w:hAnsi="Arial" w:cs="Arial"/>
        </w:rPr>
        <w:footnoteRef/>
      </w:r>
      <w:r w:rsidRPr="00C050B7">
        <w:rPr>
          <w:rFonts w:ascii="Arial" w:hAnsi="Arial" w:cs="Arial"/>
          <w:lang w:val="mn-MN"/>
        </w:rPr>
        <w:t xml:space="preserve"> </w:t>
      </w:r>
      <w:r w:rsidRPr="00C050B7">
        <w:rPr>
          <w:rFonts w:ascii="Arial" w:hAnsi="Arial" w:cs="Arial"/>
          <w:szCs w:val="25"/>
          <w:lang w:val="mn-MN" w:bidi="mn-Mong-CN"/>
        </w:rPr>
        <w:t>IDLO зөвлөх Hyoung-ryul, KIM</w:t>
      </w:r>
      <w:r w:rsidRPr="00C050B7">
        <w:rPr>
          <w:rFonts w:ascii="Tahoma" w:hAnsi="Tahoma" w:cs="Tahoma"/>
          <w:szCs w:val="25"/>
          <w:lang w:val="mn-MN" w:bidi="mn-Mong-CN"/>
        </w:rPr>
        <w:t>﻿</w:t>
      </w:r>
      <w:r w:rsidRPr="00DC3DD5">
        <w:rPr>
          <w:rFonts w:ascii="Arial" w:hAnsi="Arial" w:cs="Arial"/>
          <w:szCs w:val="25"/>
          <w:lang w:val="mn-MN" w:bidi="mn-Mong-CN"/>
        </w:rPr>
        <w:t>Presiding Judge, Seoul Family Court</w:t>
      </w:r>
      <w:r w:rsidRPr="00C050B7">
        <w:rPr>
          <w:rFonts w:ascii="Arial" w:hAnsi="Arial" w:cs="Arial"/>
          <w:szCs w:val="25"/>
          <w:lang w:val="mn-MN" w:bidi="mn-Mong-CN"/>
        </w:rPr>
        <w:t>-ийн хуулийн төсөл боловсруулахад өгсөн зөвлөмж 2025.</w:t>
      </w:r>
    </w:p>
  </w:footnote>
  <w:footnote w:id="4">
    <w:p w14:paraId="57C46F1F" w14:textId="77777777" w:rsidR="002B43CC" w:rsidRPr="00C050B7" w:rsidRDefault="002B43CC" w:rsidP="002B43CC">
      <w:pPr>
        <w:pStyle w:val="FootnoteText"/>
        <w:rPr>
          <w:rFonts w:ascii="Arial" w:hAnsi="Arial" w:cs="Arial"/>
          <w:lang w:val="mn-MN" w:bidi="mn-Mong-CN"/>
        </w:rPr>
      </w:pPr>
      <w:r w:rsidRPr="00C050B7">
        <w:rPr>
          <w:rStyle w:val="FootnoteReference"/>
          <w:rFonts w:ascii="Arial" w:hAnsi="Arial" w:cs="Arial"/>
        </w:rPr>
        <w:footnoteRef/>
      </w:r>
      <w:r w:rsidRPr="00C050B7">
        <w:rPr>
          <w:rFonts w:ascii="Arial" w:hAnsi="Arial" w:cs="Arial"/>
        </w:rPr>
        <w:t xml:space="preserve"> </w:t>
      </w:r>
      <w:r w:rsidRPr="00C050B7">
        <w:rPr>
          <w:rFonts w:ascii="Arial" w:hAnsi="Arial" w:cs="Arial"/>
          <w:szCs w:val="30"/>
          <w:lang w:val="mn-MN" w:bidi="mn-Mong-CN"/>
        </w:rPr>
        <w:t xml:space="preserve">Personal Status Litigation Act </w:t>
      </w:r>
      <w:r w:rsidRPr="00C050B7">
        <w:rPr>
          <w:rFonts w:ascii="Arial" w:hAnsi="Arial" w:cs="Arial"/>
          <w:szCs w:val="30"/>
          <w:lang w:bidi="mn-Mong-CN"/>
        </w:rPr>
        <w:t xml:space="preserve">Japan 2003, 2 </w:t>
      </w:r>
      <w:r w:rsidRPr="00C050B7">
        <w:rPr>
          <w:rFonts w:ascii="Arial" w:hAnsi="Arial" w:cs="Arial"/>
          <w:szCs w:val="30"/>
          <w:lang w:val="mn-MN" w:bidi="mn-Mong-CN"/>
        </w:rPr>
        <w:t xml:space="preserve">дугаар зүйл. Family Litigation Act 2007, 2 дугаар зүйл.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3683D"/>
    <w:multiLevelType w:val="hybridMultilevel"/>
    <w:tmpl w:val="921483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53233F1"/>
    <w:multiLevelType w:val="hybridMultilevel"/>
    <w:tmpl w:val="E8E4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C61EAD"/>
    <w:multiLevelType w:val="hybridMultilevel"/>
    <w:tmpl w:val="039CDC2A"/>
    <w:lvl w:ilvl="0" w:tplc="1E32A8D0">
      <w:start w:val="1"/>
      <w:numFmt w:val="bullet"/>
      <w:lvlText w:val="−"/>
      <w:lvlJc w:val="left"/>
      <w:pPr>
        <w:ind w:left="1146" w:hanging="360"/>
      </w:pPr>
      <w:rPr>
        <w:rFonts w:ascii="Calibri" w:hAnsi="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658418933">
    <w:abstractNumId w:val="1"/>
  </w:num>
  <w:num w:numId="2" w16cid:durableId="289678297">
    <w:abstractNumId w:val="2"/>
  </w:num>
  <w:num w:numId="3" w16cid:durableId="67896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89"/>
    <w:rsid w:val="000C0844"/>
    <w:rsid w:val="00157517"/>
    <w:rsid w:val="00172822"/>
    <w:rsid w:val="00283819"/>
    <w:rsid w:val="002B43CC"/>
    <w:rsid w:val="003A4C03"/>
    <w:rsid w:val="003D2460"/>
    <w:rsid w:val="004067EF"/>
    <w:rsid w:val="00421898"/>
    <w:rsid w:val="004D71CE"/>
    <w:rsid w:val="004E7B01"/>
    <w:rsid w:val="0053360F"/>
    <w:rsid w:val="00697A4B"/>
    <w:rsid w:val="006B64DA"/>
    <w:rsid w:val="007A5FC7"/>
    <w:rsid w:val="007F3A44"/>
    <w:rsid w:val="008C5822"/>
    <w:rsid w:val="0096414B"/>
    <w:rsid w:val="00A673EF"/>
    <w:rsid w:val="00A84C9A"/>
    <w:rsid w:val="00BB169E"/>
    <w:rsid w:val="00C1507B"/>
    <w:rsid w:val="00C26315"/>
    <w:rsid w:val="00C32BFF"/>
    <w:rsid w:val="00CB0089"/>
    <w:rsid w:val="00CC6447"/>
    <w:rsid w:val="00CE02C7"/>
    <w:rsid w:val="00CF7FB1"/>
    <w:rsid w:val="00D207BB"/>
    <w:rsid w:val="00D7666D"/>
    <w:rsid w:val="00DF26C6"/>
    <w:rsid w:val="00E8074F"/>
    <w:rsid w:val="00E828A6"/>
    <w:rsid w:val="00EB0280"/>
    <w:rsid w:val="00EB4D74"/>
    <w:rsid w:val="00F75320"/>
    <w:rsid w:val="00FC6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BE17"/>
  <w15:chartTrackingRefBased/>
  <w15:docId w15:val="{4FC355E8-DA89-4215-8240-C668EBC3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089"/>
    <w:pPr>
      <w:spacing w:after="200" w:line="276" w:lineRule="auto"/>
      <w:ind w:firstLine="0"/>
      <w:jc w:val="left"/>
    </w:pPr>
    <w:rPr>
      <w:rFonts w:ascii="Calibri" w:eastAsiaTheme="minorEastAsia" w:hAnsi="Calibri" w:cs="Calibri"/>
      <w:sz w:val="22"/>
      <w:lang w:val="mn-MN" w:eastAsia="ja-JP"/>
    </w:rPr>
  </w:style>
  <w:style w:type="paragraph" w:styleId="Heading1">
    <w:name w:val="heading 1"/>
    <w:basedOn w:val="Normal"/>
    <w:next w:val="Normal"/>
    <w:link w:val="Heading1Char"/>
    <w:uiPriority w:val="9"/>
    <w:qFormat/>
    <w:rsid w:val="00CB00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0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08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0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008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B008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008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008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008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0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0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08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0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B00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B00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00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00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00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00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089"/>
    <w:pPr>
      <w:numPr>
        <w:ilvl w:val="1"/>
      </w:numPr>
      <w:spacing w:after="160"/>
      <w:ind w:firstLine="73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0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00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0089"/>
    <w:rPr>
      <w:i/>
      <w:iCs/>
      <w:color w:val="404040" w:themeColor="text1" w:themeTint="BF"/>
    </w:rPr>
  </w:style>
  <w:style w:type="paragraph" w:styleId="ListParagraph">
    <w:name w:val="List Paragraph"/>
    <w:aliases w:val="IBL List Paragraph,Дэд гарчиг,List Paragraph1,Bullets,AusAID List Paragraph,Paragraph,List Paragraph Num,List Paragraph2,Recommendation,List Paragraph11,Bulleted List Paragraph,List Paragraph (numbered (a)),References,List_Paragraph,3"/>
    <w:basedOn w:val="Normal"/>
    <w:link w:val="ListParagraphChar"/>
    <w:uiPriority w:val="34"/>
    <w:qFormat/>
    <w:rsid w:val="00CB0089"/>
    <w:pPr>
      <w:ind w:left="720"/>
      <w:contextualSpacing/>
    </w:pPr>
  </w:style>
  <w:style w:type="character" w:styleId="IntenseEmphasis">
    <w:name w:val="Intense Emphasis"/>
    <w:basedOn w:val="DefaultParagraphFont"/>
    <w:uiPriority w:val="21"/>
    <w:qFormat/>
    <w:rsid w:val="00CB0089"/>
    <w:rPr>
      <w:i/>
      <w:iCs/>
      <w:color w:val="2F5496" w:themeColor="accent1" w:themeShade="BF"/>
    </w:rPr>
  </w:style>
  <w:style w:type="paragraph" w:styleId="IntenseQuote">
    <w:name w:val="Intense Quote"/>
    <w:basedOn w:val="Normal"/>
    <w:next w:val="Normal"/>
    <w:link w:val="IntenseQuoteChar"/>
    <w:uiPriority w:val="30"/>
    <w:qFormat/>
    <w:rsid w:val="00CB0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089"/>
    <w:rPr>
      <w:i/>
      <w:iCs/>
      <w:color w:val="2F5496" w:themeColor="accent1" w:themeShade="BF"/>
    </w:rPr>
  </w:style>
  <w:style w:type="character" w:styleId="IntenseReference">
    <w:name w:val="Intense Reference"/>
    <w:basedOn w:val="DefaultParagraphFont"/>
    <w:uiPriority w:val="32"/>
    <w:qFormat/>
    <w:rsid w:val="00CB0089"/>
    <w:rPr>
      <w:b/>
      <w:bCs/>
      <w:smallCaps/>
      <w:color w:val="2F5496" w:themeColor="accent1" w:themeShade="BF"/>
      <w:spacing w:val="5"/>
    </w:rPr>
  </w:style>
  <w:style w:type="paragraph" w:styleId="NormalWeb">
    <w:name w:val="Normal (Web)"/>
    <w:basedOn w:val="Normal"/>
    <w:link w:val="NormalWebChar"/>
    <w:uiPriority w:val="99"/>
    <w:unhideWhenUsed/>
    <w:qFormat/>
    <w:rsid w:val="00CB00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WebChar">
    <w:name w:val="Normal (Web) Char"/>
    <w:link w:val="NormalWeb"/>
    <w:uiPriority w:val="99"/>
    <w:locked/>
    <w:rsid w:val="00CB0089"/>
    <w:rPr>
      <w:rFonts w:eastAsia="Times New Roman" w:cs="Times New Roman"/>
      <w:szCs w:val="24"/>
    </w:rPr>
  </w:style>
  <w:style w:type="paragraph" w:styleId="Footer">
    <w:name w:val="footer"/>
    <w:basedOn w:val="Normal"/>
    <w:link w:val="FooterChar"/>
    <w:uiPriority w:val="99"/>
    <w:unhideWhenUsed/>
    <w:rsid w:val="00CB0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089"/>
    <w:rPr>
      <w:rFonts w:ascii="Calibri" w:eastAsiaTheme="minorEastAsia" w:hAnsi="Calibri" w:cs="Calibri"/>
      <w:sz w:val="22"/>
      <w:lang w:val="mn-MN" w:eastAsia="ja-JP"/>
    </w:rPr>
  </w:style>
  <w:style w:type="paragraph" w:customStyle="1" w:styleId="footnotedescription">
    <w:name w:val="footnote description"/>
    <w:next w:val="Normal"/>
    <w:link w:val="footnotedescriptionChar"/>
    <w:hidden/>
    <w:rsid w:val="006B64DA"/>
    <w:pPr>
      <w:spacing w:line="259" w:lineRule="auto"/>
      <w:ind w:firstLine="0"/>
      <w:jc w:val="left"/>
    </w:pPr>
    <w:rPr>
      <w:rFonts w:ascii="Arial" w:eastAsia="Arial" w:hAnsi="Arial" w:cs="Arial"/>
      <w:color w:val="000000"/>
      <w:kern w:val="2"/>
      <w:sz w:val="20"/>
      <w:szCs w:val="24"/>
      <w:lang w:eastAsia="zh-CN"/>
      <w14:ligatures w14:val="standardContextual"/>
    </w:rPr>
  </w:style>
  <w:style w:type="character" w:customStyle="1" w:styleId="footnotedescriptionChar">
    <w:name w:val="footnote description Char"/>
    <w:link w:val="footnotedescription"/>
    <w:rsid w:val="006B64DA"/>
    <w:rPr>
      <w:rFonts w:ascii="Arial" w:eastAsia="Arial" w:hAnsi="Arial" w:cs="Arial"/>
      <w:color w:val="000000"/>
      <w:kern w:val="2"/>
      <w:sz w:val="20"/>
      <w:szCs w:val="24"/>
      <w:lang w:eastAsia="zh-CN"/>
      <w14:ligatures w14:val="standardContextual"/>
    </w:rPr>
  </w:style>
  <w:style w:type="character" w:customStyle="1" w:styleId="footnotemark">
    <w:name w:val="footnote mark"/>
    <w:hidden/>
    <w:rsid w:val="006B64DA"/>
    <w:rPr>
      <w:rFonts w:ascii="Arial" w:eastAsia="Arial" w:hAnsi="Arial" w:cs="Arial"/>
      <w:color w:val="000000"/>
      <w:sz w:val="20"/>
      <w:vertAlign w:val="superscript"/>
    </w:rPr>
  </w:style>
  <w:style w:type="paragraph" w:styleId="FootnoteText">
    <w:name w:val="footnote text"/>
    <w:basedOn w:val="Normal"/>
    <w:link w:val="FootnoteTextChar"/>
    <w:uiPriority w:val="99"/>
    <w:unhideWhenUsed/>
    <w:rsid w:val="00CE02C7"/>
    <w:pPr>
      <w:spacing w:after="0" w:line="240" w:lineRule="auto"/>
    </w:pPr>
    <w:rPr>
      <w:rFonts w:ascii="Times New Roman" w:eastAsiaTheme="minorHAnsi" w:hAnsi="Times New Roman" w:cstheme="minorBidi"/>
      <w:sz w:val="20"/>
      <w:szCs w:val="20"/>
      <w:lang w:val="en-US" w:eastAsia="en-US"/>
    </w:rPr>
  </w:style>
  <w:style w:type="character" w:customStyle="1" w:styleId="FootnoteTextChar">
    <w:name w:val="Footnote Text Char"/>
    <w:basedOn w:val="DefaultParagraphFont"/>
    <w:link w:val="FootnoteText"/>
    <w:uiPriority w:val="99"/>
    <w:rsid w:val="00CE02C7"/>
    <w:rPr>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
    <w:basedOn w:val="DefaultParagraphFont"/>
    <w:uiPriority w:val="99"/>
    <w:unhideWhenUsed/>
    <w:rsid w:val="00CE02C7"/>
    <w:rPr>
      <w:vertAlign w:val="superscript"/>
    </w:rPr>
  </w:style>
  <w:style w:type="character" w:styleId="Hyperlink">
    <w:name w:val="Hyperlink"/>
    <w:basedOn w:val="DefaultParagraphFont"/>
    <w:uiPriority w:val="99"/>
    <w:unhideWhenUsed/>
    <w:rsid w:val="00CE02C7"/>
    <w:rPr>
      <w:color w:val="0563C1" w:themeColor="hyperlink"/>
      <w:u w:val="single"/>
    </w:rPr>
  </w:style>
  <w:style w:type="character" w:customStyle="1" w:styleId="ListParagraphChar">
    <w:name w:val="List Paragraph Char"/>
    <w:aliases w:val="IBL List Paragraph Char,Дэд гарчиг Char,List Paragraph1 Char,Bullets Char,AusAID List Paragraph Char,Paragraph Char,List Paragraph Num Char,List Paragraph2 Char,Recommendation Char,List Paragraph11 Char,Bulleted List Paragraph Char"/>
    <w:link w:val="ListParagraph"/>
    <w:uiPriority w:val="34"/>
    <w:qFormat/>
    <w:locked/>
    <w:rsid w:val="00CE02C7"/>
    <w:rPr>
      <w:rFonts w:ascii="Calibri" w:eastAsiaTheme="minorEastAsia" w:hAnsi="Calibri" w:cs="Calibri"/>
      <w:sz w:val="22"/>
      <w:lang w:val="mn-MN" w:eastAsia="ja-JP"/>
    </w:rPr>
  </w:style>
  <w:style w:type="paragraph" w:customStyle="1" w:styleId="BodyText1">
    <w:name w:val="Body Text1"/>
    <w:basedOn w:val="Normal"/>
    <w:rsid w:val="00697A4B"/>
    <w:pPr>
      <w:widowControl w:val="0"/>
      <w:shd w:val="clear" w:color="auto" w:fill="FFFFFF"/>
      <w:spacing w:before="360" w:after="0" w:line="326" w:lineRule="exact"/>
      <w:jc w:val="both"/>
    </w:pPr>
    <w:rPr>
      <w:rFonts w:ascii="Times New Roman" w:eastAsia="Times New Roman" w:hAnsi="Times New Roman" w:cs="Times New Roman"/>
      <w:spacing w:val="6"/>
      <w:kern w:val="2"/>
      <w:sz w:val="17"/>
      <w:szCs w:val="17"/>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egalinfo.mn/mn/detail?lawId=17140721217671" TargetMode="External"/><Relationship Id="rId1" Type="http://schemas.openxmlformats.org/officeDocument/2006/relationships/hyperlink" Target="https://legalinfo.mn/mn/detail?lawId=17140721145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Oyunzul O</cp:lastModifiedBy>
  <cp:revision>7</cp:revision>
  <dcterms:created xsi:type="dcterms:W3CDTF">2025-05-12T10:03:00Z</dcterms:created>
  <dcterms:modified xsi:type="dcterms:W3CDTF">2025-11-06T08:58:00Z</dcterms:modified>
</cp:coreProperties>
</file>