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3705" w14:textId="6308C06D" w:rsidR="001044E0" w:rsidRPr="002C0B8A" w:rsidRDefault="002C0B8A" w:rsidP="004B69ED">
      <w:pPr>
        <w:spacing w:after="0" w:line="240" w:lineRule="auto"/>
        <w:ind w:firstLine="720"/>
        <w:jc w:val="center"/>
        <w:rPr>
          <w:rFonts w:ascii="Arial" w:eastAsia="Times New Roman" w:hAnsi="Arial" w:cs="Arial"/>
          <w:b/>
          <w:bCs/>
          <w:kern w:val="0"/>
          <w:lang w:val="mn-MN"/>
          <w14:ligatures w14:val="none"/>
        </w:rPr>
      </w:pPr>
      <w:r>
        <w:rPr>
          <w:rFonts w:ascii="Arial" w:eastAsia="Times New Roman" w:hAnsi="Arial" w:cs="Arial"/>
          <w:b/>
          <w:bCs/>
          <w:kern w:val="0"/>
          <w:lang w:val="mn-MN"/>
          <w14:ligatures w14:val="none"/>
        </w:rPr>
        <w:t xml:space="preserve">ТОВЧ </w:t>
      </w:r>
      <w:r w:rsidR="001044E0" w:rsidRPr="002C0B8A">
        <w:rPr>
          <w:rFonts w:ascii="Arial" w:eastAsia="Times New Roman" w:hAnsi="Arial" w:cs="Arial"/>
          <w:b/>
          <w:bCs/>
          <w:kern w:val="0"/>
          <w:lang w:val="mn-MN"/>
          <w14:ligatures w14:val="none"/>
        </w:rPr>
        <w:t>ТАНИЛЦУУЛГА</w:t>
      </w:r>
    </w:p>
    <w:p w14:paraId="4E56752F" w14:textId="77777777" w:rsidR="001044E0" w:rsidRPr="002C0B8A" w:rsidRDefault="001044E0" w:rsidP="004B69ED">
      <w:pPr>
        <w:spacing w:after="0" w:line="240" w:lineRule="auto"/>
        <w:ind w:firstLine="720"/>
        <w:jc w:val="center"/>
        <w:rPr>
          <w:rFonts w:ascii="Arial" w:eastAsia="Times New Roman" w:hAnsi="Arial" w:cs="Arial"/>
          <w:b/>
          <w:bCs/>
          <w:kern w:val="0"/>
          <w:lang w:val="mn-MN"/>
          <w14:ligatures w14:val="none"/>
        </w:rPr>
      </w:pPr>
    </w:p>
    <w:p w14:paraId="65DA7905" w14:textId="77777777" w:rsidR="001044E0" w:rsidRPr="002C0B8A" w:rsidRDefault="001044E0" w:rsidP="004B69ED">
      <w:pPr>
        <w:spacing w:after="0" w:line="240" w:lineRule="auto"/>
        <w:ind w:firstLine="720"/>
        <w:jc w:val="right"/>
        <w:rPr>
          <w:rFonts w:ascii="Arial" w:eastAsia="Times New Roman" w:hAnsi="Arial" w:cs="Arial"/>
          <w:bCs/>
          <w:kern w:val="0"/>
          <w:lang w:val="mn-MN"/>
          <w14:ligatures w14:val="none"/>
        </w:rPr>
      </w:pPr>
      <w:r w:rsidRPr="002C0B8A">
        <w:rPr>
          <w:rFonts w:ascii="Arial" w:eastAsia="Times New Roman" w:hAnsi="Arial" w:cs="Arial"/>
          <w:bCs/>
          <w:kern w:val="0"/>
          <w:lang w:val="mn-MN"/>
          <w14:ligatures w14:val="none"/>
        </w:rPr>
        <w:t xml:space="preserve">Стратегийн ач холбогдол бүхий бүтээгдэхүүний хангамж, </w:t>
      </w:r>
    </w:p>
    <w:p w14:paraId="18B5A105" w14:textId="77777777" w:rsidR="004B69ED" w:rsidRDefault="001044E0" w:rsidP="004B69ED">
      <w:pPr>
        <w:spacing w:after="0" w:line="240" w:lineRule="auto"/>
        <w:ind w:firstLine="720"/>
        <w:jc w:val="right"/>
        <w:rPr>
          <w:rFonts w:ascii="Arial" w:eastAsia="Yu Gothic Light" w:hAnsi="Arial" w:cs="Arial"/>
          <w:noProof/>
          <w:kern w:val="0"/>
          <w:lang w:val="mn-MN"/>
          <w14:ligatures w14:val="none"/>
        </w:rPr>
      </w:pPr>
      <w:r w:rsidRPr="002C0B8A">
        <w:rPr>
          <w:rFonts w:ascii="Arial" w:eastAsia="Times New Roman" w:hAnsi="Arial" w:cs="Arial"/>
          <w:bCs/>
          <w:kern w:val="0"/>
          <w:lang w:val="mn-MN"/>
          <w14:ligatures w14:val="none"/>
        </w:rPr>
        <w:t xml:space="preserve">нийлүүлэлтийг дэмжих тухай </w:t>
      </w:r>
      <w:r w:rsidRPr="002C0B8A">
        <w:rPr>
          <w:rFonts w:ascii="Arial" w:eastAsia="Yu Gothic Light" w:hAnsi="Arial" w:cs="Arial"/>
          <w:noProof/>
          <w:kern w:val="0"/>
          <w:lang w:val="mn-MN"/>
          <w14:ligatures w14:val="none"/>
        </w:rPr>
        <w:t>хуулийн төсөл</w:t>
      </w:r>
    </w:p>
    <w:p w14:paraId="096192B5" w14:textId="14C9B1C5" w:rsidR="001044E0" w:rsidRPr="002C0B8A" w:rsidRDefault="001044E0" w:rsidP="004B69ED">
      <w:pPr>
        <w:spacing w:after="0" w:line="240" w:lineRule="auto"/>
        <w:ind w:firstLine="720"/>
        <w:jc w:val="right"/>
        <w:rPr>
          <w:rFonts w:ascii="Arial" w:eastAsia="Times New Roman" w:hAnsi="Arial" w:cs="Arial"/>
          <w:kern w:val="0"/>
          <w:lang w:val="mn-MN"/>
          <w14:ligatures w14:val="none"/>
        </w:rPr>
      </w:pPr>
      <w:r w:rsidRPr="002C0B8A">
        <w:rPr>
          <w:rFonts w:ascii="Arial" w:eastAsia="Yu Gothic Light" w:hAnsi="Arial" w:cs="Arial"/>
          <w:noProof/>
          <w:kern w:val="0"/>
          <w:lang w:val="mn-MN"/>
          <w14:ligatures w14:val="none"/>
        </w:rPr>
        <w:t xml:space="preserve"> </w:t>
      </w:r>
    </w:p>
    <w:p w14:paraId="6D09326C" w14:textId="6396F13D" w:rsidR="00181266" w:rsidRPr="002C0B8A" w:rsidRDefault="00181266" w:rsidP="004B69ED">
      <w:pPr>
        <w:spacing w:after="0" w:line="240" w:lineRule="auto"/>
        <w:ind w:firstLine="720"/>
        <w:jc w:val="both"/>
        <w:rPr>
          <w:rFonts w:ascii="Arial" w:eastAsia="Calibri" w:hAnsi="Arial"/>
          <w:b/>
          <w:szCs w:val="30"/>
          <w:lang w:val="mn-MN" w:bidi="mn-Mong-MN"/>
          <w14:ligatures w14:val="none"/>
        </w:rPr>
      </w:pPr>
      <w:r w:rsidRPr="002C0B8A">
        <w:rPr>
          <w:rFonts w:ascii="Arial" w:eastAsia="Calibri" w:hAnsi="Arial" w:cs="Arial"/>
          <w:bCs/>
          <w:lang w:val="mn-MN"/>
          <w14:ligatures w14:val="none"/>
        </w:rPr>
        <w:t>Энэ хуулийн төсөл нь олон улсын худалдааны нөхцөл байдал, гадаад хүчин зүйлээс сэргийлэх, стратегийн ач холбогдол бүхий бүтээгдэхүүний хангамж, нийлүүлэлтийг дэмжих</w:t>
      </w:r>
      <w:r w:rsidR="00731C57" w:rsidRPr="002C0B8A">
        <w:rPr>
          <w:rFonts w:ascii="Arial" w:eastAsia="Calibri" w:hAnsi="Arial" w:cs="Arial"/>
          <w:bCs/>
          <w:lang w:val="mn-MN"/>
          <w14:ligatures w14:val="none"/>
        </w:rPr>
        <w:t>,</w:t>
      </w:r>
      <w:r w:rsidRPr="002C0B8A">
        <w:rPr>
          <w:rFonts w:ascii="Arial" w:eastAsia="Calibri" w:hAnsi="Arial" w:cs="Arial"/>
          <w:bCs/>
          <w:lang w:val="mn-MN"/>
          <w14:ligatures w14:val="none"/>
        </w:rPr>
        <w:t xml:space="preserve"> учирч болзошгүй эрсдэлийг бууруулах, даван туулах арга хэмжээг тодорхойлох, холбогдох шийдвэрийг шуурхай гаргах нөхцөлийг бүрдүүлэх зорилготой.</w:t>
      </w:r>
    </w:p>
    <w:p w14:paraId="4B53C370" w14:textId="77777777" w:rsidR="004B69ED" w:rsidRDefault="004B69ED" w:rsidP="004B69ED">
      <w:pPr>
        <w:spacing w:after="0" w:line="240" w:lineRule="auto"/>
        <w:ind w:firstLine="720"/>
        <w:jc w:val="both"/>
        <w:rPr>
          <w:rFonts w:ascii="Arial" w:eastAsia="Calibri" w:hAnsi="Arial" w:cs="Arial"/>
          <w:bCs/>
          <w:lang w:val="mn-MN"/>
          <w14:ligatures w14:val="none"/>
        </w:rPr>
      </w:pPr>
    </w:p>
    <w:p w14:paraId="14E05A90" w14:textId="37379797" w:rsidR="00181266" w:rsidRPr="002C0B8A" w:rsidRDefault="00181266" w:rsidP="004B69ED">
      <w:pPr>
        <w:spacing w:after="0" w:line="240" w:lineRule="auto"/>
        <w:ind w:firstLine="720"/>
        <w:jc w:val="both"/>
        <w:rPr>
          <w:rFonts w:ascii="Arial" w:eastAsia="Calibri" w:hAnsi="Arial" w:cs="Arial"/>
          <w:b/>
          <w:lang w:val="mn-MN"/>
          <w14:ligatures w14:val="none"/>
        </w:rPr>
      </w:pPr>
      <w:r w:rsidRPr="002C0B8A">
        <w:rPr>
          <w:rFonts w:ascii="Arial" w:eastAsia="Calibri" w:hAnsi="Arial" w:cs="Arial"/>
          <w:bCs/>
          <w:lang w:val="mn-MN"/>
          <w14:ligatures w14:val="none"/>
        </w:rPr>
        <w:t>Нэгдүгээр бүлэгт нийтлэг үндэслэл буюу хуулийн зорилт, холбогдох хууль тогтоомж, хуулийн үйлчлэх хүрээ, хуулийн зарчмын талаар тусгах бөгөөд эдгээр зохицуулалтын гол зорилго нь стратегийн ач холбогдол бүхий бүтээгдэхүүний хангамж, нийлүүлэлтийг дэмжихэд чиглэнэ</w:t>
      </w:r>
      <w:r w:rsidR="00131AED">
        <w:rPr>
          <w:rFonts w:ascii="Arial" w:eastAsia="Calibri" w:hAnsi="Arial" w:cs="Arial"/>
          <w:bCs/>
          <w:lang w:val="mn-MN"/>
          <w14:ligatures w14:val="none"/>
        </w:rPr>
        <w:t>.</w:t>
      </w:r>
    </w:p>
    <w:p w14:paraId="55414F7B" w14:textId="77777777" w:rsidR="004B69ED" w:rsidRDefault="004B69ED" w:rsidP="004B69ED">
      <w:pPr>
        <w:spacing w:after="0" w:line="240" w:lineRule="auto"/>
        <w:ind w:firstLine="720"/>
        <w:jc w:val="both"/>
        <w:rPr>
          <w:rFonts w:ascii="Arial" w:eastAsia="Calibri" w:hAnsi="Arial" w:cs="Arial"/>
          <w:bCs/>
          <w:lang w:val="mn-MN"/>
          <w14:ligatures w14:val="none"/>
        </w:rPr>
      </w:pPr>
    </w:p>
    <w:p w14:paraId="7DFF0D91" w14:textId="677D8417" w:rsidR="00181266" w:rsidRPr="002C0B8A" w:rsidRDefault="00181266" w:rsidP="004B69ED">
      <w:pPr>
        <w:spacing w:after="0" w:line="240" w:lineRule="auto"/>
        <w:ind w:firstLine="720"/>
        <w:jc w:val="both"/>
        <w:rPr>
          <w:rFonts w:ascii="Arial" w:eastAsia="Calibri" w:hAnsi="Arial" w:cs="Arial"/>
          <w:bCs/>
          <w:lang w:val="mn-MN"/>
          <w14:ligatures w14:val="none"/>
        </w:rPr>
      </w:pPr>
      <w:r w:rsidRPr="002C0B8A">
        <w:rPr>
          <w:rFonts w:ascii="Arial" w:eastAsia="Calibri" w:hAnsi="Arial" w:cs="Arial"/>
          <w:bCs/>
          <w:lang w:val="mn-MN"/>
          <w14:ligatures w14:val="none"/>
        </w:rPr>
        <w:t xml:space="preserve">Хоёрдугаар бүлэгт </w:t>
      </w:r>
      <w:bookmarkStart w:id="0" w:name="_Hlk213093773"/>
      <w:r w:rsidRPr="002C0B8A">
        <w:rPr>
          <w:rFonts w:ascii="Arial" w:eastAsia="Calibri" w:hAnsi="Arial" w:cs="Arial"/>
          <w:bCs/>
          <w:lang w:val="mn-MN"/>
          <w14:ligatures w14:val="none"/>
        </w:rPr>
        <w:t>Газрын тосны бүтээгдэхүүний тухай хуульд тусгагдаагүй төрийн байгууллагуудын авч хэрэгжүүлэх онцлог зохицуулалтыг тусгана</w:t>
      </w:r>
      <w:bookmarkEnd w:id="0"/>
      <w:r w:rsidRPr="002C0B8A">
        <w:rPr>
          <w:rFonts w:ascii="Arial" w:eastAsia="Calibri" w:hAnsi="Arial" w:cs="Arial"/>
          <w:bCs/>
          <w:lang w:val="mn-MN"/>
          <w14:ligatures w14:val="none"/>
        </w:rPr>
        <w:t>.</w:t>
      </w:r>
    </w:p>
    <w:p w14:paraId="31DF3FD4" w14:textId="77777777" w:rsidR="004B69ED" w:rsidRDefault="004B69ED" w:rsidP="004B69ED">
      <w:pPr>
        <w:spacing w:after="0" w:line="240" w:lineRule="auto"/>
        <w:ind w:firstLine="720"/>
        <w:jc w:val="both"/>
        <w:rPr>
          <w:rFonts w:ascii="Arial" w:eastAsia="Calibri" w:hAnsi="Arial" w:cs="Arial"/>
          <w:bCs/>
          <w:lang w:val="mn-MN"/>
          <w14:ligatures w14:val="none"/>
        </w:rPr>
      </w:pPr>
    </w:p>
    <w:p w14:paraId="3CB869EA" w14:textId="513336A8" w:rsidR="00181266" w:rsidRPr="002C0B8A" w:rsidRDefault="00181266" w:rsidP="004B69ED">
      <w:pPr>
        <w:spacing w:after="0" w:line="240" w:lineRule="auto"/>
        <w:ind w:firstLine="720"/>
        <w:jc w:val="both"/>
        <w:rPr>
          <w:rFonts w:ascii="Arial" w:eastAsia="Times New Roman" w:hAnsi="Arial"/>
          <w:bCs/>
          <w:kern w:val="0"/>
          <w:szCs w:val="30"/>
          <w:shd w:val="clear" w:color="auto" w:fill="FFFFFF"/>
          <w:lang w:val="mn-MN" w:bidi="mn-Mong-MN"/>
          <w14:ligatures w14:val="none"/>
        </w:rPr>
      </w:pPr>
      <w:r w:rsidRPr="002C0B8A">
        <w:rPr>
          <w:rFonts w:ascii="Arial" w:eastAsia="Calibri" w:hAnsi="Arial" w:cs="Arial"/>
          <w:bCs/>
          <w:lang w:val="mn-MN"/>
          <w14:ligatures w14:val="none"/>
        </w:rPr>
        <w:t xml:space="preserve">Тухайлбал, </w:t>
      </w:r>
      <w:r w:rsidRPr="002C0B8A">
        <w:rPr>
          <w:rFonts w:ascii="Arial" w:eastAsia="Times New Roman" w:hAnsi="Arial" w:cs="Times New Roman"/>
          <w:bCs/>
          <w:kern w:val="0"/>
          <w:shd w:val="clear" w:color="auto" w:fill="FFFFFF"/>
          <w:lang w:val="mn-MN"/>
          <w14:ligatures w14:val="none"/>
        </w:rPr>
        <w:t xml:space="preserve">Засгийн газар </w:t>
      </w:r>
      <w:r w:rsidRPr="002C0B8A">
        <w:rPr>
          <w:rFonts w:ascii="Arial" w:eastAsia="Times New Roman" w:hAnsi="Arial" w:cs="Arial"/>
          <w:kern w:val="0"/>
          <w:lang w:val="mn-MN"/>
          <w14:ligatures w14:val="none"/>
        </w:rPr>
        <w:t>стратегийн ач холбогдол бүхий бүтээгдэхүүний</w:t>
      </w:r>
      <w:r w:rsidRPr="002C0B8A">
        <w:rPr>
          <w:rFonts w:ascii="Arial" w:eastAsia="Times New Roman" w:hAnsi="Arial" w:cs="Times New Roman"/>
          <w:bCs/>
          <w:kern w:val="0"/>
          <w:shd w:val="clear" w:color="auto" w:fill="FFFFFF"/>
          <w:lang w:val="mn-MN"/>
          <w14:ligatures w14:val="none"/>
        </w:rPr>
        <w:t xml:space="preserve"> нийлүүлэлтийн хэмжээг нийлүүлэгч талаас 50 болон түүнээс дээш хувиар бууруулсан тохиолдолд дотоодод шатахууны нийлүүлэлтэд хомсдол, тасалдал үүсэх нөхцөл бүрдсэн гэж үзэж нийлүүлэлтийн эх үүсвэрийг нэмэгдүүлэх талаар холбогдох арга хэмжээг авах бөгөөд улмаар шуурхай штаб байгуулж, импортлогч аж ахуйн нэгжүүдийн бөөний агуулахад хяналт тавих, импортын шатахууныг хуваарилах, жижиглэнгээр түгээх, борлуулах хэмжээг тогтоох ажлыг шуурхай зохион байгуул</w:t>
      </w:r>
      <w:r w:rsidR="00131AED">
        <w:rPr>
          <w:rFonts w:ascii="Arial" w:eastAsia="Times New Roman" w:hAnsi="Arial" w:cs="Times New Roman"/>
          <w:bCs/>
          <w:kern w:val="0"/>
          <w:shd w:val="clear" w:color="auto" w:fill="FFFFFF"/>
          <w:lang w:val="mn-MN"/>
          <w14:ligatures w14:val="none"/>
        </w:rPr>
        <w:t>н</w:t>
      </w:r>
      <w:r w:rsidRPr="002C0B8A">
        <w:rPr>
          <w:rFonts w:ascii="Arial" w:eastAsia="Times New Roman" w:hAnsi="Arial" w:cs="Times New Roman"/>
          <w:bCs/>
          <w:kern w:val="0"/>
          <w:shd w:val="clear" w:color="auto" w:fill="FFFFFF"/>
          <w:lang w:val="mn-MN"/>
          <w14:ligatures w14:val="none"/>
        </w:rPr>
        <w:t>а</w:t>
      </w:r>
      <w:r w:rsidR="00131AED">
        <w:rPr>
          <w:rFonts w:ascii="Arial" w:eastAsia="Times New Roman" w:hAnsi="Arial" w:cs="Times New Roman"/>
          <w:bCs/>
          <w:kern w:val="0"/>
          <w:shd w:val="clear" w:color="auto" w:fill="FFFFFF"/>
          <w:lang w:val="mn-MN"/>
          <w14:ligatures w14:val="none"/>
        </w:rPr>
        <w:t>.</w:t>
      </w:r>
    </w:p>
    <w:p w14:paraId="12D974CC" w14:textId="77777777" w:rsidR="004B69ED" w:rsidRDefault="004B69ED" w:rsidP="004B69ED">
      <w:pPr>
        <w:spacing w:after="0" w:line="240" w:lineRule="auto"/>
        <w:ind w:firstLine="720"/>
        <w:jc w:val="both"/>
        <w:rPr>
          <w:rFonts w:ascii="Arial" w:eastAsia="Times New Roman" w:hAnsi="Arial" w:cs="Times New Roman"/>
          <w:bCs/>
          <w:kern w:val="0"/>
          <w:shd w:val="clear" w:color="auto" w:fill="FFFFFF"/>
          <w:lang w:val="mn-MN"/>
          <w14:ligatures w14:val="none"/>
        </w:rPr>
      </w:pPr>
    </w:p>
    <w:p w14:paraId="09C401C4" w14:textId="15400342" w:rsidR="00181266" w:rsidRPr="002C0B8A" w:rsidRDefault="00181266" w:rsidP="004B69ED">
      <w:pPr>
        <w:spacing w:after="0" w:line="240" w:lineRule="auto"/>
        <w:ind w:firstLine="720"/>
        <w:jc w:val="both"/>
        <w:rPr>
          <w:rFonts w:ascii="Arial" w:eastAsiaTheme="minorEastAsia" w:hAnsi="Arial" w:cs="Times New Roman"/>
          <w:bCs/>
          <w:kern w:val="0"/>
          <w:shd w:val="clear" w:color="auto" w:fill="FFFFFF"/>
          <w:lang w:val="mn-MN" w:eastAsia="zh-CN"/>
          <w14:ligatures w14:val="none"/>
        </w:rPr>
      </w:pPr>
      <w:r w:rsidRPr="002C0B8A">
        <w:rPr>
          <w:rFonts w:ascii="Arial" w:eastAsia="Times New Roman" w:hAnsi="Arial" w:cs="Times New Roman"/>
          <w:bCs/>
          <w:kern w:val="0"/>
          <w:shd w:val="clear" w:color="auto" w:fill="FFFFFF"/>
          <w:lang w:val="mn-MN"/>
          <w14:ligatures w14:val="none"/>
        </w:rPr>
        <w:t>Түүнчлэн, шаардлагатай тохиолдолд онцгой байдлын болон батлан хамгаалах салбарт хадгалагдаж байгаа нөөцийг гаргах</w:t>
      </w:r>
      <w:r w:rsidR="00131AED">
        <w:rPr>
          <w:rFonts w:ascii="Arial" w:eastAsia="Times New Roman" w:hAnsi="Arial" w:cs="Times New Roman"/>
          <w:bCs/>
          <w:kern w:val="0"/>
          <w:shd w:val="clear" w:color="auto" w:fill="FFFFFF"/>
          <w:lang w:val="mn-MN"/>
          <w14:ligatures w14:val="none"/>
        </w:rPr>
        <w:t xml:space="preserve"> юм.</w:t>
      </w:r>
    </w:p>
    <w:p w14:paraId="49DE0CA3" w14:textId="77777777" w:rsidR="004B69ED" w:rsidRDefault="004B69ED" w:rsidP="004B69ED">
      <w:pPr>
        <w:spacing w:after="0" w:line="240" w:lineRule="auto"/>
        <w:ind w:firstLine="720"/>
        <w:jc w:val="both"/>
        <w:rPr>
          <w:rFonts w:ascii="Arial" w:eastAsia="Times New Roman" w:hAnsi="Arial" w:cs="Times New Roman"/>
          <w:bCs/>
          <w:kern w:val="0"/>
          <w:shd w:val="clear" w:color="auto" w:fill="FFFFFF"/>
          <w:lang w:val="mn-MN"/>
          <w14:ligatures w14:val="none"/>
        </w:rPr>
      </w:pPr>
    </w:p>
    <w:p w14:paraId="3F8461D1" w14:textId="2863A8D3" w:rsidR="00181266" w:rsidRPr="002C0B8A" w:rsidRDefault="00181266" w:rsidP="004B69ED">
      <w:pPr>
        <w:spacing w:after="0" w:line="240" w:lineRule="auto"/>
        <w:ind w:firstLine="720"/>
        <w:jc w:val="both"/>
        <w:rPr>
          <w:rFonts w:ascii="Arial" w:eastAsiaTheme="minorEastAsia" w:hAnsi="Arial" w:cs="Times New Roman"/>
          <w:bCs/>
          <w:kern w:val="0"/>
          <w:shd w:val="clear" w:color="auto" w:fill="FFFFFF"/>
          <w:lang w:val="mn-MN" w:eastAsia="zh-CN"/>
          <w14:ligatures w14:val="none"/>
        </w:rPr>
      </w:pPr>
      <w:r w:rsidRPr="002C0B8A">
        <w:rPr>
          <w:rFonts w:ascii="Arial" w:eastAsia="Times New Roman" w:hAnsi="Arial" w:cs="Times New Roman"/>
          <w:bCs/>
          <w:kern w:val="0"/>
          <w:shd w:val="clear" w:color="auto" w:fill="FFFFFF"/>
          <w:lang w:val="mn-MN"/>
          <w14:ligatures w14:val="none"/>
        </w:rPr>
        <w:t xml:space="preserve">Зохион байгуулалтын шинжтэй дээрх зохицуулалтаас гадна Монголбанк </w:t>
      </w:r>
      <w:r w:rsidRPr="002C0B8A">
        <w:rPr>
          <w:rFonts w:ascii="Arial" w:eastAsia="Times New Roman" w:hAnsi="Arial" w:cs="Arial"/>
          <w:kern w:val="0"/>
          <w:lang w:val="mn-MN"/>
          <w14:ligatures w14:val="none"/>
        </w:rPr>
        <w:t xml:space="preserve">стратегийн ач холбогдол бүхий бүтээгдэхүүний хангамж, нийлүүлэлтийг дэмжих </w:t>
      </w:r>
      <w:r w:rsidRPr="002C0B8A">
        <w:rPr>
          <w:rFonts w:ascii="Arial" w:eastAsia="Times New Roman" w:hAnsi="Arial" w:cs="Arial"/>
          <w:bCs/>
          <w:kern w:val="0"/>
          <w:lang w:val="mn-MN"/>
          <w14:ligatures w14:val="none"/>
        </w:rPr>
        <w:t>зорилгоор аж ахуйн нэгжүүдэд эргэлтийн хөрөнгөд шаардагдах хөнгөлөлттэй санхүүжилтийг репо арилжааны нөхцөлөөр банканд олгох, мөн хадгалах агуулах, шилжүүлэн ачих байгууламж, дэд бүтцийг шинээр барих, өргөтгөхөд шаардагдах санхүүжилтийг хөнгөлөлттэй нөхцөлөөр олгох, эсхүл гадаад эх үүсвэрээр санхүүжүүлэх арга хэмжээ авах зэрэг зохицуулалтыг тусгана.</w:t>
      </w:r>
    </w:p>
    <w:p w14:paraId="63A772A0" w14:textId="77777777" w:rsidR="004B69ED" w:rsidRDefault="004B69ED" w:rsidP="004B69ED">
      <w:pPr>
        <w:spacing w:after="0" w:line="240" w:lineRule="auto"/>
        <w:ind w:firstLine="720"/>
        <w:jc w:val="both"/>
        <w:rPr>
          <w:rFonts w:ascii="Arial" w:eastAsia="Calibri" w:hAnsi="Arial" w:cs="Arial"/>
          <w:bCs/>
          <w:lang w:val="mn-MN"/>
          <w14:ligatures w14:val="none"/>
        </w:rPr>
      </w:pPr>
    </w:p>
    <w:p w14:paraId="54A96FCF" w14:textId="6697ABD2" w:rsidR="00181266" w:rsidRPr="002C0B8A" w:rsidRDefault="00181266" w:rsidP="004B69ED">
      <w:pPr>
        <w:spacing w:after="0" w:line="240" w:lineRule="auto"/>
        <w:ind w:firstLine="720"/>
        <w:jc w:val="both"/>
        <w:rPr>
          <w:rFonts w:ascii="Arial" w:eastAsia="Calibri" w:hAnsi="Arial" w:cs="Arial"/>
          <w:b/>
          <w:lang w:val="mn-MN"/>
          <w14:ligatures w14:val="none"/>
        </w:rPr>
      </w:pPr>
      <w:r w:rsidRPr="002C0B8A">
        <w:rPr>
          <w:rFonts w:ascii="Arial" w:eastAsia="Calibri" w:hAnsi="Arial" w:cs="Arial"/>
          <w:bCs/>
          <w:lang w:val="mn-MN"/>
          <w14:ligatures w14:val="none"/>
        </w:rPr>
        <w:t>Гуравдугаар бүлэгт хууль зөрчигчдөд хүлээлгэх хариуцлага, хуулийн үйлчлэх хугацааг тусгана.</w:t>
      </w:r>
    </w:p>
    <w:p w14:paraId="5CF10299" w14:textId="77777777" w:rsidR="004B69ED" w:rsidRDefault="004B69ED" w:rsidP="004B69ED">
      <w:pPr>
        <w:spacing w:after="0" w:line="240" w:lineRule="auto"/>
        <w:ind w:firstLine="720"/>
        <w:jc w:val="both"/>
        <w:rPr>
          <w:rFonts w:ascii="Arial" w:eastAsia="Times New Roman" w:hAnsi="Arial" w:cs="Arial"/>
          <w:iCs/>
          <w:color w:val="000000"/>
          <w:kern w:val="0"/>
          <w:lang w:val="mn-MN"/>
          <w14:ligatures w14:val="none"/>
        </w:rPr>
      </w:pPr>
    </w:p>
    <w:p w14:paraId="03332CB9" w14:textId="086534EA" w:rsidR="00181266" w:rsidRPr="002C0B8A" w:rsidRDefault="00181266" w:rsidP="004B69ED">
      <w:pPr>
        <w:spacing w:after="0" w:line="240" w:lineRule="auto"/>
        <w:ind w:firstLine="720"/>
        <w:jc w:val="both"/>
        <w:rPr>
          <w:rFonts w:ascii="Arial" w:eastAsia="Times New Roman" w:hAnsi="Arial" w:cs="Arial"/>
          <w:b/>
          <w:bCs/>
          <w:kern w:val="0"/>
          <w:lang w:val="mn-MN"/>
          <w14:ligatures w14:val="none"/>
        </w:rPr>
      </w:pPr>
      <w:r w:rsidRPr="002C0B8A">
        <w:rPr>
          <w:rFonts w:ascii="Arial" w:eastAsia="Times New Roman" w:hAnsi="Arial" w:cs="Arial"/>
          <w:iCs/>
          <w:color w:val="000000"/>
          <w:kern w:val="0"/>
          <w:lang w:val="mn-MN"/>
          <w14:ligatures w14:val="none"/>
        </w:rPr>
        <w:t>Хуулийн төсөл нь Монгол Улсын Үндсэн хууль, Монгол Улсын олон улсын гэрээ, конвенц, Н</w:t>
      </w:r>
      <w:r w:rsidR="00560896">
        <w:rPr>
          <w:rFonts w:ascii="Arial" w:eastAsia="Times New Roman" w:hAnsi="Arial" w:cs="Arial"/>
          <w:iCs/>
          <w:color w:val="000000"/>
          <w:kern w:val="0"/>
          <w:lang w:val="mn-MN"/>
          <w14:ligatures w14:val="none"/>
        </w:rPr>
        <w:t xml:space="preserve">эгдсэн </w:t>
      </w:r>
      <w:r w:rsidRPr="002C0B8A">
        <w:rPr>
          <w:rFonts w:ascii="Arial" w:eastAsia="Times New Roman" w:hAnsi="Arial" w:cs="Arial"/>
          <w:iCs/>
          <w:color w:val="000000"/>
          <w:kern w:val="0"/>
          <w:lang w:val="mn-MN"/>
          <w14:ligatures w14:val="none"/>
        </w:rPr>
        <w:t>Ү</w:t>
      </w:r>
      <w:r w:rsidR="00560896">
        <w:rPr>
          <w:rFonts w:ascii="Arial" w:eastAsia="Times New Roman" w:hAnsi="Arial" w:cs="Arial"/>
          <w:iCs/>
          <w:color w:val="000000"/>
          <w:kern w:val="0"/>
          <w:lang w:val="mn-MN"/>
          <w14:ligatures w14:val="none"/>
        </w:rPr>
        <w:t xml:space="preserve">ндэстний </w:t>
      </w:r>
      <w:r w:rsidRPr="002C0B8A">
        <w:rPr>
          <w:rFonts w:ascii="Arial" w:eastAsia="Times New Roman" w:hAnsi="Arial" w:cs="Arial"/>
          <w:iCs/>
          <w:color w:val="000000"/>
          <w:kern w:val="0"/>
          <w:lang w:val="mn-MN"/>
          <w14:ligatures w14:val="none"/>
        </w:rPr>
        <w:t>Б</w:t>
      </w:r>
      <w:r w:rsidR="00560896">
        <w:rPr>
          <w:rFonts w:ascii="Arial" w:eastAsia="Times New Roman" w:hAnsi="Arial" w:cs="Arial"/>
          <w:iCs/>
          <w:color w:val="000000"/>
          <w:kern w:val="0"/>
          <w:lang w:val="mn-MN"/>
          <w14:ligatures w14:val="none"/>
        </w:rPr>
        <w:t>айгууллаг</w:t>
      </w:r>
      <w:r w:rsidRPr="002C0B8A">
        <w:rPr>
          <w:rFonts w:ascii="Arial" w:eastAsia="Times New Roman" w:hAnsi="Arial" w:cs="Arial"/>
          <w:iCs/>
          <w:color w:val="000000"/>
          <w:kern w:val="0"/>
          <w:lang w:val="mn-MN"/>
          <w14:ligatures w14:val="none"/>
        </w:rPr>
        <w:t>ын тогтоол болон бусад хуультай нийцтэй болно.</w:t>
      </w:r>
    </w:p>
    <w:p w14:paraId="055E9A21" w14:textId="77777777" w:rsidR="00731C57" w:rsidRDefault="00731C57" w:rsidP="004B69ED">
      <w:pPr>
        <w:spacing w:after="0" w:line="240" w:lineRule="auto"/>
        <w:ind w:firstLine="720"/>
        <w:jc w:val="center"/>
        <w:rPr>
          <w:rFonts w:ascii="Arial" w:eastAsia="Times New Roman" w:hAnsi="Arial" w:cs="Arial"/>
          <w:kern w:val="0"/>
          <w:lang w:val="mn-MN"/>
          <w14:ligatures w14:val="none"/>
        </w:rPr>
      </w:pPr>
    </w:p>
    <w:p w14:paraId="2BBCC505" w14:textId="77777777" w:rsidR="004B69ED" w:rsidRDefault="004B69ED" w:rsidP="004B69ED">
      <w:pPr>
        <w:spacing w:after="0" w:line="240" w:lineRule="auto"/>
        <w:ind w:firstLine="720"/>
        <w:jc w:val="center"/>
        <w:rPr>
          <w:rFonts w:ascii="Arial" w:eastAsia="Times New Roman" w:hAnsi="Arial" w:cs="Arial"/>
          <w:kern w:val="0"/>
          <w:lang w:val="mn-MN"/>
          <w14:ligatures w14:val="none"/>
        </w:rPr>
      </w:pPr>
    </w:p>
    <w:p w14:paraId="22DBE78F" w14:textId="77777777" w:rsidR="004B69ED" w:rsidRDefault="004B69ED" w:rsidP="004B69ED">
      <w:pPr>
        <w:spacing w:after="0" w:line="240" w:lineRule="auto"/>
        <w:ind w:firstLine="720"/>
        <w:jc w:val="center"/>
        <w:rPr>
          <w:rFonts w:ascii="Arial" w:eastAsia="Times New Roman" w:hAnsi="Arial" w:cs="Arial"/>
          <w:kern w:val="0"/>
          <w:lang w:val="mn-MN"/>
          <w14:ligatures w14:val="none"/>
        </w:rPr>
      </w:pPr>
    </w:p>
    <w:p w14:paraId="1C87B623" w14:textId="77777777" w:rsidR="004B69ED" w:rsidRPr="002C0B8A" w:rsidRDefault="004B69ED" w:rsidP="004B69ED">
      <w:pPr>
        <w:spacing w:after="0" w:line="240" w:lineRule="auto"/>
        <w:ind w:firstLine="720"/>
        <w:jc w:val="center"/>
        <w:rPr>
          <w:rFonts w:ascii="Arial" w:eastAsia="Times New Roman" w:hAnsi="Arial" w:cs="Arial"/>
          <w:kern w:val="0"/>
          <w:lang w:val="mn-MN"/>
          <w14:ligatures w14:val="none"/>
        </w:rPr>
      </w:pPr>
    </w:p>
    <w:p w14:paraId="7DA62C6D" w14:textId="05CF7579" w:rsidR="00776CCB" w:rsidRPr="002C0B8A" w:rsidRDefault="00560896" w:rsidP="000E0E79">
      <w:pPr>
        <w:spacing w:after="0" w:line="240" w:lineRule="auto"/>
        <w:jc w:val="center"/>
        <w:rPr>
          <w:lang w:val="mn-MN"/>
        </w:rPr>
      </w:pPr>
      <w:r>
        <w:rPr>
          <w:rFonts w:ascii="Arial" w:eastAsia="Times New Roman" w:hAnsi="Arial" w:cs="Arial"/>
          <w:kern w:val="0"/>
          <w:lang w:val="mn-MN"/>
          <w14:ligatures w14:val="none"/>
        </w:rPr>
        <w:t>МОНГОЛ УЛСЫН ЗАСГИЙН ГАЗАР</w:t>
      </w:r>
    </w:p>
    <w:sectPr w:rsidR="00776CCB" w:rsidRPr="002C0B8A" w:rsidSect="002066D1">
      <w:pgSz w:w="11907" w:h="16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66"/>
    <w:rsid w:val="000E0E79"/>
    <w:rsid w:val="001044E0"/>
    <w:rsid w:val="00131AED"/>
    <w:rsid w:val="00181266"/>
    <w:rsid w:val="002066D1"/>
    <w:rsid w:val="002C0B8A"/>
    <w:rsid w:val="004955AF"/>
    <w:rsid w:val="004B69ED"/>
    <w:rsid w:val="00560896"/>
    <w:rsid w:val="00587C3E"/>
    <w:rsid w:val="005E04D3"/>
    <w:rsid w:val="006C16BC"/>
    <w:rsid w:val="00731C57"/>
    <w:rsid w:val="00776CCB"/>
    <w:rsid w:val="009A3592"/>
    <w:rsid w:val="009A3EB5"/>
    <w:rsid w:val="00CF190D"/>
    <w:rsid w:val="00F804B7"/>
    <w:rsid w:val="00FE4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E1CF"/>
  <w15:chartTrackingRefBased/>
  <w15:docId w15:val="{96455FB3-7505-4BB3-AB27-D5ABD393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266"/>
  </w:style>
  <w:style w:type="paragraph" w:styleId="Heading1">
    <w:name w:val="heading 1"/>
    <w:basedOn w:val="Normal"/>
    <w:next w:val="Normal"/>
    <w:link w:val="Heading1Char"/>
    <w:uiPriority w:val="9"/>
    <w:qFormat/>
    <w:rsid w:val="00181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266"/>
    <w:rPr>
      <w:rFonts w:eastAsiaTheme="majorEastAsia" w:cstheme="majorBidi"/>
      <w:color w:val="272727" w:themeColor="text1" w:themeTint="D8"/>
    </w:rPr>
  </w:style>
  <w:style w:type="paragraph" w:styleId="Title">
    <w:name w:val="Title"/>
    <w:basedOn w:val="Normal"/>
    <w:next w:val="Normal"/>
    <w:link w:val="TitleChar"/>
    <w:uiPriority w:val="10"/>
    <w:qFormat/>
    <w:rsid w:val="00181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266"/>
    <w:pPr>
      <w:spacing w:before="160"/>
      <w:jc w:val="center"/>
    </w:pPr>
    <w:rPr>
      <w:i/>
      <w:iCs/>
      <w:color w:val="404040" w:themeColor="text1" w:themeTint="BF"/>
    </w:rPr>
  </w:style>
  <w:style w:type="character" w:customStyle="1" w:styleId="QuoteChar">
    <w:name w:val="Quote Char"/>
    <w:basedOn w:val="DefaultParagraphFont"/>
    <w:link w:val="Quote"/>
    <w:uiPriority w:val="29"/>
    <w:rsid w:val="00181266"/>
    <w:rPr>
      <w:i/>
      <w:iCs/>
      <w:color w:val="404040" w:themeColor="text1" w:themeTint="BF"/>
    </w:rPr>
  </w:style>
  <w:style w:type="paragraph" w:styleId="ListParagraph">
    <w:name w:val="List Paragraph"/>
    <w:basedOn w:val="Normal"/>
    <w:uiPriority w:val="34"/>
    <w:qFormat/>
    <w:rsid w:val="00181266"/>
    <w:pPr>
      <w:ind w:left="720"/>
      <w:contextualSpacing/>
    </w:pPr>
  </w:style>
  <w:style w:type="character" w:styleId="IntenseEmphasis">
    <w:name w:val="Intense Emphasis"/>
    <w:basedOn w:val="DefaultParagraphFont"/>
    <w:uiPriority w:val="21"/>
    <w:qFormat/>
    <w:rsid w:val="00181266"/>
    <w:rPr>
      <w:i/>
      <w:iCs/>
      <w:color w:val="0F4761" w:themeColor="accent1" w:themeShade="BF"/>
    </w:rPr>
  </w:style>
  <w:style w:type="paragraph" w:styleId="IntenseQuote">
    <w:name w:val="Intense Quote"/>
    <w:basedOn w:val="Normal"/>
    <w:next w:val="Normal"/>
    <w:link w:val="IntenseQuoteChar"/>
    <w:uiPriority w:val="30"/>
    <w:qFormat/>
    <w:rsid w:val="00181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266"/>
    <w:rPr>
      <w:i/>
      <w:iCs/>
      <w:color w:val="0F4761" w:themeColor="accent1" w:themeShade="BF"/>
    </w:rPr>
  </w:style>
  <w:style w:type="character" w:styleId="IntenseReference">
    <w:name w:val="Intense Reference"/>
    <w:basedOn w:val="DefaultParagraphFont"/>
    <w:uiPriority w:val="32"/>
    <w:qFormat/>
    <w:rsid w:val="001812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Batorgil Batsuuri</dc:creator>
  <cp:keywords/>
  <dc:description/>
  <cp:lastModifiedBy>Д.Балжинням</cp:lastModifiedBy>
  <cp:revision>12</cp:revision>
  <cp:lastPrinted>2025-11-04T13:43:00Z</cp:lastPrinted>
  <dcterms:created xsi:type="dcterms:W3CDTF">2025-11-04T11:15:00Z</dcterms:created>
  <dcterms:modified xsi:type="dcterms:W3CDTF">2025-11-17T02:20:00Z</dcterms:modified>
</cp:coreProperties>
</file>