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3221" w14:textId="3E8FD8E9" w:rsidR="001F5121" w:rsidRPr="00A44D63" w:rsidRDefault="001F5121" w:rsidP="00FB5273">
      <w:pPr>
        <w:spacing w:after="0" w:line="240" w:lineRule="auto"/>
        <w:ind w:firstLine="720"/>
        <w:jc w:val="center"/>
        <w:rPr>
          <w:rFonts w:ascii="Arial" w:eastAsia="Times New Roman" w:hAnsi="Arial" w:cs="Arial"/>
          <w:b/>
          <w:bCs/>
          <w:kern w:val="0"/>
          <w:lang w:val="mn-MN"/>
          <w14:ligatures w14:val="none"/>
        </w:rPr>
      </w:pPr>
      <w:r w:rsidRPr="00A44D63">
        <w:rPr>
          <w:rFonts w:ascii="Arial" w:eastAsia="Times New Roman" w:hAnsi="Arial" w:cs="Arial"/>
          <w:b/>
          <w:bCs/>
          <w:kern w:val="0"/>
          <w:lang w:val="mn-MN"/>
          <w14:ligatures w14:val="none"/>
        </w:rPr>
        <w:t>ТАНИЛЦУУЛГА</w:t>
      </w:r>
    </w:p>
    <w:p w14:paraId="4B9CC978" w14:textId="77777777" w:rsidR="001F5121" w:rsidRPr="00A44D63" w:rsidRDefault="001F5121" w:rsidP="00FB5273">
      <w:pPr>
        <w:spacing w:after="0" w:line="240" w:lineRule="auto"/>
        <w:ind w:firstLine="720"/>
        <w:jc w:val="center"/>
        <w:rPr>
          <w:rFonts w:ascii="Arial" w:eastAsia="Times New Roman" w:hAnsi="Arial" w:cs="Arial"/>
          <w:b/>
          <w:bCs/>
          <w:kern w:val="0"/>
          <w:lang w:val="mn-MN"/>
          <w14:ligatures w14:val="none"/>
        </w:rPr>
      </w:pPr>
    </w:p>
    <w:p w14:paraId="610EC4D1" w14:textId="1D540E25" w:rsidR="001F5121" w:rsidRPr="00A44D63" w:rsidRDefault="001F5121" w:rsidP="00FB5273">
      <w:pPr>
        <w:spacing w:after="0" w:line="240" w:lineRule="auto"/>
        <w:ind w:firstLine="720"/>
        <w:jc w:val="right"/>
        <w:rPr>
          <w:rFonts w:ascii="Arial" w:eastAsia="Times New Roman" w:hAnsi="Arial" w:cs="Arial"/>
          <w:bCs/>
          <w:kern w:val="0"/>
          <w:lang w:val="mn-MN"/>
          <w14:ligatures w14:val="none"/>
        </w:rPr>
      </w:pPr>
      <w:r w:rsidRPr="00A44D63">
        <w:rPr>
          <w:rFonts w:ascii="Arial" w:eastAsia="Times New Roman" w:hAnsi="Arial" w:cs="Arial"/>
          <w:bCs/>
          <w:kern w:val="0"/>
          <w:lang w:val="mn-MN"/>
          <w14:ligatures w14:val="none"/>
        </w:rPr>
        <w:t>Стратегийн ач холбогдол бүхий бүтээгдэхүүний хангамж,</w:t>
      </w:r>
    </w:p>
    <w:p w14:paraId="58E9E440" w14:textId="3CAF57C4" w:rsidR="001F5121" w:rsidRPr="00A44D63" w:rsidRDefault="001F5121" w:rsidP="00FB5273">
      <w:pPr>
        <w:spacing w:after="0" w:line="240" w:lineRule="auto"/>
        <w:ind w:firstLine="720"/>
        <w:jc w:val="right"/>
        <w:rPr>
          <w:rFonts w:ascii="Arial" w:eastAsia="Times New Roman" w:hAnsi="Arial" w:cs="Arial"/>
          <w:kern w:val="0"/>
          <w:lang w:val="mn-MN"/>
          <w14:ligatures w14:val="none"/>
        </w:rPr>
      </w:pPr>
      <w:r w:rsidRPr="00A44D63">
        <w:rPr>
          <w:rFonts w:ascii="Arial" w:eastAsia="Times New Roman" w:hAnsi="Arial" w:cs="Arial"/>
          <w:bCs/>
          <w:kern w:val="0"/>
          <w:lang w:val="mn-MN"/>
          <w14:ligatures w14:val="none"/>
        </w:rPr>
        <w:t xml:space="preserve">нийлүүлэлтийг дэмжих тухай </w:t>
      </w:r>
      <w:r w:rsidRPr="00A44D63">
        <w:rPr>
          <w:rFonts w:ascii="Arial" w:eastAsia="Yu Gothic Light" w:hAnsi="Arial" w:cs="Arial"/>
          <w:noProof/>
          <w:kern w:val="0"/>
          <w:lang w:val="mn-MN"/>
          <w14:ligatures w14:val="none"/>
        </w:rPr>
        <w:t>хуулийн төсөл</w:t>
      </w:r>
    </w:p>
    <w:p w14:paraId="6100A900" w14:textId="77777777" w:rsidR="001F5121" w:rsidRPr="00A44D63" w:rsidRDefault="001F5121" w:rsidP="00FB5273">
      <w:pPr>
        <w:spacing w:after="0" w:line="240" w:lineRule="auto"/>
        <w:ind w:firstLine="720"/>
        <w:jc w:val="both"/>
        <w:rPr>
          <w:rFonts w:ascii="Arial" w:eastAsia="Yu Gothic Light" w:hAnsi="Arial" w:cs="Arial"/>
          <w:noProof/>
          <w:kern w:val="0"/>
          <w:lang w:val="mn-MN"/>
          <w14:ligatures w14:val="none"/>
        </w:rPr>
      </w:pPr>
    </w:p>
    <w:p w14:paraId="1454AFE9" w14:textId="22729532" w:rsidR="001F5121" w:rsidRPr="00A44D63" w:rsidRDefault="001F5121" w:rsidP="00FB5273">
      <w:pPr>
        <w:spacing w:after="0" w:line="240" w:lineRule="auto"/>
        <w:ind w:firstLine="720"/>
        <w:jc w:val="both"/>
        <w:rPr>
          <w:rFonts w:ascii="Arial" w:eastAsia="Yu Gothic Light" w:hAnsi="Arial" w:cs="Arial"/>
          <w:noProof/>
          <w:kern w:val="0"/>
          <w:lang w:val="mn-MN"/>
          <w14:ligatures w14:val="none"/>
        </w:rPr>
      </w:pPr>
      <w:r w:rsidRPr="00A44D63">
        <w:rPr>
          <w:rFonts w:ascii="Arial" w:eastAsia="Yu Gothic Light" w:hAnsi="Arial" w:cs="Arial"/>
          <w:noProof/>
          <w:kern w:val="0"/>
          <w:lang w:val="mn-MN"/>
          <w14:ligatures w14:val="none"/>
        </w:rPr>
        <w:t>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Монгол Улсын Засгийн газрын тухай хуулийн 8 дугаар зүйлийн 4 дэх хэсэгт “Засгийн газар нь эдийн засгийн харилцааг аж ахуйн бүх хэвшлийн хөгжлийн сонирхолд нийцүүлэн зохицуулж, шударга өрсөлдөөнийг дэмжин дангаар ноёрхлыг хязгаарлах, эдийн засгийн тэнцвэрийг сайжруулах арга хэмжээ авна.” гэж, мөн зүйлийн 5 дахь хэсэгт “Монгол Улсын эдийн засгийн аюулгүй байдлыг хангах арга хэмжээ авч хэрэгжүүлнэ.” гэж тус тус заасан.</w:t>
      </w:r>
    </w:p>
    <w:p w14:paraId="7C3E0770" w14:textId="77777777" w:rsidR="008C44B0" w:rsidRDefault="008C44B0" w:rsidP="00FB5273">
      <w:pPr>
        <w:spacing w:after="0" w:line="240" w:lineRule="auto"/>
        <w:ind w:firstLine="720"/>
        <w:jc w:val="both"/>
        <w:rPr>
          <w:rFonts w:ascii="Arial" w:eastAsia="Yu Gothic Light" w:hAnsi="Arial" w:cs="Arial"/>
          <w:noProof/>
          <w:kern w:val="0"/>
          <w:lang w:val="mn-MN"/>
          <w14:ligatures w14:val="none"/>
        </w:rPr>
      </w:pPr>
    </w:p>
    <w:p w14:paraId="1A11FD78" w14:textId="45624905" w:rsidR="001F5121" w:rsidRPr="00442187" w:rsidRDefault="001F5121" w:rsidP="00FB5273">
      <w:pPr>
        <w:spacing w:after="0" w:line="240" w:lineRule="auto"/>
        <w:ind w:firstLine="720"/>
        <w:jc w:val="both"/>
        <w:rPr>
          <w:rFonts w:ascii="Arial" w:eastAsia="Yu Gothic Light" w:hAnsi="Arial" w:cs="Arial"/>
          <w:noProof/>
          <w:color w:val="EE0000"/>
          <w:kern w:val="0"/>
          <w:lang w:val="mn-MN"/>
          <w14:ligatures w14:val="none"/>
        </w:rPr>
      </w:pPr>
      <w:r w:rsidRPr="00A44D63">
        <w:rPr>
          <w:rFonts w:ascii="Arial" w:eastAsia="Yu Gothic Light" w:hAnsi="Arial" w:cs="Arial"/>
          <w:noProof/>
          <w:kern w:val="0"/>
          <w:lang w:val="mn-MN"/>
          <w14:ligatures w14:val="none"/>
        </w:rPr>
        <w:t>Олон улсад үүсэж байгаа худалдааны тарифын тодорхойгүй нөхцөл байдал нэмэгдэхийн зэрэгцээ Америкийн Нэгдсэн Улсын худалдааны тарифын бодлого, зарим улс оронд болж б</w:t>
      </w:r>
      <w:r w:rsidR="00981AB2">
        <w:rPr>
          <w:rFonts w:ascii="Arial" w:eastAsia="Yu Gothic Light" w:hAnsi="Arial" w:cs="Arial"/>
          <w:noProof/>
          <w:kern w:val="0"/>
          <w:lang w:val="mn-MN"/>
          <w14:ligatures w14:val="none"/>
        </w:rPr>
        <w:t>айгаа</w:t>
      </w:r>
      <w:r w:rsidRPr="00A44D63">
        <w:rPr>
          <w:rFonts w:ascii="Arial" w:eastAsia="Yu Gothic Light" w:hAnsi="Arial" w:cs="Arial"/>
          <w:noProof/>
          <w:kern w:val="0"/>
          <w:lang w:val="mn-MN"/>
          <w14:ligatures w14:val="none"/>
        </w:rPr>
        <w:t xml:space="preserve"> тусгай арга хэмжээтэй холбоотойгоор дэлхийн худалдаа, эдийн засгийн өсөлтөд сөргөөр нөлөөлөх нөхцөл байдал үүсэж байна.</w:t>
      </w:r>
    </w:p>
    <w:p w14:paraId="7078500B" w14:textId="77777777" w:rsidR="008C44B0" w:rsidRDefault="008C44B0" w:rsidP="00FB5273">
      <w:pPr>
        <w:spacing w:after="0" w:line="240" w:lineRule="auto"/>
        <w:ind w:firstLine="720"/>
        <w:jc w:val="both"/>
        <w:rPr>
          <w:rFonts w:ascii="Arial" w:eastAsia="Yu Gothic Light" w:hAnsi="Arial" w:cs="Arial"/>
          <w:noProof/>
          <w:kern w:val="0"/>
          <w:lang w:val="mn-MN"/>
          <w14:ligatures w14:val="none"/>
        </w:rPr>
      </w:pPr>
    </w:p>
    <w:p w14:paraId="09A41359" w14:textId="01487EEA" w:rsidR="001F5121" w:rsidRPr="00A44D63" w:rsidRDefault="001F5121" w:rsidP="00FB5273">
      <w:pPr>
        <w:spacing w:after="0" w:line="240" w:lineRule="auto"/>
        <w:ind w:firstLine="720"/>
        <w:jc w:val="both"/>
        <w:rPr>
          <w:rFonts w:ascii="Arial" w:eastAsia="Yu Gothic Light" w:hAnsi="Arial" w:cs="Arial"/>
          <w:noProof/>
          <w:kern w:val="0"/>
          <w:lang w:val="mn-MN"/>
          <w14:ligatures w14:val="none"/>
        </w:rPr>
      </w:pPr>
      <w:r w:rsidRPr="00A44D63">
        <w:rPr>
          <w:rFonts w:ascii="Arial" w:eastAsia="Yu Gothic Light" w:hAnsi="Arial" w:cs="Arial"/>
          <w:noProof/>
          <w:kern w:val="0"/>
          <w:lang w:val="mn-MN"/>
          <w14:ligatures w14:val="none"/>
        </w:rPr>
        <w:t>Дээрх нөхцөл байдлын улмаас манай улсын экспортын зарим бүтээгдэхүүний үнэ, эрэлт буурах эрсдэл үүсэж</w:t>
      </w:r>
      <w:r w:rsidR="00981AB2">
        <w:rPr>
          <w:rFonts w:ascii="Arial" w:eastAsia="Yu Gothic Light" w:hAnsi="Arial" w:cs="Arial"/>
          <w:noProof/>
          <w:kern w:val="0"/>
          <w:lang w:val="mn-MN"/>
          <w14:ligatures w14:val="none"/>
        </w:rPr>
        <w:t>,</w:t>
      </w:r>
      <w:r w:rsidRPr="00A44D63">
        <w:rPr>
          <w:rFonts w:ascii="Arial" w:eastAsia="Yu Gothic Light" w:hAnsi="Arial" w:cs="Arial"/>
          <w:noProof/>
          <w:kern w:val="0"/>
          <w:lang w:val="mn-MN"/>
          <w14:ligatures w14:val="none"/>
        </w:rPr>
        <w:t xml:space="preserve"> улмаар экспортын орлого буурах, гол нэр төрлийн импортын бүтээгдэхүүн болох газрын тосны үнэ, нийлүүлэлт тогтворгүй байгаа зэргээс шалтгаалан төлбөрийн тэнцэлд дарамт үзүүлж болзошгүй нөхцөл байдал үүсээд байна. </w:t>
      </w:r>
      <w:bookmarkStart w:id="0" w:name="_Hlk195637499"/>
    </w:p>
    <w:p w14:paraId="6A2D7B54" w14:textId="77777777" w:rsidR="008C44B0" w:rsidRDefault="008C44B0" w:rsidP="00FB5273">
      <w:pPr>
        <w:spacing w:after="0" w:line="240" w:lineRule="auto"/>
        <w:ind w:firstLine="720"/>
        <w:jc w:val="both"/>
        <w:rPr>
          <w:rFonts w:ascii="Arial" w:eastAsia="Yu Gothic Light" w:hAnsi="Arial" w:cs="Arial"/>
          <w:noProof/>
          <w:kern w:val="0"/>
          <w:lang w:val="mn-MN"/>
          <w14:ligatures w14:val="none"/>
        </w:rPr>
      </w:pPr>
    </w:p>
    <w:p w14:paraId="0A1D8C1C" w14:textId="52A39F92" w:rsidR="001F5121" w:rsidRPr="00442187" w:rsidRDefault="001F5121" w:rsidP="00FB5273">
      <w:pPr>
        <w:spacing w:after="0" w:line="240" w:lineRule="auto"/>
        <w:ind w:firstLine="720"/>
        <w:jc w:val="both"/>
        <w:rPr>
          <w:rFonts w:ascii="Arial" w:eastAsia="Yu Gothic Light" w:hAnsi="Arial" w:cs="Arial"/>
          <w:noProof/>
          <w:kern w:val="0"/>
          <w:lang w:val="mn-MN"/>
          <w14:ligatures w14:val="none"/>
        </w:rPr>
      </w:pPr>
      <w:r w:rsidRPr="00A44D63">
        <w:rPr>
          <w:rFonts w:ascii="Arial" w:eastAsia="Yu Gothic Light" w:hAnsi="Arial" w:cs="Arial"/>
          <w:noProof/>
          <w:kern w:val="0"/>
          <w:lang w:val="mn-MN"/>
          <w14:ligatures w14:val="none"/>
        </w:rPr>
        <w:t xml:space="preserve">Түүнчлэн тарифын өсөлт, худалдааны зөрчил, зарим улс оронд болж буй тусгай арга хэмжээ зэрэгтэй холбоотой дэлхийн улс орнуудад инфляц өсөх эрсдэлтэй байгаа нь манай улсын импортын </w:t>
      </w:r>
      <w:r w:rsidR="00EF38DC" w:rsidRPr="00A44D63">
        <w:rPr>
          <w:rFonts w:ascii="Arial" w:eastAsia="Yu Gothic Light" w:hAnsi="Arial" w:cs="Arial"/>
          <w:noProof/>
          <w:kern w:val="0"/>
          <w:lang w:val="mn-MN"/>
          <w14:ligatures w14:val="none"/>
        </w:rPr>
        <w:t xml:space="preserve">гол нэрийн </w:t>
      </w:r>
      <w:r w:rsidRPr="00A44D63">
        <w:rPr>
          <w:rFonts w:ascii="Arial" w:eastAsia="Yu Gothic Light" w:hAnsi="Arial" w:cs="Arial"/>
          <w:noProof/>
          <w:kern w:val="0"/>
          <w:lang w:val="mn-MN"/>
          <w14:ligatures w14:val="none"/>
        </w:rPr>
        <w:t>бараа бүтээгдэхүүний үнэ өсөх, бодлогын хүү өндөр түвшинд хадгалагдах эрсдэлтэй байгаа нь гадаад санхүүжилтийн өртөг, зардлыг нэмэгдүүлж улмаар төлбөрийн тэнцэлд дарамт үзүүлэхээр байна</w:t>
      </w:r>
      <w:bookmarkEnd w:id="0"/>
      <w:r w:rsidRPr="00A44D63">
        <w:rPr>
          <w:rFonts w:ascii="Arial" w:eastAsia="Yu Gothic Light" w:hAnsi="Arial" w:cs="Arial"/>
          <w:noProof/>
          <w:kern w:val="0"/>
          <w:lang w:val="mn-MN"/>
          <w14:ligatures w14:val="none"/>
        </w:rPr>
        <w:t>.</w:t>
      </w:r>
    </w:p>
    <w:p w14:paraId="74006F40" w14:textId="77777777" w:rsidR="008C44B0" w:rsidRDefault="008C44B0" w:rsidP="00FB5273">
      <w:pPr>
        <w:spacing w:after="0" w:line="240" w:lineRule="auto"/>
        <w:ind w:firstLine="720"/>
        <w:jc w:val="both"/>
        <w:rPr>
          <w:rFonts w:ascii="Arial" w:eastAsia="Times New Roman" w:hAnsi="Arial" w:cs="Arial"/>
          <w:noProof/>
          <w:kern w:val="0"/>
          <w:lang w:val="mn-MN"/>
          <w14:ligatures w14:val="none"/>
        </w:rPr>
      </w:pPr>
    </w:p>
    <w:p w14:paraId="24593B72" w14:textId="07A6D72F" w:rsidR="00442187" w:rsidRDefault="001F5121" w:rsidP="00FB5273">
      <w:pPr>
        <w:spacing w:after="0" w:line="240" w:lineRule="auto"/>
        <w:ind w:firstLine="720"/>
        <w:jc w:val="both"/>
        <w:rPr>
          <w:rFonts w:ascii="Arial" w:eastAsia="Times New Roman" w:hAnsi="Arial" w:cs="Arial"/>
          <w:noProof/>
          <w:kern w:val="0"/>
          <w:lang w:val="mn-MN"/>
          <w14:ligatures w14:val="none"/>
        </w:rPr>
      </w:pPr>
      <w:r w:rsidRPr="00A44D63">
        <w:rPr>
          <w:rFonts w:ascii="Arial" w:eastAsia="Times New Roman" w:hAnsi="Arial" w:cs="Arial"/>
          <w:noProof/>
          <w:kern w:val="0"/>
          <w:lang w:val="mn-MN"/>
          <w14:ligatures w14:val="none"/>
        </w:rPr>
        <w:t xml:space="preserve">Иймд олон улсад </w:t>
      </w:r>
      <w:r w:rsidRPr="00A44D63">
        <w:rPr>
          <w:rFonts w:ascii="Arial" w:eastAsia="Times New Roman" w:hAnsi="Arial" w:cs="Arial"/>
          <w:bCs/>
          <w:noProof/>
          <w:kern w:val="0"/>
          <w:lang w:val="mn-MN"/>
          <w14:ligatures w14:val="none"/>
        </w:rPr>
        <w:t>өрнөж б</w:t>
      </w:r>
      <w:r w:rsidR="00981AB2">
        <w:rPr>
          <w:rFonts w:ascii="Arial" w:eastAsia="Times New Roman" w:hAnsi="Arial" w:cs="Arial"/>
          <w:bCs/>
          <w:noProof/>
          <w:kern w:val="0"/>
          <w:lang w:val="mn-MN"/>
          <w14:ligatures w14:val="none"/>
        </w:rPr>
        <w:t>айгаа</w:t>
      </w:r>
      <w:r w:rsidRPr="00A44D63">
        <w:rPr>
          <w:rFonts w:ascii="Arial" w:eastAsia="Times New Roman" w:hAnsi="Arial" w:cs="Arial"/>
          <w:bCs/>
          <w:noProof/>
          <w:kern w:val="0"/>
          <w:lang w:val="mn-MN"/>
          <w14:ligatures w14:val="none"/>
        </w:rPr>
        <w:t xml:space="preserve"> худалдааны болон тарифын бодлого зохицуулалтын өөрчлөлт, </w:t>
      </w:r>
      <w:r w:rsidRPr="00A44D63">
        <w:rPr>
          <w:rFonts w:ascii="Arial" w:eastAsia="Yu Gothic Light" w:hAnsi="Arial" w:cs="Arial"/>
          <w:noProof/>
          <w:kern w:val="0"/>
          <w:lang w:val="mn-MN"/>
          <w14:ligatures w14:val="none"/>
        </w:rPr>
        <w:t xml:space="preserve">зарим улс оронд болж буй тусгай арга хэмжээ зэрэг арга хэмжээний </w:t>
      </w:r>
      <w:r w:rsidRPr="00A44D63">
        <w:rPr>
          <w:rFonts w:ascii="Arial" w:eastAsia="Times New Roman" w:hAnsi="Arial" w:cs="Arial"/>
          <w:bCs/>
          <w:noProof/>
          <w:kern w:val="0"/>
          <w:lang w:val="mn-MN"/>
          <w14:ligatures w14:val="none"/>
        </w:rPr>
        <w:t>сөрөг нөлөөллөөс үндэсний эдийн засаг, санхүүгийн байдлаа хамгаалах, төлбөрийн тэнцлийг хангах, эдийн засгийн хүндрэл бэрхшээлийг даван туулах, хямралаас сэргийлэх, болзошгүй эрсдэл хохирлыг бууруулах, нийгэм-эдийн засгийн тогтвортой байдлыг хадгалахад чиглэсэн шийдвэрийг угтуулан тооцон гаргаж, эрх зүйн зохицуулалт хийх нь зүйтэй байна.</w:t>
      </w:r>
      <w:r w:rsidRPr="00A44D63">
        <w:rPr>
          <w:rFonts w:ascii="Arial" w:eastAsia="Times New Roman" w:hAnsi="Arial" w:cs="Arial"/>
          <w:noProof/>
          <w:kern w:val="0"/>
          <w:lang w:val="mn-MN"/>
          <w14:ligatures w14:val="none"/>
        </w:rPr>
        <w:t xml:space="preserve"> </w:t>
      </w:r>
    </w:p>
    <w:p w14:paraId="76C30D53" w14:textId="77777777" w:rsidR="00981AB2" w:rsidRPr="00A44D63" w:rsidRDefault="00981AB2" w:rsidP="00FB5273">
      <w:pPr>
        <w:spacing w:after="0" w:line="240" w:lineRule="auto"/>
        <w:ind w:firstLine="720"/>
        <w:jc w:val="both"/>
        <w:rPr>
          <w:rFonts w:ascii="Arial" w:eastAsia="Times New Roman" w:hAnsi="Arial" w:cs="Arial"/>
          <w:noProof/>
          <w:kern w:val="0"/>
          <w:lang w:val="mn-MN"/>
          <w14:ligatures w14:val="none"/>
        </w:rPr>
      </w:pPr>
    </w:p>
    <w:p w14:paraId="4D056435" w14:textId="6C452129" w:rsidR="001F5121" w:rsidRPr="00A54AF0" w:rsidRDefault="001F5121" w:rsidP="00FB5273">
      <w:pPr>
        <w:spacing w:after="0" w:line="240" w:lineRule="auto"/>
        <w:ind w:firstLine="720"/>
        <w:jc w:val="center"/>
        <w:rPr>
          <w:rFonts w:ascii="Arial" w:eastAsia="Times New Roman" w:hAnsi="Arial" w:cs="Arial"/>
          <w:kern w:val="0"/>
          <w:lang w:val="mn-MN"/>
          <w14:ligatures w14:val="none"/>
        </w:rPr>
      </w:pPr>
      <w:r w:rsidRPr="00A44D63">
        <w:rPr>
          <w:rFonts w:ascii="Arial" w:eastAsia="Times New Roman" w:hAnsi="Arial" w:cs="Arial"/>
          <w:kern w:val="0"/>
          <w:lang w:val="mn-MN"/>
          <w14:ligatures w14:val="none"/>
        </w:rPr>
        <w:t>Шатахууны хил үнэ 2022-2024 он (ам.доллар/тонн)</w:t>
      </w:r>
    </w:p>
    <w:p w14:paraId="1AC68B40" w14:textId="6678EEC4" w:rsidR="001F5121" w:rsidRPr="00A54AF0" w:rsidRDefault="003806F8" w:rsidP="008C44B0">
      <w:pPr>
        <w:spacing w:after="0" w:line="240" w:lineRule="auto"/>
        <w:jc w:val="both"/>
        <w:rPr>
          <w:rFonts w:ascii="Arial" w:eastAsia="Times New Roman" w:hAnsi="Arial" w:cs="Arial"/>
          <w:kern w:val="0"/>
          <w:sz w:val="22"/>
          <w:szCs w:val="22"/>
          <w:lang w:val="mn-MN"/>
          <w14:ligatures w14:val="none"/>
        </w:rPr>
      </w:pPr>
      <w:r w:rsidRPr="00A44D63">
        <w:rPr>
          <w:noProof/>
          <w:lang w:val="mn-MN"/>
        </w:rPr>
        <w:drawing>
          <wp:inline distT="0" distB="0" distL="0" distR="0" wp14:anchorId="58E94B2C" wp14:editId="194824E1">
            <wp:extent cx="5957668" cy="1785620"/>
            <wp:effectExtent l="0" t="0" r="11430" b="17780"/>
            <wp:docPr id="282449975" name="Chart 1">
              <a:extLst xmlns:a="http://schemas.openxmlformats.org/drawingml/2006/main">
                <a:ext uri="{FF2B5EF4-FFF2-40B4-BE49-F238E27FC236}">
                  <a16:creationId xmlns:a16="http://schemas.microsoft.com/office/drawing/2014/main" id="{A9AE2625-3787-E084-096D-CEE60AC34D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5D4C9A" w14:textId="486CB3FD" w:rsidR="001F5121" w:rsidRPr="00A44D63" w:rsidRDefault="001F5121" w:rsidP="00FB5273">
      <w:pPr>
        <w:spacing w:after="0" w:line="240" w:lineRule="auto"/>
        <w:ind w:firstLine="720"/>
        <w:jc w:val="both"/>
        <w:rPr>
          <w:rFonts w:ascii="Arial" w:eastAsia="Times New Roman" w:hAnsi="Arial" w:cs="Arial"/>
          <w:kern w:val="0"/>
          <w:lang w:val="mn-MN"/>
          <w14:ligatures w14:val="none"/>
        </w:rPr>
      </w:pPr>
      <w:r w:rsidRPr="00A44D63">
        <w:rPr>
          <w:rFonts w:ascii="Arial" w:eastAsia="Times New Roman" w:hAnsi="Arial" w:cs="Arial"/>
          <w:kern w:val="0"/>
          <w:lang w:val="mn-MN"/>
          <w14:ligatures w14:val="none"/>
        </w:rPr>
        <w:lastRenderedPageBreak/>
        <w:t xml:space="preserve">Оросын Холбооны Улсаас манай улсад нийлүүлэх шатахууны импортын хил үнэ нь дэлхийн зах зээл дээрх газрын тосны үнэтэй шууд хамааралтай байдаг бөгөөд хил үнэ нь дотоодын зах зээл дээрх борлуулалтын үнийг тодорхойлдог. </w:t>
      </w:r>
    </w:p>
    <w:p w14:paraId="3DF8703B" w14:textId="77777777" w:rsidR="008C44B0" w:rsidRDefault="008C44B0" w:rsidP="00FB5273">
      <w:pPr>
        <w:spacing w:after="0" w:line="240" w:lineRule="auto"/>
        <w:ind w:firstLine="720"/>
        <w:jc w:val="both"/>
        <w:rPr>
          <w:rFonts w:ascii="Arial" w:eastAsia="Times New Roman" w:hAnsi="Arial" w:cs="Arial"/>
          <w:kern w:val="0"/>
          <w:lang w:val="mn-MN"/>
          <w14:ligatures w14:val="none"/>
        </w:rPr>
      </w:pPr>
    </w:p>
    <w:p w14:paraId="5B4D5D86" w14:textId="041364BC" w:rsidR="001F5121" w:rsidRPr="00A44D63" w:rsidRDefault="001F5121" w:rsidP="00FB5273">
      <w:pPr>
        <w:spacing w:after="0" w:line="240" w:lineRule="auto"/>
        <w:ind w:firstLine="720"/>
        <w:jc w:val="both"/>
        <w:rPr>
          <w:rFonts w:ascii="Arial" w:eastAsia="Times New Roman" w:hAnsi="Arial" w:cs="Arial"/>
          <w:kern w:val="0"/>
          <w:lang w:val="mn-MN"/>
          <w14:ligatures w14:val="none"/>
        </w:rPr>
      </w:pPr>
      <w:r w:rsidRPr="00A44D63">
        <w:rPr>
          <w:rFonts w:ascii="Arial" w:eastAsia="Times New Roman" w:hAnsi="Arial" w:cs="Arial"/>
          <w:kern w:val="0"/>
          <w:lang w:val="mn-MN"/>
          <w14:ligatures w14:val="none"/>
        </w:rPr>
        <w:t xml:space="preserve">Өнөөдрийн байдлаар манай улс газрын тосны бүтээгдэхүүний хэрэглээгээ </w:t>
      </w:r>
      <w:r w:rsidR="006C5B61">
        <w:rPr>
          <w:rFonts w:ascii="Arial" w:eastAsia="Times New Roman" w:hAnsi="Arial" w:cs="Arial"/>
          <w:kern w:val="0"/>
          <w:lang w:val="mn-MN"/>
          <w14:ligatures w14:val="none"/>
        </w:rPr>
        <w:t xml:space="preserve">        </w:t>
      </w:r>
      <w:r w:rsidRPr="00A44D63">
        <w:rPr>
          <w:rFonts w:ascii="Arial" w:eastAsia="Times New Roman" w:hAnsi="Arial" w:cs="Arial"/>
          <w:kern w:val="0"/>
          <w:lang w:val="mn-MN"/>
          <w14:ligatures w14:val="none"/>
        </w:rPr>
        <w:t xml:space="preserve">100 хувь импортоор хангаж байгаа бөгөөд нийт импортын 95 орчим хувийг ОХУ, үлдсэн хувийг БНХАУ эзэлж байна. </w:t>
      </w:r>
    </w:p>
    <w:p w14:paraId="4D632793" w14:textId="77777777" w:rsidR="008C44B0" w:rsidRDefault="008C44B0" w:rsidP="00FB5273">
      <w:pPr>
        <w:spacing w:after="0" w:line="240" w:lineRule="auto"/>
        <w:ind w:firstLine="720"/>
        <w:jc w:val="both"/>
        <w:rPr>
          <w:rFonts w:ascii="Arial" w:eastAsia="Times New Roman" w:hAnsi="Arial" w:cs="Arial"/>
          <w:kern w:val="0"/>
          <w:lang w:val="mn-MN"/>
          <w14:ligatures w14:val="none"/>
        </w:rPr>
      </w:pPr>
    </w:p>
    <w:p w14:paraId="4209BA5E" w14:textId="3FA3F507" w:rsidR="001F5121" w:rsidRPr="00A44D63" w:rsidRDefault="001F5121" w:rsidP="00FB5273">
      <w:pPr>
        <w:spacing w:after="0" w:line="240" w:lineRule="auto"/>
        <w:ind w:firstLine="720"/>
        <w:jc w:val="both"/>
        <w:rPr>
          <w:rFonts w:ascii="Arial" w:eastAsia="Times New Roman" w:hAnsi="Arial" w:cs="Arial"/>
          <w:kern w:val="0"/>
          <w:lang w:val="mn-MN"/>
          <w14:ligatures w14:val="none"/>
        </w:rPr>
      </w:pPr>
      <w:r w:rsidRPr="00A44D63">
        <w:rPr>
          <w:rFonts w:ascii="Arial" w:eastAsia="Times New Roman" w:hAnsi="Arial" w:cs="Arial"/>
          <w:kern w:val="0"/>
          <w:lang w:val="mn-MN"/>
          <w14:ligatures w14:val="none"/>
        </w:rPr>
        <w:t>Улс орны нийгэм, эдийн засаг, уул уурхайн үйлдвэрлэлийн өсөлт</w:t>
      </w:r>
      <w:r w:rsidR="00EF38DC" w:rsidRPr="00A44D63">
        <w:rPr>
          <w:rFonts w:ascii="Arial" w:eastAsia="Times New Roman" w:hAnsi="Arial" w:cs="Arial"/>
          <w:kern w:val="0"/>
          <w:lang w:val="mn-MN"/>
          <w14:ligatures w14:val="none"/>
        </w:rPr>
        <w:t xml:space="preserve">тэй холбоотойгоор </w:t>
      </w:r>
      <w:r w:rsidRPr="00A44D63">
        <w:rPr>
          <w:rFonts w:ascii="Arial" w:eastAsia="Times New Roman" w:hAnsi="Arial" w:cs="Arial"/>
          <w:kern w:val="0"/>
          <w:lang w:val="mn-MN"/>
          <w14:ligatures w14:val="none"/>
        </w:rPr>
        <w:t xml:space="preserve">манай улсын газрын тосны бүтээгдэхүүний хэрэглээ жил бүр өсөн нэмэгдэж ирсэн бөгөөд 2023 онд 2.4 сая тонн, 2024 онд 2.8 сая тонн газрын тосны бүтээгдэхүүн тус тус импортлон хэрэглэж байсан бол 2025 оны 9 дүгээр сарын </w:t>
      </w:r>
      <w:r w:rsidR="00636CF9">
        <w:rPr>
          <w:rFonts w:ascii="Arial" w:eastAsia="Times New Roman" w:hAnsi="Arial" w:cs="Arial"/>
          <w:kern w:val="0"/>
          <w:lang w:val="mn-MN"/>
          <w14:ligatures w14:val="none"/>
        </w:rPr>
        <w:t xml:space="preserve">       </w:t>
      </w:r>
      <w:r w:rsidRPr="00A44D63">
        <w:rPr>
          <w:rFonts w:ascii="Arial" w:eastAsia="Times New Roman" w:hAnsi="Arial" w:cs="Arial"/>
          <w:kern w:val="0"/>
          <w:lang w:val="mn-MN"/>
          <w14:ligatures w14:val="none"/>
        </w:rPr>
        <w:t xml:space="preserve">31-ний өдрийн байдлаар импортын хэмжээ 2.2 сая тонн болж өмнөх оноос даруй </w:t>
      </w:r>
      <w:r w:rsidR="00636CF9">
        <w:rPr>
          <w:rFonts w:ascii="Arial" w:eastAsia="Times New Roman" w:hAnsi="Arial" w:cs="Arial"/>
          <w:kern w:val="0"/>
          <w:lang w:val="mn-MN"/>
          <w14:ligatures w14:val="none"/>
        </w:rPr>
        <w:t xml:space="preserve">   </w:t>
      </w:r>
      <w:r w:rsidRPr="00A44D63">
        <w:rPr>
          <w:rFonts w:ascii="Arial" w:eastAsia="Times New Roman" w:hAnsi="Arial" w:cs="Arial"/>
          <w:kern w:val="0"/>
          <w:lang w:val="mn-MN"/>
          <w14:ligatures w14:val="none"/>
        </w:rPr>
        <w:t>21 хувиар өссөн.</w:t>
      </w:r>
    </w:p>
    <w:p w14:paraId="1A199D4E" w14:textId="77777777" w:rsidR="001F5121" w:rsidRPr="00A44D63" w:rsidRDefault="001F5121" w:rsidP="00FB5273">
      <w:pPr>
        <w:spacing w:after="0" w:line="240" w:lineRule="auto"/>
        <w:ind w:firstLine="720"/>
        <w:jc w:val="center"/>
        <w:rPr>
          <w:rFonts w:ascii="Arial" w:eastAsia="Times New Roman" w:hAnsi="Arial" w:cs="Arial"/>
          <w:noProof/>
          <w:kern w:val="0"/>
          <w:lang w:val="mn-MN" w:eastAsia="zh-TW"/>
          <w14:ligatures w14:val="none"/>
        </w:rPr>
      </w:pPr>
      <w:r w:rsidRPr="00A44D63">
        <w:rPr>
          <w:rFonts w:ascii="Arial" w:eastAsia="Times New Roman" w:hAnsi="Arial" w:cs="Arial"/>
          <w:noProof/>
          <w:kern w:val="0"/>
          <w:lang w:val="mn-MN" w:eastAsia="zh-TW"/>
          <w14:ligatures w14:val="none"/>
        </w:rPr>
        <w:t>Газрын тосны бүтээгдэхүүний импорт /мян.тонн/</w:t>
      </w:r>
    </w:p>
    <w:p w14:paraId="63B47594" w14:textId="77777777" w:rsidR="001F5121" w:rsidRPr="00A44D63" w:rsidRDefault="001F5121" w:rsidP="00FB5273">
      <w:pPr>
        <w:spacing w:after="0" w:line="240" w:lineRule="auto"/>
        <w:ind w:firstLine="720"/>
        <w:jc w:val="center"/>
        <w:rPr>
          <w:rFonts w:ascii="Arial" w:eastAsia="Times New Roman" w:hAnsi="Arial" w:cs="Arial"/>
          <w:noProof/>
          <w:kern w:val="0"/>
          <w:lang w:val="mn-MN" w:eastAsia="zh-TW"/>
          <w14:ligatures w14:val="none"/>
        </w:rPr>
      </w:pPr>
    </w:p>
    <w:p w14:paraId="1D0F8A1B" w14:textId="03973BBF" w:rsidR="001F5121" w:rsidRPr="00A44D63" w:rsidRDefault="003806F8" w:rsidP="008C44B0">
      <w:pPr>
        <w:spacing w:after="0" w:line="240" w:lineRule="auto"/>
        <w:jc w:val="both"/>
        <w:rPr>
          <w:rFonts w:ascii="Arial" w:eastAsia="Times New Roman" w:hAnsi="Arial" w:cs="Arial"/>
          <w:b/>
          <w:bCs/>
          <w:kern w:val="0"/>
          <w:lang w:val="mn-MN"/>
          <w14:ligatures w14:val="none"/>
        </w:rPr>
      </w:pPr>
      <w:r w:rsidRPr="00A44D63">
        <w:rPr>
          <w:rFonts w:ascii="Arial" w:hAnsi="Arial" w:cs="Arial"/>
          <w:b/>
          <w:bCs/>
          <w:noProof/>
          <w:lang w:val="mn-MN"/>
        </w:rPr>
        <w:drawing>
          <wp:inline distT="0" distB="0" distL="0" distR="0" wp14:anchorId="5BDBBBA4" wp14:editId="31360D17">
            <wp:extent cx="5950634" cy="2394585"/>
            <wp:effectExtent l="0" t="0" r="18415" b="18415"/>
            <wp:docPr id="12785438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51D858" w14:textId="77777777" w:rsidR="00CD686B" w:rsidRPr="00A44D63" w:rsidRDefault="00CD686B" w:rsidP="00FB5273">
      <w:pPr>
        <w:spacing w:after="0" w:line="240" w:lineRule="auto"/>
        <w:ind w:firstLine="720"/>
        <w:jc w:val="both"/>
        <w:rPr>
          <w:rFonts w:ascii="Arial" w:eastAsia="Times New Roman" w:hAnsi="Arial" w:cs="Arial"/>
          <w:kern w:val="0"/>
          <w:lang w:val="mn-MN"/>
          <w14:ligatures w14:val="none"/>
        </w:rPr>
      </w:pPr>
    </w:p>
    <w:p w14:paraId="2F068363" w14:textId="01A0E8A7" w:rsidR="001F5121" w:rsidRPr="00A44D63" w:rsidRDefault="001F5121" w:rsidP="00FB5273">
      <w:pPr>
        <w:spacing w:after="0" w:line="240" w:lineRule="auto"/>
        <w:ind w:firstLine="720"/>
        <w:jc w:val="both"/>
        <w:rPr>
          <w:rFonts w:ascii="Arial" w:eastAsia="Times New Roman" w:hAnsi="Arial" w:cs="Arial"/>
          <w:kern w:val="0"/>
          <w:lang w:val="mn-MN"/>
          <w14:ligatures w14:val="none"/>
        </w:rPr>
      </w:pPr>
      <w:r w:rsidRPr="00A44D63">
        <w:rPr>
          <w:rFonts w:ascii="Arial" w:eastAsia="Times New Roman" w:hAnsi="Arial" w:cs="Arial"/>
          <w:kern w:val="0"/>
          <w:lang w:val="mn-MN"/>
          <w14:ligatures w14:val="none"/>
        </w:rPr>
        <w:t>Цаашид уул уурхай, хөдөө аж ахуйн үйлдвэрлэл, нийгэм</w:t>
      </w:r>
      <w:r w:rsidR="00636CF9">
        <w:rPr>
          <w:rFonts w:ascii="Arial" w:eastAsia="Times New Roman" w:hAnsi="Arial" w:cs="Arial"/>
          <w:kern w:val="0"/>
          <w:lang w:val="mn-MN"/>
          <w14:ligatures w14:val="none"/>
        </w:rPr>
        <w:t>,</w:t>
      </w:r>
      <w:r w:rsidRPr="00A44D63">
        <w:rPr>
          <w:rFonts w:ascii="Arial" w:eastAsia="Times New Roman" w:hAnsi="Arial" w:cs="Arial"/>
          <w:kern w:val="0"/>
          <w:lang w:val="mn-MN"/>
          <w14:ligatures w14:val="none"/>
        </w:rPr>
        <w:t xml:space="preserve"> эдийн засгийн өсөлтийг дагаад манай улсын газрын тосны бүтээгдэхүүний хэрэглээ тасралтгүй өсөн нэмэгдэж, 2026 онд 2.8 сая тн, 2027 онд 2.9 сая тн</w:t>
      </w:r>
      <w:r w:rsidR="00EF38DC" w:rsidRPr="00A44D63">
        <w:rPr>
          <w:rFonts w:ascii="Arial" w:eastAsia="Times New Roman" w:hAnsi="Arial" w:cs="Arial"/>
          <w:kern w:val="0"/>
          <w:lang w:val="mn-MN"/>
          <w14:ligatures w14:val="none"/>
        </w:rPr>
        <w:t>-д</w:t>
      </w:r>
      <w:r w:rsidRPr="00A44D63">
        <w:rPr>
          <w:rFonts w:ascii="Arial" w:eastAsia="Times New Roman" w:hAnsi="Arial" w:cs="Arial"/>
          <w:kern w:val="0"/>
          <w:lang w:val="mn-MN"/>
          <w14:ligatures w14:val="none"/>
        </w:rPr>
        <w:t xml:space="preserve"> хүрэх төлөвтэй байна.</w:t>
      </w:r>
    </w:p>
    <w:p w14:paraId="351FA8F0" w14:textId="77777777" w:rsidR="008C44B0" w:rsidRDefault="008C44B0" w:rsidP="00FB5273">
      <w:pPr>
        <w:spacing w:after="0" w:line="240" w:lineRule="auto"/>
        <w:ind w:firstLine="720"/>
        <w:jc w:val="both"/>
        <w:rPr>
          <w:rFonts w:ascii="Arial" w:eastAsia="Calibri" w:hAnsi="Arial" w:cs="Arial"/>
          <w:bCs/>
          <w:kern w:val="0"/>
          <w:lang w:val="mn-MN"/>
          <w14:ligatures w14:val="none"/>
        </w:rPr>
      </w:pPr>
    </w:p>
    <w:p w14:paraId="3EC7A2AD" w14:textId="4654E895" w:rsidR="001F5121" w:rsidRPr="00A54AF0" w:rsidRDefault="00B91A54" w:rsidP="00FB5273">
      <w:pPr>
        <w:spacing w:after="0" w:line="240" w:lineRule="auto"/>
        <w:ind w:firstLine="720"/>
        <w:jc w:val="both"/>
        <w:rPr>
          <w:rFonts w:ascii="Arial" w:eastAsia="Calibri" w:hAnsi="Arial" w:cs="Arial"/>
          <w:bCs/>
          <w:lang w:val="mn-MN"/>
          <w14:ligatures w14:val="none"/>
        </w:rPr>
      </w:pPr>
      <w:r w:rsidRPr="00A44D63">
        <w:rPr>
          <w:rFonts w:ascii="Arial" w:eastAsia="Calibri" w:hAnsi="Arial" w:cs="Arial"/>
          <w:bCs/>
          <w:kern w:val="0"/>
          <w:lang w:val="mn-MN"/>
          <w14:ligatures w14:val="none"/>
        </w:rPr>
        <w:t>Манай улсын газрын тосны бүтээгдэхүүний гол ханган нийлүүлэгч ОХУ-ын Засгийн газар болон нийлүүлэгч компаниудаас тус улсын дотоодын зах зээлийн нөхцөл байдал, үйлдвэрийн процесс, төлөвлөгөөт ажилтай холбоотойгоор гаргасан экспортын хориг, нийлүүлэлтийг бууруулах зэрэг арга хэмжээнүүд нь манай улсын шатахууны хангамжийн тогтвортой байдалд шууд нөлөөлж, тасалдал хомсдол үүсгэн, эрэлтийг нэмэгдүүлэн, үнийн хэлбэлзлийг бий болгож ирсэн. Тухайлбал, 2021 оны 10 дугаар сард ОХУ-ын Роснефть компани АИ-92 автобензин</w:t>
      </w:r>
      <w:r w:rsidR="00167E3F">
        <w:rPr>
          <w:rFonts w:ascii="Arial" w:eastAsia="Calibri" w:hAnsi="Arial" w:cs="Arial"/>
          <w:bCs/>
          <w:kern w:val="0"/>
          <w:lang w:val="mn-MN"/>
          <w14:ligatures w14:val="none"/>
        </w:rPr>
        <w:t>ий</w:t>
      </w:r>
      <w:r w:rsidR="000B6BE7">
        <w:rPr>
          <w:rFonts w:ascii="Arial" w:eastAsia="Calibri" w:hAnsi="Arial" w:cs="Arial"/>
          <w:bCs/>
          <w:kern w:val="0"/>
          <w:lang w:val="mn-MN"/>
          <w14:ligatures w14:val="none"/>
        </w:rPr>
        <w:t>н</w:t>
      </w:r>
      <w:r w:rsidRPr="00A44D63">
        <w:rPr>
          <w:rFonts w:ascii="Arial" w:eastAsia="Calibri" w:hAnsi="Arial" w:cs="Arial"/>
          <w:bCs/>
          <w:kern w:val="0"/>
          <w:lang w:val="mn-MN"/>
          <w14:ligatures w14:val="none"/>
        </w:rPr>
        <w:t xml:space="preserve"> сарын нийлүүлэлтийг бууруулсантай холбоотойгоор дотоодын зах зээл дээр </w:t>
      </w:r>
      <w:r w:rsidR="00636CF9">
        <w:rPr>
          <w:rFonts w:ascii="Arial" w:eastAsia="Calibri" w:hAnsi="Arial" w:cs="Arial"/>
          <w:bCs/>
          <w:kern w:val="0"/>
          <w:lang w:val="mn-MN"/>
          <w14:ligatures w14:val="none"/>
        </w:rPr>
        <w:t xml:space="preserve">                        </w:t>
      </w:r>
      <w:r w:rsidRPr="00A44D63">
        <w:rPr>
          <w:rFonts w:ascii="Arial" w:eastAsia="Calibri" w:hAnsi="Arial" w:cs="Arial"/>
          <w:bCs/>
          <w:kern w:val="0"/>
          <w:lang w:val="mn-MN"/>
          <w14:ligatures w14:val="none"/>
        </w:rPr>
        <w:t>АИ-92 автобензин тасалдсан, мөн ОХУ-ын Засгийн газрын 2023 оны 09 дүгээр сарын 21-ний өдр</w:t>
      </w:r>
      <w:r w:rsidR="008C44B0">
        <w:rPr>
          <w:rFonts w:ascii="Arial" w:eastAsia="Calibri" w:hAnsi="Arial" w:cs="Arial"/>
          <w:bCs/>
          <w:kern w:val="0"/>
          <w:lang w:val="mn-MN"/>
          <w14:ligatures w14:val="none"/>
        </w:rPr>
        <w:t>ийн</w:t>
      </w:r>
      <w:r w:rsidRPr="00A44D63">
        <w:rPr>
          <w:rFonts w:ascii="Arial" w:eastAsia="Calibri" w:hAnsi="Arial" w:cs="Arial"/>
          <w:bCs/>
          <w:kern w:val="0"/>
          <w:lang w:val="mn-MN"/>
          <w14:ligatures w14:val="none"/>
        </w:rPr>
        <w:t xml:space="preserve"> 1537 дугаар тогтоолоор шатахууны экспортыг түр хугацаанд хориглосны улмаас Монгол Улс руу ачигдах газрын тосны бүтээгдэхүүний тээвэрлэлт зогсож, нийт 21 хоногийн хугацаанд импорт хийгдээгүйгээс шалтгаалан дотоодын зах зээл дээр түлш, шатахууны хангамж тасалдах, доголдох эрсдэл</w:t>
      </w:r>
      <w:r w:rsidRPr="00A44D63">
        <w:rPr>
          <w:rFonts w:ascii="Arial" w:eastAsia="Calibri" w:hAnsi="Arial" w:cs="Arial"/>
          <w:bCs/>
          <w:lang w:val="mn-MN"/>
          <w14:ligatures w14:val="none"/>
        </w:rPr>
        <w:t>үүд тулгарч ирсэн</w:t>
      </w:r>
      <w:r w:rsidRPr="00A44D63">
        <w:rPr>
          <w:rFonts w:ascii="Arial" w:eastAsia="Calibri" w:hAnsi="Arial" w:cs="Arial"/>
          <w:bCs/>
          <w:kern w:val="0"/>
          <w:lang w:val="mn-MN"/>
          <w14:ligatures w14:val="none"/>
        </w:rPr>
        <w:t>.</w:t>
      </w:r>
    </w:p>
    <w:p w14:paraId="309C3121" w14:textId="77777777" w:rsidR="00636CF9" w:rsidRDefault="00636CF9" w:rsidP="00FB5273">
      <w:pPr>
        <w:spacing w:after="0" w:line="240" w:lineRule="auto"/>
        <w:ind w:firstLine="720"/>
        <w:jc w:val="both"/>
        <w:rPr>
          <w:rFonts w:ascii="Arial" w:eastAsia="Times New Roman" w:hAnsi="Arial" w:cs="Arial"/>
          <w:kern w:val="0"/>
          <w:lang w:val="mn-MN"/>
          <w14:ligatures w14:val="none"/>
        </w:rPr>
      </w:pPr>
    </w:p>
    <w:p w14:paraId="0BB8911B" w14:textId="426B7CB6" w:rsidR="001F5121" w:rsidRPr="00A44D63" w:rsidRDefault="001F5121" w:rsidP="00FB5273">
      <w:pPr>
        <w:spacing w:after="0" w:line="240" w:lineRule="auto"/>
        <w:ind w:firstLine="720"/>
        <w:jc w:val="both"/>
        <w:rPr>
          <w:rFonts w:ascii="Arial" w:eastAsia="Times New Roman" w:hAnsi="Arial" w:cs="Arial"/>
          <w:bCs/>
          <w:kern w:val="0"/>
          <w:lang w:val="mn-MN"/>
          <w14:ligatures w14:val="none"/>
        </w:rPr>
      </w:pPr>
      <w:r w:rsidRPr="00A44D63">
        <w:rPr>
          <w:rFonts w:ascii="Arial" w:eastAsia="Times New Roman" w:hAnsi="Arial" w:cs="Arial"/>
          <w:kern w:val="0"/>
          <w:lang w:val="mn-MN"/>
          <w14:ligatures w14:val="none"/>
        </w:rPr>
        <w:t xml:space="preserve">Иймд </w:t>
      </w:r>
      <w:r w:rsidRPr="00A44D63">
        <w:rPr>
          <w:rFonts w:ascii="Arial" w:eastAsia="Times New Roman" w:hAnsi="Arial" w:cs="Arial"/>
          <w:bCs/>
          <w:kern w:val="0"/>
          <w:lang w:val="mn-MN"/>
          <w14:ligatures w14:val="none"/>
        </w:rPr>
        <w:t>газрын тосны бүтээгдэхүүн импортлогч аж ахуйн нэгжүүдэд шатахууны хангамжийн тогтвортой байдлыг хангахад шаардлагатай нөөцийг бүрдүүлэх, Монгол Улсын газрын тосны бүтээгдэхүүний нэг сар</w:t>
      </w:r>
      <w:r w:rsidR="00EF38DC" w:rsidRPr="00A44D63">
        <w:rPr>
          <w:rFonts w:ascii="Arial" w:eastAsia="Times New Roman" w:hAnsi="Arial" w:cs="Arial"/>
          <w:bCs/>
          <w:kern w:val="0"/>
          <w:lang w:val="mn-MN"/>
          <w14:ligatures w14:val="none"/>
        </w:rPr>
        <w:t xml:space="preserve"> (30 хоног)-аас доошгүй </w:t>
      </w:r>
      <w:r w:rsidRPr="00A44D63">
        <w:rPr>
          <w:rFonts w:ascii="Arial" w:eastAsia="Times New Roman" w:hAnsi="Arial" w:cs="Arial"/>
          <w:bCs/>
          <w:kern w:val="0"/>
          <w:lang w:val="mn-MN"/>
          <w14:ligatures w14:val="none"/>
        </w:rPr>
        <w:lastRenderedPageBreak/>
        <w:t>хэрэглээний нөөцийг хадгалах агуулах барихад шаардагдах хөнгөлөлттэй санхүүжилтийг олгох асуудлыг шийдвэрлэх шаардлагатай байна.</w:t>
      </w:r>
    </w:p>
    <w:p w14:paraId="442F2C87" w14:textId="77777777" w:rsidR="008C44B0" w:rsidRDefault="008C44B0" w:rsidP="00FB5273">
      <w:pPr>
        <w:spacing w:after="0" w:line="240" w:lineRule="auto"/>
        <w:ind w:firstLine="720"/>
        <w:jc w:val="both"/>
        <w:rPr>
          <w:rFonts w:ascii="Arial" w:eastAsia="Calibri" w:hAnsi="Arial" w:cs="Arial"/>
          <w:bCs/>
          <w:lang w:val="mn-MN"/>
          <w14:ligatures w14:val="none"/>
        </w:rPr>
      </w:pPr>
    </w:p>
    <w:p w14:paraId="0AF33E3F" w14:textId="0DAB2DD5" w:rsidR="00EB4E64" w:rsidRPr="0035058C" w:rsidRDefault="00EB4E64" w:rsidP="00FB5273">
      <w:pPr>
        <w:spacing w:after="0" w:line="240" w:lineRule="auto"/>
        <w:ind w:firstLine="720"/>
        <w:jc w:val="both"/>
        <w:rPr>
          <w:rFonts w:ascii="Arial" w:eastAsia="Calibri" w:hAnsi="Arial"/>
          <w:b/>
          <w:szCs w:val="30"/>
          <w:lang w:val="mn-MN" w:bidi="mn-Mong-MN"/>
          <w14:ligatures w14:val="none"/>
        </w:rPr>
      </w:pPr>
      <w:r w:rsidRPr="0035058C">
        <w:rPr>
          <w:rFonts w:ascii="Arial" w:eastAsia="Calibri" w:hAnsi="Arial" w:cs="Arial"/>
          <w:bCs/>
          <w:lang w:val="mn-MN"/>
          <w14:ligatures w14:val="none"/>
        </w:rPr>
        <w:t>Энэ хуулийн төсөл нь олон улсын худалдааны нөхцөл байдал, гадаад хүчин зүйлээс сэргийлэх, стратегийн ач холбогдол бүхий бүтээгдэхүүний хангамж, нийлүүлэлтийг дэмжих учирч болзошгүй эрсдэлийг бууруулах, даван туулах арга хэмжээг тодорхойлох, холбогдох шийдвэрийг шуурхай гаргах нөхцөлийг бүрдүүлэх зорилготой.</w:t>
      </w:r>
    </w:p>
    <w:p w14:paraId="0DF8B390" w14:textId="77777777" w:rsidR="008C44B0" w:rsidRDefault="008C44B0" w:rsidP="00FB5273">
      <w:pPr>
        <w:spacing w:after="0" w:line="240" w:lineRule="auto"/>
        <w:ind w:firstLine="720"/>
        <w:jc w:val="both"/>
        <w:rPr>
          <w:rFonts w:ascii="Arial" w:eastAsia="Calibri" w:hAnsi="Arial" w:cs="Arial"/>
          <w:bCs/>
          <w:lang w:val="mn-MN"/>
          <w14:ligatures w14:val="none"/>
        </w:rPr>
      </w:pPr>
    </w:p>
    <w:p w14:paraId="30A7BAFF" w14:textId="414FD39C" w:rsidR="00EB4E64" w:rsidRPr="0035058C" w:rsidRDefault="00EB4E64" w:rsidP="00FB5273">
      <w:pPr>
        <w:spacing w:after="0" w:line="240" w:lineRule="auto"/>
        <w:ind w:firstLine="720"/>
        <w:jc w:val="both"/>
        <w:rPr>
          <w:rFonts w:ascii="Arial" w:eastAsia="Calibri" w:hAnsi="Arial" w:cs="Arial"/>
          <w:b/>
          <w:lang w:val="mn-MN"/>
          <w14:ligatures w14:val="none"/>
        </w:rPr>
      </w:pPr>
      <w:r w:rsidRPr="0035058C">
        <w:rPr>
          <w:rFonts w:ascii="Arial" w:eastAsia="Calibri" w:hAnsi="Arial" w:cs="Arial"/>
          <w:bCs/>
          <w:lang w:val="mn-MN"/>
          <w14:ligatures w14:val="none"/>
        </w:rPr>
        <w:t>Нэгдүгээр бүлэгт нийтлэг үндэслэл буюу хуулийн зорилт, холбогдох хууль тогтоомж, хуулийн үйлчлэх хүрээ, хуулийн зарчмын талаар тусга</w:t>
      </w:r>
      <w:r w:rsidR="008C44B0">
        <w:rPr>
          <w:rFonts w:ascii="Arial" w:eastAsia="Calibri" w:hAnsi="Arial" w:cs="Arial"/>
          <w:bCs/>
          <w:lang w:val="mn-MN"/>
          <w14:ligatures w14:val="none"/>
        </w:rPr>
        <w:t>сан</w:t>
      </w:r>
      <w:r w:rsidRPr="0035058C">
        <w:rPr>
          <w:rFonts w:ascii="Arial" w:eastAsia="Calibri" w:hAnsi="Arial" w:cs="Arial"/>
          <w:bCs/>
          <w:lang w:val="mn-MN"/>
          <w14:ligatures w14:val="none"/>
        </w:rPr>
        <w:t xml:space="preserve"> бөгөөд эдгээр зохицуулалтын гол зорилго нь стратегийн ач холбогдол бүхий бүтээгдэхүүний хангамж, нийлүүлэлтийг дэмжихэд чиглэнэ</w:t>
      </w:r>
      <w:r w:rsidR="008C44B0">
        <w:rPr>
          <w:rFonts w:ascii="Arial" w:eastAsia="Calibri" w:hAnsi="Arial" w:cs="Arial"/>
          <w:bCs/>
          <w:lang w:val="mn-MN"/>
          <w14:ligatures w14:val="none"/>
        </w:rPr>
        <w:t>.</w:t>
      </w:r>
    </w:p>
    <w:p w14:paraId="5DBA5178" w14:textId="77777777" w:rsidR="008C44B0" w:rsidRDefault="008C44B0" w:rsidP="00FB5273">
      <w:pPr>
        <w:spacing w:after="0" w:line="240" w:lineRule="auto"/>
        <w:ind w:firstLine="720"/>
        <w:jc w:val="both"/>
        <w:rPr>
          <w:rFonts w:ascii="Arial" w:eastAsia="Calibri" w:hAnsi="Arial" w:cs="Arial"/>
          <w:bCs/>
          <w:lang w:val="mn-MN"/>
          <w14:ligatures w14:val="none"/>
        </w:rPr>
      </w:pPr>
    </w:p>
    <w:p w14:paraId="2DBDA6C0" w14:textId="2D58CC19" w:rsidR="00EB4E64" w:rsidRPr="0035058C" w:rsidRDefault="00EB4E64" w:rsidP="00FB5273">
      <w:pPr>
        <w:spacing w:after="0" w:line="240" w:lineRule="auto"/>
        <w:ind w:firstLine="720"/>
        <w:jc w:val="both"/>
        <w:rPr>
          <w:rFonts w:ascii="Arial" w:eastAsia="Calibri" w:hAnsi="Arial" w:cs="Arial"/>
          <w:bCs/>
          <w:lang w:val="mn-MN"/>
          <w14:ligatures w14:val="none"/>
        </w:rPr>
      </w:pPr>
      <w:r w:rsidRPr="0035058C">
        <w:rPr>
          <w:rFonts w:ascii="Arial" w:eastAsia="Calibri" w:hAnsi="Arial" w:cs="Arial"/>
          <w:bCs/>
          <w:lang w:val="mn-MN"/>
          <w14:ligatures w14:val="none"/>
        </w:rPr>
        <w:t xml:space="preserve">Хоёрдугаар бүлэгт </w:t>
      </w:r>
      <w:bookmarkStart w:id="1" w:name="_Hlk213093773"/>
      <w:r w:rsidRPr="0035058C">
        <w:rPr>
          <w:rFonts w:ascii="Arial" w:eastAsia="Calibri" w:hAnsi="Arial" w:cs="Arial"/>
          <w:bCs/>
          <w:lang w:val="mn-MN"/>
          <w14:ligatures w14:val="none"/>
        </w:rPr>
        <w:t>Газрын тосны бүтээгдэхүүний тухай хуульд тусгагдаагүй төрийн байгууллагуудын авч хэрэгжүүлэх онцлог зохицуулалтыг тусга</w:t>
      </w:r>
      <w:r w:rsidR="008C44B0">
        <w:rPr>
          <w:rFonts w:ascii="Arial" w:eastAsia="Calibri" w:hAnsi="Arial" w:cs="Arial"/>
          <w:bCs/>
          <w:lang w:val="mn-MN"/>
          <w14:ligatures w14:val="none"/>
        </w:rPr>
        <w:t>сан</w:t>
      </w:r>
      <w:bookmarkEnd w:id="1"/>
      <w:r w:rsidRPr="0035058C">
        <w:rPr>
          <w:rFonts w:ascii="Arial" w:eastAsia="Calibri" w:hAnsi="Arial" w:cs="Arial"/>
          <w:bCs/>
          <w:lang w:val="mn-MN"/>
          <w14:ligatures w14:val="none"/>
        </w:rPr>
        <w:t>.</w:t>
      </w:r>
    </w:p>
    <w:p w14:paraId="0A84F4B7" w14:textId="77777777" w:rsidR="008C44B0" w:rsidRDefault="008C44B0" w:rsidP="00FB5273">
      <w:pPr>
        <w:spacing w:after="0" w:line="240" w:lineRule="auto"/>
        <w:ind w:firstLine="720"/>
        <w:jc w:val="both"/>
        <w:rPr>
          <w:rFonts w:ascii="Arial" w:eastAsia="Calibri" w:hAnsi="Arial" w:cs="Arial"/>
          <w:bCs/>
          <w:lang w:val="mn-MN"/>
          <w14:ligatures w14:val="none"/>
        </w:rPr>
      </w:pPr>
    </w:p>
    <w:p w14:paraId="5FB2CC9E" w14:textId="78673D2C" w:rsidR="00EB4E64" w:rsidRPr="0035058C" w:rsidRDefault="00EB4E64" w:rsidP="00FB5273">
      <w:pPr>
        <w:spacing w:after="0" w:line="240" w:lineRule="auto"/>
        <w:ind w:firstLine="720"/>
        <w:jc w:val="both"/>
        <w:rPr>
          <w:rFonts w:ascii="Arial" w:eastAsia="Times New Roman" w:hAnsi="Arial"/>
          <w:bCs/>
          <w:kern w:val="0"/>
          <w:szCs w:val="30"/>
          <w:shd w:val="clear" w:color="auto" w:fill="FFFFFF"/>
          <w:lang w:val="mn-MN" w:bidi="mn-Mong-MN"/>
          <w14:ligatures w14:val="none"/>
        </w:rPr>
      </w:pPr>
      <w:r w:rsidRPr="0035058C">
        <w:rPr>
          <w:rFonts w:ascii="Arial" w:eastAsia="Calibri" w:hAnsi="Arial" w:cs="Arial"/>
          <w:bCs/>
          <w:lang w:val="mn-MN"/>
          <w14:ligatures w14:val="none"/>
        </w:rPr>
        <w:t xml:space="preserve">Тухайлбал, </w:t>
      </w:r>
      <w:r w:rsidRPr="0035058C">
        <w:rPr>
          <w:rFonts w:ascii="Arial" w:eastAsia="Times New Roman" w:hAnsi="Arial" w:cs="Times New Roman"/>
          <w:bCs/>
          <w:kern w:val="0"/>
          <w:shd w:val="clear" w:color="auto" w:fill="FFFFFF"/>
          <w:lang w:val="mn-MN"/>
          <w14:ligatures w14:val="none"/>
        </w:rPr>
        <w:t xml:space="preserve">Засгийн газар </w:t>
      </w:r>
      <w:r w:rsidRPr="0035058C">
        <w:rPr>
          <w:rFonts w:ascii="Arial" w:eastAsia="Times New Roman" w:hAnsi="Arial" w:cs="Arial"/>
          <w:kern w:val="0"/>
          <w:lang w:val="mn-MN"/>
          <w14:ligatures w14:val="none"/>
        </w:rPr>
        <w:t>стратегийн ач холбогдол бүхий бүтээгдэхүүний</w:t>
      </w:r>
      <w:r w:rsidRPr="0035058C">
        <w:rPr>
          <w:rFonts w:ascii="Arial" w:eastAsia="Times New Roman" w:hAnsi="Arial" w:cs="Times New Roman"/>
          <w:bCs/>
          <w:kern w:val="0"/>
          <w:shd w:val="clear" w:color="auto" w:fill="FFFFFF"/>
          <w:lang w:val="mn-MN"/>
          <w14:ligatures w14:val="none"/>
        </w:rPr>
        <w:t xml:space="preserve"> нийлүүлэлтийн хэмжээг нийлүүлэгч талаас 50 болон түүнээс дээш хувиар бууруулсан тохиолдолд дотоодод шатахууны нийлүүлэлтэд хомсдол, тасалдал үүсэх нөхцөл бүрдсэн гэж үзэж нийлүүлэлтийн эх үүсвэрийг нэмэгдүүлэх талаар холбогдох арга хэмжээг авах бөгөөд улмаар шуурхай штаб байгуулж, импортлогч аж ахуйн нэгжүүдийн бөөний агуулахад хяналт тавих, импортын шатахууныг хуваарилах, жижиглэнгээр түгээх, борлуулах хэмжээг тогтоох ажлыг шуурхай зохион байгуулах</w:t>
      </w:r>
      <w:r w:rsidR="008C44B0">
        <w:rPr>
          <w:rFonts w:ascii="Arial" w:eastAsia="Times New Roman" w:hAnsi="Arial"/>
          <w:bCs/>
          <w:kern w:val="0"/>
          <w:szCs w:val="30"/>
          <w:shd w:val="clear" w:color="auto" w:fill="FFFFFF"/>
          <w:lang w:val="mn-MN" w:bidi="mn-Mong-MN"/>
          <w14:ligatures w14:val="none"/>
        </w:rPr>
        <w:t xml:space="preserve"> юм.</w:t>
      </w:r>
    </w:p>
    <w:p w14:paraId="79D521B8" w14:textId="77777777" w:rsidR="008C44B0" w:rsidRDefault="008C44B0" w:rsidP="00FB5273">
      <w:pPr>
        <w:spacing w:after="0" w:line="240" w:lineRule="auto"/>
        <w:ind w:firstLine="720"/>
        <w:jc w:val="both"/>
        <w:rPr>
          <w:rFonts w:ascii="Arial" w:eastAsia="Times New Roman" w:hAnsi="Arial" w:cs="Times New Roman"/>
          <w:bCs/>
          <w:kern w:val="0"/>
          <w:shd w:val="clear" w:color="auto" w:fill="FFFFFF"/>
          <w:lang w:val="mn-MN"/>
          <w14:ligatures w14:val="none"/>
        </w:rPr>
      </w:pPr>
    </w:p>
    <w:p w14:paraId="6960C46E" w14:textId="1F56DB89" w:rsidR="00EB4E64" w:rsidRPr="0035058C" w:rsidRDefault="00EB4E64" w:rsidP="00FB5273">
      <w:pPr>
        <w:spacing w:after="0" w:line="240" w:lineRule="auto"/>
        <w:ind w:firstLine="720"/>
        <w:jc w:val="both"/>
        <w:rPr>
          <w:rFonts w:ascii="Arial" w:eastAsiaTheme="minorEastAsia" w:hAnsi="Arial" w:cs="Times New Roman"/>
          <w:bCs/>
          <w:kern w:val="0"/>
          <w:shd w:val="clear" w:color="auto" w:fill="FFFFFF"/>
          <w:lang w:val="mn-MN" w:eastAsia="zh-CN"/>
          <w14:ligatures w14:val="none"/>
        </w:rPr>
      </w:pPr>
      <w:r w:rsidRPr="0035058C">
        <w:rPr>
          <w:rFonts w:ascii="Arial" w:eastAsia="Times New Roman" w:hAnsi="Arial" w:cs="Times New Roman"/>
          <w:bCs/>
          <w:kern w:val="0"/>
          <w:shd w:val="clear" w:color="auto" w:fill="FFFFFF"/>
          <w:lang w:val="mn-MN"/>
          <w14:ligatures w14:val="none"/>
        </w:rPr>
        <w:t>Түүнчлэн,</w:t>
      </w:r>
      <w:r>
        <w:rPr>
          <w:rFonts w:ascii="Arial" w:eastAsia="Times New Roman" w:hAnsi="Arial" w:cs="Times New Roman"/>
          <w:bCs/>
          <w:kern w:val="0"/>
          <w:shd w:val="clear" w:color="auto" w:fill="FFFFFF"/>
          <w:lang w:val="mn-MN"/>
          <w14:ligatures w14:val="none"/>
        </w:rPr>
        <w:t xml:space="preserve"> </w:t>
      </w:r>
      <w:r w:rsidRPr="0035058C">
        <w:rPr>
          <w:rFonts w:ascii="Arial" w:eastAsia="Times New Roman" w:hAnsi="Arial" w:cs="Times New Roman"/>
          <w:bCs/>
          <w:kern w:val="0"/>
          <w:shd w:val="clear" w:color="auto" w:fill="FFFFFF"/>
          <w:lang w:val="mn-MN"/>
          <w14:ligatures w14:val="none"/>
        </w:rPr>
        <w:t>шаардлагатай тохиолдолд онцгой байдлын болон батлан хамгаалах салбарт хадгалагдаж байгаа нөөцийг гаргах</w:t>
      </w:r>
      <w:r w:rsidR="008C44B0">
        <w:rPr>
          <w:rFonts w:ascii="Arial" w:eastAsia="Times New Roman" w:hAnsi="Arial"/>
          <w:bCs/>
          <w:kern w:val="0"/>
          <w:szCs w:val="30"/>
          <w:shd w:val="clear" w:color="auto" w:fill="FFFFFF"/>
          <w:lang w:val="mn-MN" w:bidi="mn-Mong-MN"/>
          <w14:ligatures w14:val="none"/>
        </w:rPr>
        <w:t xml:space="preserve"> асуудлыг шийдвэрлэнэ.</w:t>
      </w:r>
    </w:p>
    <w:p w14:paraId="1B61BCA3" w14:textId="77777777" w:rsidR="008C44B0" w:rsidRDefault="008C44B0" w:rsidP="00FB5273">
      <w:pPr>
        <w:spacing w:after="0" w:line="240" w:lineRule="auto"/>
        <w:ind w:firstLine="720"/>
        <w:jc w:val="both"/>
        <w:rPr>
          <w:rFonts w:ascii="Arial" w:eastAsia="Times New Roman" w:hAnsi="Arial" w:cs="Times New Roman"/>
          <w:bCs/>
          <w:kern w:val="0"/>
          <w:shd w:val="clear" w:color="auto" w:fill="FFFFFF"/>
          <w:lang w:val="mn-MN"/>
          <w14:ligatures w14:val="none"/>
        </w:rPr>
      </w:pPr>
    </w:p>
    <w:p w14:paraId="405C938A" w14:textId="4990118E" w:rsidR="00EB4E64" w:rsidRPr="0035058C" w:rsidRDefault="00EB4E64" w:rsidP="00FB5273">
      <w:pPr>
        <w:spacing w:after="0" w:line="240" w:lineRule="auto"/>
        <w:ind w:firstLine="720"/>
        <w:jc w:val="both"/>
        <w:rPr>
          <w:rFonts w:ascii="Arial" w:eastAsiaTheme="minorEastAsia" w:hAnsi="Arial" w:cs="Times New Roman"/>
          <w:bCs/>
          <w:kern w:val="0"/>
          <w:shd w:val="clear" w:color="auto" w:fill="FFFFFF"/>
          <w:lang w:val="mn-MN" w:eastAsia="zh-CN"/>
          <w14:ligatures w14:val="none"/>
        </w:rPr>
      </w:pPr>
      <w:r w:rsidRPr="0035058C">
        <w:rPr>
          <w:rFonts w:ascii="Arial" w:eastAsia="Times New Roman" w:hAnsi="Arial" w:cs="Times New Roman"/>
          <w:bCs/>
          <w:kern w:val="0"/>
          <w:shd w:val="clear" w:color="auto" w:fill="FFFFFF"/>
          <w:lang w:val="mn-MN"/>
          <w14:ligatures w14:val="none"/>
        </w:rPr>
        <w:t xml:space="preserve">Зохион байгуулалтын шинжтэй дээрх зохицуулалтаас гадна Монголбанк </w:t>
      </w:r>
      <w:r w:rsidRPr="0035058C">
        <w:rPr>
          <w:rFonts w:ascii="Arial" w:eastAsia="Times New Roman" w:hAnsi="Arial" w:cs="Arial"/>
          <w:kern w:val="0"/>
          <w:lang w:val="mn-MN"/>
          <w14:ligatures w14:val="none"/>
        </w:rPr>
        <w:t xml:space="preserve">стратегийн ач холбогдол бүхий бүтээгдэхүүний хангамж, нийлүүлэлтийг дэмжих </w:t>
      </w:r>
      <w:r w:rsidRPr="0076457A">
        <w:rPr>
          <w:rFonts w:ascii="Arial" w:eastAsia="Times New Roman" w:hAnsi="Arial" w:cs="Arial"/>
          <w:bCs/>
          <w:kern w:val="0"/>
          <w:lang w:val="mn-MN"/>
          <w14:ligatures w14:val="none"/>
        </w:rPr>
        <w:t xml:space="preserve">зорилгоор аж ахуйн </w:t>
      </w:r>
      <w:r w:rsidRPr="0035058C">
        <w:rPr>
          <w:rFonts w:ascii="Arial" w:eastAsia="Times New Roman" w:hAnsi="Arial" w:cs="Arial"/>
          <w:bCs/>
          <w:kern w:val="0"/>
          <w:lang w:val="mn-MN"/>
          <w14:ligatures w14:val="none"/>
        </w:rPr>
        <w:t>нэгжүүдэд эргэлтийн хөрөнгөд шаардагдах хөнгөлөлттэй санхүүжилтийг репо арилжааны нөхцөлөөр банканд олгох, мөн хадгалах агуулах, шилжүүлэн ачих байгууламж, дэд бүтцийг шинээр барих, өргөтгөхөд шаардагдах санхүүжилтийг хөнгөлөлттэй нөхцөлөөр олгох, эсхүл гадаад эх үүсвэрээр санхүүжүүлэх арга хэмжээ авах зэрэг зохицуулалтыг тусгана.</w:t>
      </w:r>
    </w:p>
    <w:p w14:paraId="04922726" w14:textId="77777777" w:rsidR="008C44B0" w:rsidRDefault="008C44B0" w:rsidP="00FB5273">
      <w:pPr>
        <w:spacing w:after="0" w:line="240" w:lineRule="auto"/>
        <w:ind w:firstLine="720"/>
        <w:jc w:val="both"/>
        <w:rPr>
          <w:rFonts w:ascii="Arial" w:eastAsia="Calibri" w:hAnsi="Arial" w:cs="Arial"/>
          <w:bCs/>
          <w:lang w:val="mn-MN"/>
          <w14:ligatures w14:val="none"/>
        </w:rPr>
      </w:pPr>
    </w:p>
    <w:p w14:paraId="3A94FE55" w14:textId="6230C8BF" w:rsidR="00EB4E64" w:rsidRPr="0035058C" w:rsidRDefault="00EB4E64" w:rsidP="00FB5273">
      <w:pPr>
        <w:spacing w:after="0" w:line="240" w:lineRule="auto"/>
        <w:ind w:firstLine="720"/>
        <w:jc w:val="both"/>
        <w:rPr>
          <w:rFonts w:ascii="Arial" w:eastAsia="Calibri" w:hAnsi="Arial" w:cs="Arial"/>
          <w:b/>
          <w:lang w:val="mn-MN"/>
          <w14:ligatures w14:val="none"/>
        </w:rPr>
      </w:pPr>
      <w:r w:rsidRPr="0035058C">
        <w:rPr>
          <w:rFonts w:ascii="Arial" w:eastAsia="Calibri" w:hAnsi="Arial" w:cs="Arial"/>
          <w:bCs/>
          <w:lang w:val="mn-MN"/>
          <w14:ligatures w14:val="none"/>
        </w:rPr>
        <w:t>Гуравдугаар бүлэгт хууль зөрчигчдөд хүлээлгэх хариуцлага, хуулийн үйлчлэх хугацааг тусгана.</w:t>
      </w:r>
    </w:p>
    <w:p w14:paraId="431922C7" w14:textId="77777777" w:rsidR="008C44B0" w:rsidRDefault="008C44B0" w:rsidP="00FB5273">
      <w:pPr>
        <w:spacing w:after="0" w:line="240" w:lineRule="auto"/>
        <w:ind w:firstLine="720"/>
        <w:jc w:val="both"/>
        <w:rPr>
          <w:rFonts w:ascii="Arial" w:eastAsia="Times New Roman" w:hAnsi="Arial" w:cs="Arial"/>
          <w:iCs/>
          <w:color w:val="000000"/>
          <w:kern w:val="0"/>
          <w:lang w:val="mn-MN"/>
          <w14:ligatures w14:val="none"/>
        </w:rPr>
      </w:pPr>
    </w:p>
    <w:p w14:paraId="583C5728" w14:textId="59AC9982" w:rsidR="009115F5" w:rsidRPr="00A44D63" w:rsidRDefault="001F5121" w:rsidP="00FB5273">
      <w:pPr>
        <w:spacing w:after="0" w:line="240" w:lineRule="auto"/>
        <w:ind w:firstLine="720"/>
        <w:jc w:val="both"/>
        <w:rPr>
          <w:rFonts w:ascii="Arial" w:eastAsia="Times New Roman" w:hAnsi="Arial" w:cs="Arial"/>
          <w:b/>
          <w:bCs/>
          <w:kern w:val="0"/>
          <w:lang w:val="mn-MN"/>
          <w14:ligatures w14:val="none"/>
        </w:rPr>
      </w:pPr>
      <w:r w:rsidRPr="00A44D63">
        <w:rPr>
          <w:rFonts w:ascii="Arial" w:eastAsia="Times New Roman" w:hAnsi="Arial" w:cs="Arial"/>
          <w:iCs/>
          <w:color w:val="000000"/>
          <w:kern w:val="0"/>
          <w:lang w:val="mn-MN"/>
          <w14:ligatures w14:val="none"/>
        </w:rPr>
        <w:t>Хуулийн төсөл нь Монгол Улсын Үндсэн хууль, Монгол Улсын олон улсын гэрээ, конвенц, Н</w:t>
      </w:r>
      <w:r w:rsidR="00636CF9">
        <w:rPr>
          <w:rFonts w:ascii="Arial" w:eastAsia="Times New Roman" w:hAnsi="Arial" w:cs="Arial"/>
          <w:iCs/>
          <w:color w:val="000000"/>
          <w:kern w:val="0"/>
          <w:lang w:val="mn-MN"/>
          <w14:ligatures w14:val="none"/>
        </w:rPr>
        <w:t xml:space="preserve">эгдсэн </w:t>
      </w:r>
      <w:r w:rsidRPr="00A44D63">
        <w:rPr>
          <w:rFonts w:ascii="Arial" w:eastAsia="Times New Roman" w:hAnsi="Arial" w:cs="Arial"/>
          <w:iCs/>
          <w:color w:val="000000"/>
          <w:kern w:val="0"/>
          <w:lang w:val="mn-MN"/>
          <w14:ligatures w14:val="none"/>
        </w:rPr>
        <w:t>Ү</w:t>
      </w:r>
      <w:r w:rsidR="00636CF9">
        <w:rPr>
          <w:rFonts w:ascii="Arial" w:eastAsia="Times New Roman" w:hAnsi="Arial" w:cs="Arial"/>
          <w:iCs/>
          <w:color w:val="000000"/>
          <w:kern w:val="0"/>
          <w:lang w:val="mn-MN"/>
          <w14:ligatures w14:val="none"/>
        </w:rPr>
        <w:t xml:space="preserve">ндэстний </w:t>
      </w:r>
      <w:r w:rsidRPr="00A44D63">
        <w:rPr>
          <w:rFonts w:ascii="Arial" w:eastAsia="Times New Roman" w:hAnsi="Arial" w:cs="Arial"/>
          <w:iCs/>
          <w:color w:val="000000"/>
          <w:kern w:val="0"/>
          <w:lang w:val="mn-MN"/>
          <w14:ligatures w14:val="none"/>
        </w:rPr>
        <w:t>Б</w:t>
      </w:r>
      <w:r w:rsidR="00636CF9">
        <w:rPr>
          <w:rFonts w:ascii="Arial" w:eastAsia="Times New Roman" w:hAnsi="Arial" w:cs="Arial"/>
          <w:iCs/>
          <w:color w:val="000000"/>
          <w:kern w:val="0"/>
          <w:lang w:val="mn-MN"/>
          <w14:ligatures w14:val="none"/>
        </w:rPr>
        <w:t>айгууллагы</w:t>
      </w:r>
      <w:r w:rsidRPr="00A44D63">
        <w:rPr>
          <w:rFonts w:ascii="Arial" w:eastAsia="Times New Roman" w:hAnsi="Arial" w:cs="Arial"/>
          <w:iCs/>
          <w:color w:val="000000"/>
          <w:kern w:val="0"/>
          <w:lang w:val="mn-MN"/>
          <w14:ligatures w14:val="none"/>
        </w:rPr>
        <w:t>н тогтоол болон бусад хуультай нийцтэй болно.</w:t>
      </w:r>
    </w:p>
    <w:p w14:paraId="00509C6A" w14:textId="77777777" w:rsidR="00CD686B" w:rsidRDefault="00CD686B" w:rsidP="00FB5273">
      <w:pPr>
        <w:spacing w:after="0" w:line="240" w:lineRule="auto"/>
        <w:ind w:firstLine="720"/>
        <w:jc w:val="both"/>
        <w:rPr>
          <w:rFonts w:ascii="Arial" w:eastAsia="Times New Roman" w:hAnsi="Arial" w:cs="Arial"/>
          <w:b/>
          <w:bCs/>
          <w:kern w:val="0"/>
          <w:lang w:val="mn-MN"/>
          <w14:ligatures w14:val="none"/>
        </w:rPr>
      </w:pPr>
    </w:p>
    <w:p w14:paraId="423559B2" w14:textId="77777777" w:rsidR="00636CF9" w:rsidRDefault="00636CF9" w:rsidP="00FB5273">
      <w:pPr>
        <w:spacing w:after="0" w:line="240" w:lineRule="auto"/>
        <w:ind w:firstLine="720"/>
        <w:jc w:val="both"/>
        <w:rPr>
          <w:rFonts w:ascii="Arial" w:eastAsia="Times New Roman" w:hAnsi="Arial" w:cs="Arial"/>
          <w:b/>
          <w:bCs/>
          <w:kern w:val="0"/>
          <w:lang w:val="mn-MN"/>
          <w14:ligatures w14:val="none"/>
        </w:rPr>
      </w:pPr>
    </w:p>
    <w:p w14:paraId="1DAF81C0" w14:textId="77777777" w:rsidR="00636CF9" w:rsidRDefault="00636CF9" w:rsidP="00FB5273">
      <w:pPr>
        <w:spacing w:after="0" w:line="240" w:lineRule="auto"/>
        <w:ind w:firstLine="720"/>
        <w:jc w:val="both"/>
        <w:rPr>
          <w:rFonts w:ascii="Arial" w:eastAsia="Times New Roman" w:hAnsi="Arial" w:cs="Arial"/>
          <w:b/>
          <w:bCs/>
          <w:kern w:val="0"/>
          <w:lang w:val="mn-MN"/>
          <w14:ligatures w14:val="none"/>
        </w:rPr>
      </w:pPr>
    </w:p>
    <w:p w14:paraId="7A1E7167" w14:textId="77777777" w:rsidR="008C44B0" w:rsidRPr="00A44D63" w:rsidRDefault="008C44B0" w:rsidP="00FB5273">
      <w:pPr>
        <w:spacing w:after="0" w:line="240" w:lineRule="auto"/>
        <w:ind w:firstLine="720"/>
        <w:jc w:val="both"/>
        <w:rPr>
          <w:rFonts w:ascii="Arial" w:eastAsia="Times New Roman" w:hAnsi="Arial" w:cs="Arial"/>
          <w:b/>
          <w:bCs/>
          <w:kern w:val="0"/>
          <w:lang w:val="mn-MN"/>
          <w14:ligatures w14:val="none"/>
        </w:rPr>
      </w:pPr>
    </w:p>
    <w:p w14:paraId="5DB909F2" w14:textId="35C445E5" w:rsidR="00A842EB" w:rsidRPr="00A44D63" w:rsidRDefault="00636CF9" w:rsidP="008C44B0">
      <w:pPr>
        <w:spacing w:after="0" w:line="240" w:lineRule="auto"/>
        <w:jc w:val="center"/>
        <w:rPr>
          <w:rFonts w:ascii="Arial" w:eastAsia="Times New Roman" w:hAnsi="Arial" w:cs="Arial"/>
          <w:kern w:val="0"/>
          <w:lang w:val="mn-MN"/>
          <w14:ligatures w14:val="none"/>
        </w:rPr>
      </w:pPr>
      <w:r>
        <w:rPr>
          <w:rFonts w:ascii="Arial" w:eastAsia="Times New Roman" w:hAnsi="Arial" w:cs="Arial"/>
          <w:kern w:val="0"/>
          <w:lang w:val="mn-MN"/>
          <w14:ligatures w14:val="none"/>
        </w:rPr>
        <w:t>МОНГОЛ УЛСЫН ЗАСГИЙН ГАЗАР</w:t>
      </w:r>
    </w:p>
    <w:sectPr w:rsidR="00A842EB" w:rsidRPr="00A44D63" w:rsidSect="006C5B6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6335" w14:textId="77777777" w:rsidR="00993E30" w:rsidRDefault="00993E30">
      <w:pPr>
        <w:spacing w:after="0" w:line="240" w:lineRule="auto"/>
      </w:pPr>
      <w:r>
        <w:separator/>
      </w:r>
    </w:p>
  </w:endnote>
  <w:endnote w:type="continuationSeparator" w:id="0">
    <w:p w14:paraId="5942216E" w14:textId="77777777" w:rsidR="00993E30" w:rsidRDefault="0099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F606" w14:textId="77777777" w:rsidR="00993E30" w:rsidRDefault="00993E30">
      <w:pPr>
        <w:spacing w:after="0" w:line="240" w:lineRule="auto"/>
      </w:pPr>
      <w:r>
        <w:separator/>
      </w:r>
    </w:p>
  </w:footnote>
  <w:footnote w:type="continuationSeparator" w:id="0">
    <w:p w14:paraId="004A6618" w14:textId="77777777" w:rsidR="00993E30" w:rsidRDefault="00993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EA1"/>
    <w:multiLevelType w:val="multilevel"/>
    <w:tmpl w:val="C8781A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03F7"/>
    <w:multiLevelType w:val="hybridMultilevel"/>
    <w:tmpl w:val="73064F7C"/>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93DB9"/>
    <w:multiLevelType w:val="hybridMultilevel"/>
    <w:tmpl w:val="68BC8D66"/>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D429B0"/>
    <w:multiLevelType w:val="multilevel"/>
    <w:tmpl w:val="0E1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4543A"/>
    <w:multiLevelType w:val="hybridMultilevel"/>
    <w:tmpl w:val="188027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9355F"/>
    <w:multiLevelType w:val="multilevel"/>
    <w:tmpl w:val="B39E42EC"/>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824F91"/>
    <w:multiLevelType w:val="hybridMultilevel"/>
    <w:tmpl w:val="7E367614"/>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00A25"/>
    <w:multiLevelType w:val="hybridMultilevel"/>
    <w:tmpl w:val="027EEB12"/>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C77EE"/>
    <w:multiLevelType w:val="hybridMultilevel"/>
    <w:tmpl w:val="7C5A2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81789"/>
    <w:multiLevelType w:val="multilevel"/>
    <w:tmpl w:val="920A05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46362"/>
    <w:multiLevelType w:val="hybridMultilevel"/>
    <w:tmpl w:val="D7A4718C"/>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8E40C9"/>
    <w:multiLevelType w:val="multilevel"/>
    <w:tmpl w:val="45A2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E12CED"/>
    <w:multiLevelType w:val="hybridMultilevel"/>
    <w:tmpl w:val="621AD5BA"/>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477B7"/>
    <w:multiLevelType w:val="hybridMultilevel"/>
    <w:tmpl w:val="D3F0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A2979"/>
    <w:multiLevelType w:val="multilevel"/>
    <w:tmpl w:val="7A8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74CF7"/>
    <w:multiLevelType w:val="hybridMultilevel"/>
    <w:tmpl w:val="C1A8B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6507B0"/>
    <w:multiLevelType w:val="multilevel"/>
    <w:tmpl w:val="5A06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156B3D"/>
    <w:multiLevelType w:val="multilevel"/>
    <w:tmpl w:val="A5AE7212"/>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93F457B"/>
    <w:multiLevelType w:val="hybridMultilevel"/>
    <w:tmpl w:val="3B2A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447B0"/>
    <w:multiLevelType w:val="hybridMultilevel"/>
    <w:tmpl w:val="CC50A660"/>
    <w:lvl w:ilvl="0" w:tplc="A274B73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B6545"/>
    <w:multiLevelType w:val="multilevel"/>
    <w:tmpl w:val="8EF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136088"/>
    <w:multiLevelType w:val="hybridMultilevel"/>
    <w:tmpl w:val="00086B0A"/>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DE171B2"/>
    <w:multiLevelType w:val="multilevel"/>
    <w:tmpl w:val="092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321BCC"/>
    <w:multiLevelType w:val="multilevel"/>
    <w:tmpl w:val="3AA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4D2839"/>
    <w:multiLevelType w:val="hybridMultilevel"/>
    <w:tmpl w:val="BB7864EA"/>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E9315D0"/>
    <w:multiLevelType w:val="hybridMultilevel"/>
    <w:tmpl w:val="D7A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E1531D"/>
    <w:multiLevelType w:val="multilevel"/>
    <w:tmpl w:val="850A6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292423"/>
    <w:multiLevelType w:val="hybridMultilevel"/>
    <w:tmpl w:val="3AEA7A7A"/>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F4D1696"/>
    <w:multiLevelType w:val="multilevel"/>
    <w:tmpl w:val="BA7836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1FF81A9E"/>
    <w:multiLevelType w:val="hybridMultilevel"/>
    <w:tmpl w:val="6CF44AE6"/>
    <w:lvl w:ilvl="0" w:tplc="C3CAAA8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4538C1"/>
    <w:multiLevelType w:val="multilevel"/>
    <w:tmpl w:val="FA1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54676B"/>
    <w:multiLevelType w:val="hybridMultilevel"/>
    <w:tmpl w:val="5E9C04BE"/>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ED4734"/>
    <w:multiLevelType w:val="hybridMultilevel"/>
    <w:tmpl w:val="9EC0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7B5199"/>
    <w:multiLevelType w:val="hybridMultilevel"/>
    <w:tmpl w:val="3FEA7350"/>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41478F"/>
    <w:multiLevelType w:val="hybridMultilevel"/>
    <w:tmpl w:val="15C47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2260B8"/>
    <w:multiLevelType w:val="hybridMultilevel"/>
    <w:tmpl w:val="86C0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366E11"/>
    <w:multiLevelType w:val="multilevel"/>
    <w:tmpl w:val="7E5E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3C483A"/>
    <w:multiLevelType w:val="multilevel"/>
    <w:tmpl w:val="23CCCC7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2E10518F"/>
    <w:multiLevelType w:val="multilevel"/>
    <w:tmpl w:val="331C4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55384C"/>
    <w:multiLevelType w:val="multilevel"/>
    <w:tmpl w:val="D83C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40391A"/>
    <w:multiLevelType w:val="multilevel"/>
    <w:tmpl w:val="D1C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1A68EE"/>
    <w:multiLevelType w:val="multilevel"/>
    <w:tmpl w:val="30AA383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1E71D21"/>
    <w:multiLevelType w:val="hybridMultilevel"/>
    <w:tmpl w:val="DD64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5109AD"/>
    <w:multiLevelType w:val="hybridMultilevel"/>
    <w:tmpl w:val="DDF83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324A29"/>
    <w:multiLevelType w:val="multilevel"/>
    <w:tmpl w:val="1A302D4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D92B8A"/>
    <w:multiLevelType w:val="multilevel"/>
    <w:tmpl w:val="334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1C3FD8"/>
    <w:multiLevelType w:val="hybridMultilevel"/>
    <w:tmpl w:val="EB581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2A5140"/>
    <w:multiLevelType w:val="multilevel"/>
    <w:tmpl w:val="756E6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7C219F"/>
    <w:multiLevelType w:val="multilevel"/>
    <w:tmpl w:val="2D22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B036B9"/>
    <w:multiLevelType w:val="hybridMultilevel"/>
    <w:tmpl w:val="12A6DD16"/>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BB252FC"/>
    <w:multiLevelType w:val="hybridMultilevel"/>
    <w:tmpl w:val="A636CF48"/>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D77108"/>
    <w:multiLevelType w:val="multilevel"/>
    <w:tmpl w:val="2908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E50391"/>
    <w:multiLevelType w:val="multilevel"/>
    <w:tmpl w:val="74F41E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3DFA5FBD"/>
    <w:multiLevelType w:val="multilevel"/>
    <w:tmpl w:val="B4CEECD8"/>
    <w:lvl w:ilvl="0">
      <w:start w:val="2"/>
      <w:numFmt w:val="decimal"/>
      <w:lvlText w:val="%1."/>
      <w:lvlJc w:val="left"/>
      <w:pPr>
        <w:tabs>
          <w:tab w:val="num" w:pos="720"/>
        </w:tabs>
        <w:ind w:left="720" w:hanging="360"/>
      </w:pPr>
    </w:lvl>
    <w:lvl w:ilvl="1">
      <w:start w:val="1"/>
      <w:numFmt w:val="bullet"/>
      <w:lvlText w:val="-"/>
      <w:lvlJc w:val="left"/>
      <w:pPr>
        <w:ind w:left="108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7A6B88"/>
    <w:multiLevelType w:val="hybridMultilevel"/>
    <w:tmpl w:val="3042AFA4"/>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F8B032C"/>
    <w:multiLevelType w:val="hybridMultilevel"/>
    <w:tmpl w:val="CF3A64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40024983"/>
    <w:multiLevelType w:val="hybridMultilevel"/>
    <w:tmpl w:val="9F6C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C802B3"/>
    <w:multiLevelType w:val="hybridMultilevel"/>
    <w:tmpl w:val="7ACE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E81B47"/>
    <w:multiLevelType w:val="multilevel"/>
    <w:tmpl w:val="4C1A13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395619D"/>
    <w:multiLevelType w:val="hybridMultilevel"/>
    <w:tmpl w:val="E3CC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674C73"/>
    <w:multiLevelType w:val="multilevel"/>
    <w:tmpl w:val="46F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CE7E1B"/>
    <w:multiLevelType w:val="multilevel"/>
    <w:tmpl w:val="6126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3B350F"/>
    <w:multiLevelType w:val="hybridMultilevel"/>
    <w:tmpl w:val="75D04C6E"/>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3F5C0A"/>
    <w:multiLevelType w:val="multilevel"/>
    <w:tmpl w:val="3BF0E890"/>
    <w:lvl w:ilvl="0">
      <w:start w:val="4"/>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A48798D"/>
    <w:multiLevelType w:val="multilevel"/>
    <w:tmpl w:val="D2B86F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C8A1581"/>
    <w:multiLevelType w:val="multilevel"/>
    <w:tmpl w:val="2EE6B0E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E7B04BA"/>
    <w:multiLevelType w:val="multilevel"/>
    <w:tmpl w:val="1380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B83DA2"/>
    <w:multiLevelType w:val="hybridMultilevel"/>
    <w:tmpl w:val="760647E2"/>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FBB0044"/>
    <w:multiLevelType w:val="hybridMultilevel"/>
    <w:tmpl w:val="AB44C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830455"/>
    <w:multiLevelType w:val="hybridMultilevel"/>
    <w:tmpl w:val="BCC8D25C"/>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EC5D67"/>
    <w:multiLevelType w:val="multilevel"/>
    <w:tmpl w:val="4C6E7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B14A15"/>
    <w:multiLevelType w:val="hybridMultilevel"/>
    <w:tmpl w:val="912837D8"/>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F917C1"/>
    <w:multiLevelType w:val="multilevel"/>
    <w:tmpl w:val="E29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FA230F"/>
    <w:multiLevelType w:val="multilevel"/>
    <w:tmpl w:val="6A1C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C141EB"/>
    <w:multiLevelType w:val="multilevel"/>
    <w:tmpl w:val="0FFA3A68"/>
    <w:lvl w:ilvl="0">
      <w:start w:val="1"/>
      <w:numFmt w:val="decimal"/>
      <w:lvlText w:val="%1."/>
      <w:lvlJc w:val="left"/>
      <w:pPr>
        <w:ind w:left="750" w:hanging="390"/>
      </w:pPr>
      <w:rPr>
        <w:rFonts w:hint="default"/>
      </w:rPr>
    </w:lvl>
    <w:lvl w:ilvl="1">
      <w:start w:val="1"/>
      <w:numFmt w:val="none"/>
      <w:suff w:val="nothing"/>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75" w15:restartNumberingAfterBreak="0">
    <w:nsid w:val="5AA941B5"/>
    <w:multiLevelType w:val="hybridMultilevel"/>
    <w:tmpl w:val="FD5680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D3E5CC2"/>
    <w:multiLevelType w:val="hybridMultilevel"/>
    <w:tmpl w:val="1B4A24E8"/>
    <w:lvl w:ilvl="0" w:tplc="E2847C72">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B167B"/>
    <w:multiLevelType w:val="hybridMultilevel"/>
    <w:tmpl w:val="CA12A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546371"/>
    <w:multiLevelType w:val="multilevel"/>
    <w:tmpl w:val="5C1A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68530E"/>
    <w:multiLevelType w:val="multilevel"/>
    <w:tmpl w:val="2A2C3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D0A55"/>
    <w:multiLevelType w:val="multilevel"/>
    <w:tmpl w:val="30AA383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5F8B333E"/>
    <w:multiLevelType w:val="multilevel"/>
    <w:tmpl w:val="2FD2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D94249"/>
    <w:multiLevelType w:val="multilevel"/>
    <w:tmpl w:val="95C04E3A"/>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3C4CEE"/>
    <w:multiLevelType w:val="hybridMultilevel"/>
    <w:tmpl w:val="BB64A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463CA3"/>
    <w:multiLevelType w:val="hybridMultilevel"/>
    <w:tmpl w:val="11D200DC"/>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5C0B00"/>
    <w:multiLevelType w:val="hybridMultilevel"/>
    <w:tmpl w:val="CB5AB2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BE066B"/>
    <w:multiLevelType w:val="multilevel"/>
    <w:tmpl w:val="E53CB49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34151C"/>
    <w:multiLevelType w:val="multilevel"/>
    <w:tmpl w:val="19E270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68C23753"/>
    <w:multiLevelType w:val="hybridMultilevel"/>
    <w:tmpl w:val="427C106C"/>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3677C9"/>
    <w:multiLevelType w:val="multilevel"/>
    <w:tmpl w:val="4D621E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B223386"/>
    <w:multiLevelType w:val="multilevel"/>
    <w:tmpl w:val="BCD262F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513DA4"/>
    <w:multiLevelType w:val="multilevel"/>
    <w:tmpl w:val="DE367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6B27D1"/>
    <w:multiLevelType w:val="multilevel"/>
    <w:tmpl w:val="F65CBDEC"/>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9434AD"/>
    <w:multiLevelType w:val="hybridMultilevel"/>
    <w:tmpl w:val="093E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7740F6"/>
    <w:multiLevelType w:val="multilevel"/>
    <w:tmpl w:val="0D98F88E"/>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735A4E"/>
    <w:multiLevelType w:val="hybridMultilevel"/>
    <w:tmpl w:val="36943E90"/>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D875F6"/>
    <w:multiLevelType w:val="multilevel"/>
    <w:tmpl w:val="7CAEB93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1BD224D"/>
    <w:multiLevelType w:val="multilevel"/>
    <w:tmpl w:val="51A0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916846"/>
    <w:multiLevelType w:val="hybridMultilevel"/>
    <w:tmpl w:val="CF8E06CA"/>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79E4BAC"/>
    <w:multiLevelType w:val="hybridMultilevel"/>
    <w:tmpl w:val="A2C4E174"/>
    <w:lvl w:ilvl="0" w:tplc="A274B73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8A77A3E"/>
    <w:multiLevelType w:val="hybridMultilevel"/>
    <w:tmpl w:val="CED44B82"/>
    <w:lvl w:ilvl="0" w:tplc="A274B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DB411D"/>
    <w:multiLevelType w:val="multilevel"/>
    <w:tmpl w:val="77D82D50"/>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2" w15:restartNumberingAfterBreak="0">
    <w:nsid w:val="7906366A"/>
    <w:multiLevelType w:val="hybridMultilevel"/>
    <w:tmpl w:val="73CCD5B6"/>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9CE2209"/>
    <w:multiLevelType w:val="multilevel"/>
    <w:tmpl w:val="0C2A2460"/>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A2700A"/>
    <w:multiLevelType w:val="hybridMultilevel"/>
    <w:tmpl w:val="FE70C984"/>
    <w:lvl w:ilvl="0" w:tplc="A274B734">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5" w15:restartNumberingAfterBreak="0">
    <w:nsid w:val="7AF54CED"/>
    <w:multiLevelType w:val="hybridMultilevel"/>
    <w:tmpl w:val="C978BF1E"/>
    <w:lvl w:ilvl="0" w:tplc="A274B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D6155E8"/>
    <w:multiLevelType w:val="hybridMultilevel"/>
    <w:tmpl w:val="F746F054"/>
    <w:lvl w:ilvl="0" w:tplc="7D02540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38488">
    <w:abstractNumId w:val="37"/>
  </w:num>
  <w:num w:numId="2" w16cid:durableId="1710259496">
    <w:abstractNumId w:val="4"/>
  </w:num>
  <w:num w:numId="3" w16cid:durableId="1376545342">
    <w:abstractNumId w:val="101"/>
  </w:num>
  <w:num w:numId="4" w16cid:durableId="702512904">
    <w:abstractNumId w:val="80"/>
  </w:num>
  <w:num w:numId="5" w16cid:durableId="41558447">
    <w:abstractNumId w:val="74"/>
  </w:num>
  <w:num w:numId="6" w16cid:durableId="1480271329">
    <w:abstractNumId w:val="87"/>
  </w:num>
  <w:num w:numId="7" w16cid:durableId="1328627620">
    <w:abstractNumId w:val="64"/>
  </w:num>
  <w:num w:numId="8" w16cid:durableId="1389307952">
    <w:abstractNumId w:val="55"/>
  </w:num>
  <w:num w:numId="9" w16cid:durableId="1341129185">
    <w:abstractNumId w:val="22"/>
  </w:num>
  <w:num w:numId="10" w16cid:durableId="2144617473">
    <w:abstractNumId w:val="45"/>
  </w:num>
  <w:num w:numId="11" w16cid:durableId="1405639079">
    <w:abstractNumId w:val="16"/>
  </w:num>
  <w:num w:numId="12" w16cid:durableId="392583475">
    <w:abstractNumId w:val="47"/>
  </w:num>
  <w:num w:numId="13" w16cid:durableId="842475603">
    <w:abstractNumId w:val="61"/>
  </w:num>
  <w:num w:numId="14" w16cid:durableId="1810903715">
    <w:abstractNumId w:val="60"/>
  </w:num>
  <w:num w:numId="15" w16cid:durableId="756832004">
    <w:abstractNumId w:val="78"/>
  </w:num>
  <w:num w:numId="16" w16cid:durableId="237788875">
    <w:abstractNumId w:val="85"/>
  </w:num>
  <w:num w:numId="17" w16cid:durableId="1880437890">
    <w:abstractNumId w:val="70"/>
  </w:num>
  <w:num w:numId="18" w16cid:durableId="2063939404">
    <w:abstractNumId w:val="13"/>
  </w:num>
  <w:num w:numId="19" w16cid:durableId="1259405942">
    <w:abstractNumId w:val="29"/>
  </w:num>
  <w:num w:numId="20" w16cid:durableId="1165782769">
    <w:abstractNumId w:val="98"/>
  </w:num>
  <w:num w:numId="21" w16cid:durableId="1297641640">
    <w:abstractNumId w:val="46"/>
  </w:num>
  <w:num w:numId="22" w16cid:durableId="1778017204">
    <w:abstractNumId w:val="43"/>
  </w:num>
  <w:num w:numId="23" w16cid:durableId="244539711">
    <w:abstractNumId w:val="8"/>
  </w:num>
  <w:num w:numId="24" w16cid:durableId="709692867">
    <w:abstractNumId w:val="28"/>
  </w:num>
  <w:num w:numId="25" w16cid:durableId="1922331813">
    <w:abstractNumId w:val="54"/>
  </w:num>
  <w:num w:numId="26" w16cid:durableId="989408412">
    <w:abstractNumId w:val="35"/>
  </w:num>
  <w:num w:numId="27" w16cid:durableId="1153983984">
    <w:abstractNumId w:val="58"/>
  </w:num>
  <w:num w:numId="28" w16cid:durableId="274559704">
    <w:abstractNumId w:val="21"/>
  </w:num>
  <w:num w:numId="29" w16cid:durableId="1507405485">
    <w:abstractNumId w:val="67"/>
  </w:num>
  <w:num w:numId="30" w16cid:durableId="137112120">
    <w:abstractNumId w:val="15"/>
  </w:num>
  <w:num w:numId="31" w16cid:durableId="37633024">
    <w:abstractNumId w:val="1"/>
  </w:num>
  <w:num w:numId="32" w16cid:durableId="488979055">
    <w:abstractNumId w:val="52"/>
  </w:num>
  <w:num w:numId="33" w16cid:durableId="2039349263">
    <w:abstractNumId w:val="104"/>
  </w:num>
  <w:num w:numId="34" w16cid:durableId="1347754604">
    <w:abstractNumId w:val="41"/>
  </w:num>
  <w:num w:numId="35" w16cid:durableId="420953950">
    <w:abstractNumId w:val="89"/>
  </w:num>
  <w:num w:numId="36" w16cid:durableId="1032607254">
    <w:abstractNumId w:val="69"/>
  </w:num>
  <w:num w:numId="37" w16cid:durableId="1797406583">
    <w:abstractNumId w:val="95"/>
  </w:num>
  <w:num w:numId="38" w16cid:durableId="508253605">
    <w:abstractNumId w:val="71"/>
  </w:num>
  <w:num w:numId="39" w16cid:durableId="1795752864">
    <w:abstractNumId w:val="62"/>
  </w:num>
  <w:num w:numId="40" w16cid:durableId="1128085293">
    <w:abstractNumId w:val="100"/>
  </w:num>
  <w:num w:numId="41" w16cid:durableId="1437822231">
    <w:abstractNumId w:val="84"/>
  </w:num>
  <w:num w:numId="42" w16cid:durableId="37054273">
    <w:abstractNumId w:val="14"/>
  </w:num>
  <w:num w:numId="43" w16cid:durableId="2082672030">
    <w:abstractNumId w:val="103"/>
  </w:num>
  <w:num w:numId="44" w16cid:durableId="65033739">
    <w:abstractNumId w:val="36"/>
  </w:num>
  <w:num w:numId="45" w16cid:durableId="1319773531">
    <w:abstractNumId w:val="42"/>
  </w:num>
  <w:num w:numId="46" w16cid:durableId="59452662">
    <w:abstractNumId w:val="33"/>
  </w:num>
  <w:num w:numId="47" w16cid:durableId="1972175566">
    <w:abstractNumId w:val="32"/>
  </w:num>
  <w:num w:numId="48" w16cid:durableId="755438824">
    <w:abstractNumId w:val="56"/>
  </w:num>
  <w:num w:numId="49" w16cid:durableId="535314516">
    <w:abstractNumId w:val="5"/>
  </w:num>
  <w:num w:numId="50" w16cid:durableId="1266232889">
    <w:abstractNumId w:val="34"/>
  </w:num>
  <w:num w:numId="51" w16cid:durableId="1456752317">
    <w:abstractNumId w:val="7"/>
  </w:num>
  <w:num w:numId="52" w16cid:durableId="525296193">
    <w:abstractNumId w:val="79"/>
  </w:num>
  <w:num w:numId="53" w16cid:durableId="1451510241">
    <w:abstractNumId w:val="38"/>
  </w:num>
  <w:num w:numId="54" w16cid:durableId="555900384">
    <w:abstractNumId w:val="11"/>
  </w:num>
  <w:num w:numId="55" w16cid:durableId="2003006240">
    <w:abstractNumId w:val="26"/>
  </w:num>
  <w:num w:numId="56" w16cid:durableId="163320830">
    <w:abstractNumId w:val="97"/>
  </w:num>
  <w:num w:numId="57" w16cid:durableId="1624842345">
    <w:abstractNumId w:val="51"/>
  </w:num>
  <w:num w:numId="58" w16cid:durableId="1741099737">
    <w:abstractNumId w:val="23"/>
  </w:num>
  <w:num w:numId="59" w16cid:durableId="1742943395">
    <w:abstractNumId w:val="40"/>
  </w:num>
  <w:num w:numId="60" w16cid:durableId="463502178">
    <w:abstractNumId w:val="20"/>
  </w:num>
  <w:num w:numId="61" w16cid:durableId="1311715966">
    <w:abstractNumId w:val="39"/>
  </w:num>
  <w:num w:numId="62" w16cid:durableId="158815164">
    <w:abstractNumId w:val="48"/>
  </w:num>
  <w:num w:numId="63" w16cid:durableId="342977479">
    <w:abstractNumId w:val="30"/>
  </w:num>
  <w:num w:numId="64" w16cid:durableId="697462462">
    <w:abstractNumId w:val="3"/>
  </w:num>
  <w:num w:numId="65" w16cid:durableId="1036391201">
    <w:abstractNumId w:val="10"/>
  </w:num>
  <w:num w:numId="66" w16cid:durableId="1406419338">
    <w:abstractNumId w:val="18"/>
  </w:num>
  <w:num w:numId="67" w16cid:durableId="1515999686">
    <w:abstractNumId w:val="68"/>
  </w:num>
  <w:num w:numId="68" w16cid:durableId="1735465972">
    <w:abstractNumId w:val="24"/>
  </w:num>
  <w:num w:numId="69" w16cid:durableId="41833725">
    <w:abstractNumId w:val="91"/>
  </w:num>
  <w:num w:numId="70" w16cid:durableId="781999540">
    <w:abstractNumId w:val="65"/>
  </w:num>
  <w:num w:numId="71" w16cid:durableId="454763216">
    <w:abstractNumId w:val="9"/>
  </w:num>
  <w:num w:numId="72" w16cid:durableId="1087120672">
    <w:abstractNumId w:val="105"/>
  </w:num>
  <w:num w:numId="73" w16cid:durableId="466437723">
    <w:abstractNumId w:val="83"/>
  </w:num>
  <w:num w:numId="74" w16cid:durableId="302852871">
    <w:abstractNumId w:val="77"/>
  </w:num>
  <w:num w:numId="75" w16cid:durableId="603070918">
    <w:abstractNumId w:val="90"/>
  </w:num>
  <w:num w:numId="76" w16cid:durableId="2105147403">
    <w:abstractNumId w:val="96"/>
  </w:num>
  <w:num w:numId="77" w16cid:durableId="1026372727">
    <w:abstractNumId w:val="86"/>
  </w:num>
  <w:num w:numId="78" w16cid:durableId="1074668660">
    <w:abstractNumId w:val="0"/>
  </w:num>
  <w:num w:numId="79" w16cid:durableId="585458790">
    <w:abstractNumId w:val="53"/>
  </w:num>
  <w:num w:numId="80" w16cid:durableId="1044863327">
    <w:abstractNumId w:val="82"/>
  </w:num>
  <w:num w:numId="81" w16cid:durableId="921262193">
    <w:abstractNumId w:val="63"/>
  </w:num>
  <w:num w:numId="82" w16cid:durableId="48965030">
    <w:abstractNumId w:val="19"/>
  </w:num>
  <w:num w:numId="83" w16cid:durableId="787040910">
    <w:abstractNumId w:val="99"/>
  </w:num>
  <w:num w:numId="84" w16cid:durableId="883253146">
    <w:abstractNumId w:val="44"/>
  </w:num>
  <w:num w:numId="85" w16cid:durableId="754782627">
    <w:abstractNumId w:val="73"/>
  </w:num>
  <w:num w:numId="86" w16cid:durableId="2134517987">
    <w:abstractNumId w:val="81"/>
  </w:num>
  <w:num w:numId="87" w16cid:durableId="2117016345">
    <w:abstractNumId w:val="72"/>
  </w:num>
  <w:num w:numId="88" w16cid:durableId="1344935717">
    <w:abstractNumId w:val="66"/>
  </w:num>
  <w:num w:numId="89" w16cid:durableId="1620186256">
    <w:abstractNumId w:val="6"/>
  </w:num>
  <w:num w:numId="90" w16cid:durableId="1665619546">
    <w:abstractNumId w:val="94"/>
  </w:num>
  <w:num w:numId="91" w16cid:durableId="1111244937">
    <w:abstractNumId w:val="12"/>
  </w:num>
  <w:num w:numId="92" w16cid:durableId="608393084">
    <w:abstractNumId w:val="92"/>
  </w:num>
  <w:num w:numId="93" w16cid:durableId="68964194">
    <w:abstractNumId w:val="31"/>
  </w:num>
  <w:num w:numId="94" w16cid:durableId="1271543739">
    <w:abstractNumId w:val="17"/>
  </w:num>
  <w:num w:numId="95" w16cid:durableId="216741497">
    <w:abstractNumId w:val="93"/>
  </w:num>
  <w:num w:numId="96" w16cid:durableId="1203322288">
    <w:abstractNumId w:val="49"/>
  </w:num>
  <w:num w:numId="97" w16cid:durableId="322319008">
    <w:abstractNumId w:val="75"/>
  </w:num>
  <w:num w:numId="98" w16cid:durableId="1450271339">
    <w:abstractNumId w:val="102"/>
  </w:num>
  <w:num w:numId="99" w16cid:durableId="1673070708">
    <w:abstractNumId w:val="25"/>
  </w:num>
  <w:num w:numId="100" w16cid:durableId="1345982464">
    <w:abstractNumId w:val="2"/>
  </w:num>
  <w:num w:numId="101" w16cid:durableId="1542011753">
    <w:abstractNumId w:val="59"/>
  </w:num>
  <w:num w:numId="102" w16cid:durableId="82454721">
    <w:abstractNumId w:val="57"/>
  </w:num>
  <w:num w:numId="103" w16cid:durableId="1396011261">
    <w:abstractNumId w:val="88"/>
  </w:num>
  <w:num w:numId="104" w16cid:durableId="112942225">
    <w:abstractNumId w:val="106"/>
  </w:num>
  <w:num w:numId="105" w16cid:durableId="1658267695">
    <w:abstractNumId w:val="50"/>
  </w:num>
  <w:num w:numId="106" w16cid:durableId="1640844123">
    <w:abstractNumId w:val="27"/>
  </w:num>
  <w:num w:numId="107" w16cid:durableId="1772237656">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49"/>
    <w:rsid w:val="00020A29"/>
    <w:rsid w:val="00025E36"/>
    <w:rsid w:val="000B6BE7"/>
    <w:rsid w:val="000F112E"/>
    <w:rsid w:val="00167E3F"/>
    <w:rsid w:val="001757DB"/>
    <w:rsid w:val="00181168"/>
    <w:rsid w:val="0019389F"/>
    <w:rsid w:val="00194B39"/>
    <w:rsid w:val="001A5924"/>
    <w:rsid w:val="001F5121"/>
    <w:rsid w:val="00224190"/>
    <w:rsid w:val="00235AEC"/>
    <w:rsid w:val="00252C23"/>
    <w:rsid w:val="002B399C"/>
    <w:rsid w:val="002C6C06"/>
    <w:rsid w:val="003437B5"/>
    <w:rsid w:val="003806F8"/>
    <w:rsid w:val="00383D54"/>
    <w:rsid w:val="003955DB"/>
    <w:rsid w:val="003C5965"/>
    <w:rsid w:val="003E175D"/>
    <w:rsid w:val="00404F34"/>
    <w:rsid w:val="0040556C"/>
    <w:rsid w:val="00442187"/>
    <w:rsid w:val="004B3F46"/>
    <w:rsid w:val="004E0026"/>
    <w:rsid w:val="005233A6"/>
    <w:rsid w:val="005732EA"/>
    <w:rsid w:val="00585A6E"/>
    <w:rsid w:val="00587C3E"/>
    <w:rsid w:val="00593B59"/>
    <w:rsid w:val="0059747F"/>
    <w:rsid w:val="005C1B8A"/>
    <w:rsid w:val="005D5CA6"/>
    <w:rsid w:val="005F7819"/>
    <w:rsid w:val="00630B67"/>
    <w:rsid w:val="00636CF9"/>
    <w:rsid w:val="006375E3"/>
    <w:rsid w:val="006561CA"/>
    <w:rsid w:val="006566FF"/>
    <w:rsid w:val="0067207A"/>
    <w:rsid w:val="006C16BC"/>
    <w:rsid w:val="006C5B61"/>
    <w:rsid w:val="00717AAB"/>
    <w:rsid w:val="00741CE2"/>
    <w:rsid w:val="00742FAE"/>
    <w:rsid w:val="00752A9C"/>
    <w:rsid w:val="0076457A"/>
    <w:rsid w:val="00772D41"/>
    <w:rsid w:val="00774674"/>
    <w:rsid w:val="00776399"/>
    <w:rsid w:val="007929E3"/>
    <w:rsid w:val="007A6C61"/>
    <w:rsid w:val="007D2793"/>
    <w:rsid w:val="007F36C7"/>
    <w:rsid w:val="00831BD7"/>
    <w:rsid w:val="008359F0"/>
    <w:rsid w:val="0086088D"/>
    <w:rsid w:val="0087694C"/>
    <w:rsid w:val="008A1A95"/>
    <w:rsid w:val="008C1E38"/>
    <w:rsid w:val="008C44B0"/>
    <w:rsid w:val="00906A25"/>
    <w:rsid w:val="009115F5"/>
    <w:rsid w:val="00912FBF"/>
    <w:rsid w:val="00943451"/>
    <w:rsid w:val="009727C2"/>
    <w:rsid w:val="00981AB2"/>
    <w:rsid w:val="00993E30"/>
    <w:rsid w:val="009C227D"/>
    <w:rsid w:val="009E2554"/>
    <w:rsid w:val="00A312BE"/>
    <w:rsid w:val="00A44D63"/>
    <w:rsid w:val="00A54AF0"/>
    <w:rsid w:val="00A672AF"/>
    <w:rsid w:val="00A842EB"/>
    <w:rsid w:val="00A86C2A"/>
    <w:rsid w:val="00A97627"/>
    <w:rsid w:val="00AC2DCA"/>
    <w:rsid w:val="00B17B2D"/>
    <w:rsid w:val="00B24E40"/>
    <w:rsid w:val="00B53195"/>
    <w:rsid w:val="00B91883"/>
    <w:rsid w:val="00B91A54"/>
    <w:rsid w:val="00C24015"/>
    <w:rsid w:val="00C614D8"/>
    <w:rsid w:val="00CA4E48"/>
    <w:rsid w:val="00CB4B88"/>
    <w:rsid w:val="00CD686B"/>
    <w:rsid w:val="00CE3340"/>
    <w:rsid w:val="00CF0428"/>
    <w:rsid w:val="00CF7B83"/>
    <w:rsid w:val="00D67D97"/>
    <w:rsid w:val="00D70F78"/>
    <w:rsid w:val="00D96E5F"/>
    <w:rsid w:val="00E573A7"/>
    <w:rsid w:val="00E87D49"/>
    <w:rsid w:val="00EB4E64"/>
    <w:rsid w:val="00EF38DC"/>
    <w:rsid w:val="00F13BA4"/>
    <w:rsid w:val="00F15001"/>
    <w:rsid w:val="00F15841"/>
    <w:rsid w:val="00F44D99"/>
    <w:rsid w:val="00F50F81"/>
    <w:rsid w:val="00F57CED"/>
    <w:rsid w:val="00F93A8D"/>
    <w:rsid w:val="00FB5273"/>
    <w:rsid w:val="00FC4E24"/>
    <w:rsid w:val="00FD314D"/>
    <w:rsid w:val="00FD46EE"/>
    <w:rsid w:val="00FE4E4D"/>
    <w:rsid w:val="00FF18B7"/>
    <w:rsid w:val="00FF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CA40"/>
  <w15:chartTrackingRefBased/>
  <w15:docId w15:val="{32905E8D-5CD4-4C22-A151-E3AA768F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D49"/>
    <w:rPr>
      <w:rFonts w:eastAsiaTheme="majorEastAsia" w:cstheme="majorBidi"/>
      <w:color w:val="272727" w:themeColor="text1" w:themeTint="D8"/>
    </w:rPr>
  </w:style>
  <w:style w:type="paragraph" w:styleId="Title">
    <w:name w:val="Title"/>
    <w:basedOn w:val="Normal"/>
    <w:next w:val="Normal"/>
    <w:link w:val="TitleChar"/>
    <w:uiPriority w:val="10"/>
    <w:qFormat/>
    <w:rsid w:val="00E8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D49"/>
    <w:pPr>
      <w:spacing w:before="160"/>
      <w:jc w:val="center"/>
    </w:pPr>
    <w:rPr>
      <w:i/>
      <w:iCs/>
      <w:color w:val="404040" w:themeColor="text1" w:themeTint="BF"/>
    </w:rPr>
  </w:style>
  <w:style w:type="character" w:customStyle="1" w:styleId="QuoteChar">
    <w:name w:val="Quote Char"/>
    <w:basedOn w:val="DefaultParagraphFont"/>
    <w:link w:val="Quote"/>
    <w:uiPriority w:val="29"/>
    <w:rsid w:val="00E87D49"/>
    <w:rPr>
      <w:i/>
      <w:iCs/>
      <w:color w:val="404040" w:themeColor="text1" w:themeTint="BF"/>
    </w:rPr>
  </w:style>
  <w:style w:type="paragraph" w:styleId="ListParagraph">
    <w:name w:val="List Paragraph"/>
    <w:aliases w:val="IBL List Paragraph"/>
    <w:basedOn w:val="Normal"/>
    <w:link w:val="ListParagraphChar"/>
    <w:uiPriority w:val="34"/>
    <w:qFormat/>
    <w:rsid w:val="00E87D49"/>
    <w:pPr>
      <w:ind w:left="720"/>
      <w:contextualSpacing/>
    </w:pPr>
  </w:style>
  <w:style w:type="character" w:styleId="IntenseEmphasis">
    <w:name w:val="Intense Emphasis"/>
    <w:basedOn w:val="DefaultParagraphFont"/>
    <w:uiPriority w:val="21"/>
    <w:qFormat/>
    <w:rsid w:val="00E87D49"/>
    <w:rPr>
      <w:i/>
      <w:iCs/>
      <w:color w:val="0F4761" w:themeColor="accent1" w:themeShade="BF"/>
    </w:rPr>
  </w:style>
  <w:style w:type="paragraph" w:styleId="IntenseQuote">
    <w:name w:val="Intense Quote"/>
    <w:basedOn w:val="Normal"/>
    <w:next w:val="Normal"/>
    <w:link w:val="IntenseQuoteChar"/>
    <w:uiPriority w:val="30"/>
    <w:qFormat/>
    <w:rsid w:val="00E87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D49"/>
    <w:rPr>
      <w:i/>
      <w:iCs/>
      <w:color w:val="0F4761" w:themeColor="accent1" w:themeShade="BF"/>
    </w:rPr>
  </w:style>
  <w:style w:type="character" w:styleId="IntenseReference">
    <w:name w:val="Intense Reference"/>
    <w:basedOn w:val="DefaultParagraphFont"/>
    <w:uiPriority w:val="32"/>
    <w:qFormat/>
    <w:rsid w:val="00E87D49"/>
    <w:rPr>
      <w:b/>
      <w:bCs/>
      <w:smallCaps/>
      <w:color w:val="0F4761" w:themeColor="accent1" w:themeShade="BF"/>
      <w:spacing w:val="5"/>
    </w:rPr>
  </w:style>
  <w:style w:type="paragraph" w:styleId="Header">
    <w:name w:val="header"/>
    <w:basedOn w:val="Normal"/>
    <w:link w:val="HeaderChar"/>
    <w:uiPriority w:val="99"/>
    <w:unhideWhenUsed/>
    <w:rsid w:val="001F5121"/>
    <w:pPr>
      <w:tabs>
        <w:tab w:val="center" w:pos="4680"/>
        <w:tab w:val="right" w:pos="9360"/>
      </w:tabs>
      <w:spacing w:after="0" w:line="240" w:lineRule="auto"/>
    </w:pPr>
    <w:rPr>
      <w:rFonts w:ascii="Times New Roman" w:eastAsia="Times New Roman" w:hAnsi="Times New Roman" w:cs="Times New Roman"/>
      <w:kern w:val="0"/>
      <w:lang w:val="uz-Cyrl-UZ"/>
      <w14:ligatures w14:val="none"/>
    </w:rPr>
  </w:style>
  <w:style w:type="character" w:customStyle="1" w:styleId="HeaderChar">
    <w:name w:val="Header Char"/>
    <w:basedOn w:val="DefaultParagraphFont"/>
    <w:link w:val="Header"/>
    <w:uiPriority w:val="99"/>
    <w:rsid w:val="001F5121"/>
    <w:rPr>
      <w:rFonts w:ascii="Times New Roman" w:eastAsia="Times New Roman" w:hAnsi="Times New Roman" w:cs="Times New Roman"/>
      <w:kern w:val="0"/>
      <w:lang w:val="uz-Cyrl-UZ"/>
      <w14:ligatures w14:val="none"/>
    </w:rPr>
  </w:style>
  <w:style w:type="table" w:styleId="TableGrid">
    <w:name w:val="Table Grid"/>
    <w:basedOn w:val="TableNormal"/>
    <w:uiPriority w:val="39"/>
    <w:rsid w:val="00A842EB"/>
    <w:pPr>
      <w:spacing w:after="0" w:line="240" w:lineRule="auto"/>
    </w:pPr>
    <w:rPr>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
    <w:link w:val="ListParagraph"/>
    <w:uiPriority w:val="34"/>
    <w:locked/>
    <w:rsid w:val="00A842EB"/>
  </w:style>
  <w:style w:type="paragraph" w:styleId="NormalWeb">
    <w:name w:val="Normal (Web)"/>
    <w:basedOn w:val="Normal"/>
    <w:uiPriority w:val="99"/>
    <w:unhideWhenUsed/>
    <w:rsid w:val="00A312BE"/>
    <w:pPr>
      <w:spacing w:before="100" w:beforeAutospacing="1" w:after="115"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312BE"/>
    <w:rPr>
      <w:i/>
      <w:iCs/>
    </w:rPr>
  </w:style>
  <w:style w:type="paragraph" w:styleId="Footer">
    <w:name w:val="footer"/>
    <w:basedOn w:val="Normal"/>
    <w:link w:val="FooterChar"/>
    <w:uiPriority w:val="99"/>
    <w:unhideWhenUsed/>
    <w:rsid w:val="0044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7"/>
  </w:style>
  <w:style w:type="table" w:customStyle="1" w:styleId="TableGrid1">
    <w:name w:val="Table Grid1"/>
    <w:basedOn w:val="TableNormal"/>
    <w:next w:val="TableGrid"/>
    <w:uiPriority w:val="39"/>
    <w:rsid w:val="00C614D8"/>
    <w:pPr>
      <w:spacing w:after="0" w:line="240" w:lineRule="auto"/>
    </w:pPr>
    <w:rPr>
      <w:kern w:val="0"/>
      <w:sz w:val="22"/>
      <w:szCs w:val="22"/>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14D8"/>
    <w:rPr>
      <w:b/>
      <w:bCs/>
    </w:rPr>
  </w:style>
  <w:style w:type="table" w:customStyle="1" w:styleId="TableGrid2">
    <w:name w:val="Table Grid2"/>
    <w:basedOn w:val="TableNormal"/>
    <w:next w:val="TableGrid"/>
    <w:uiPriority w:val="39"/>
    <w:rsid w:val="00C614D8"/>
    <w:pPr>
      <w:spacing w:after="0" w:line="240" w:lineRule="auto"/>
    </w:pPr>
    <w:rPr>
      <w:sz w:val="22"/>
      <w:szCs w:val="28"/>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14D8"/>
    <w:pPr>
      <w:spacing w:after="0" w:line="240" w:lineRule="auto"/>
    </w:pPr>
    <w:rPr>
      <w:sz w:val="22"/>
      <w:szCs w:val="28"/>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14D8"/>
    <w:pPr>
      <w:widowControl w:val="0"/>
      <w:autoSpaceDE w:val="0"/>
      <w:autoSpaceDN w:val="0"/>
      <w:spacing w:after="0" w:line="240" w:lineRule="auto"/>
    </w:pPr>
    <w:rPr>
      <w:rFonts w:ascii="Arial" w:eastAsia="Arial" w:hAnsi="Arial" w:cs="Arial"/>
      <w:kern w:val="0"/>
      <w:lang w:val="ru-RU"/>
    </w:rPr>
  </w:style>
  <w:style w:type="character" w:customStyle="1" w:styleId="BodyTextChar">
    <w:name w:val="Body Text Char"/>
    <w:basedOn w:val="DefaultParagraphFont"/>
    <w:link w:val="BodyText"/>
    <w:uiPriority w:val="1"/>
    <w:rsid w:val="00C614D8"/>
    <w:rPr>
      <w:rFonts w:ascii="Arial" w:eastAsia="Arial" w:hAnsi="Arial" w:cs="Arial"/>
      <w:kern w:val="0"/>
      <w:lang w:val="ru-RU"/>
    </w:rPr>
  </w:style>
  <w:style w:type="paragraph" w:customStyle="1" w:styleId="TableParagraph">
    <w:name w:val="Table Paragraph"/>
    <w:basedOn w:val="Normal"/>
    <w:uiPriority w:val="1"/>
    <w:qFormat/>
    <w:rsid w:val="00C614D8"/>
    <w:pPr>
      <w:widowControl w:val="0"/>
      <w:autoSpaceDE w:val="0"/>
      <w:autoSpaceDN w:val="0"/>
      <w:spacing w:after="0" w:line="240" w:lineRule="auto"/>
    </w:pPr>
    <w:rPr>
      <w:rFonts w:ascii="Arial" w:eastAsia="Arial" w:hAnsi="Arial" w:cs="Arial"/>
      <w:kern w:val="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'705 график'!$C$5:$C$6</c:f>
              <c:strCache>
                <c:ptCount val="2"/>
                <c:pt idx="0">
                  <c:v>Хил үнэ /ам.доллар/тонн</c:v>
                </c:pt>
                <c:pt idx="1">
                  <c:v>А-80</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'705 график'!$B$7:$B$41</c:f>
              <c:strCache>
                <c:ptCount val="35"/>
                <c:pt idx="0">
                  <c:v>2023-01</c:v>
                </c:pt>
                <c:pt idx="1">
                  <c:v>2023-02</c:v>
                </c:pt>
                <c:pt idx="2">
                  <c:v>2023-03</c:v>
                </c:pt>
                <c:pt idx="3">
                  <c:v>2023-04</c:v>
                </c:pt>
                <c:pt idx="4">
                  <c:v>2023-05</c:v>
                </c:pt>
                <c:pt idx="5">
                  <c:v>2023-06</c:v>
                </c:pt>
                <c:pt idx="6">
                  <c:v>2023-07</c:v>
                </c:pt>
                <c:pt idx="7">
                  <c:v>2023-08</c:v>
                </c:pt>
                <c:pt idx="8">
                  <c:v>2023-09</c:v>
                </c:pt>
                <c:pt idx="9">
                  <c:v>2023-10</c:v>
                </c:pt>
                <c:pt idx="10">
                  <c:v>2023-11</c:v>
                </c:pt>
                <c:pt idx="11">
                  <c:v>2023-12</c:v>
                </c:pt>
                <c:pt idx="12">
                  <c:v>2024-01</c:v>
                </c:pt>
                <c:pt idx="13">
                  <c:v>2024-02</c:v>
                </c:pt>
                <c:pt idx="14">
                  <c:v>2024-03</c:v>
                </c:pt>
                <c:pt idx="15">
                  <c:v>2024-04</c:v>
                </c:pt>
                <c:pt idx="16">
                  <c:v>2024-05</c:v>
                </c:pt>
                <c:pt idx="17">
                  <c:v>2024-06</c:v>
                </c:pt>
                <c:pt idx="18">
                  <c:v>2024-07</c:v>
                </c:pt>
                <c:pt idx="19">
                  <c:v>2024-08</c:v>
                </c:pt>
                <c:pt idx="20">
                  <c:v>2024-09</c:v>
                </c:pt>
                <c:pt idx="21">
                  <c:v>2024-10</c:v>
                </c:pt>
                <c:pt idx="22">
                  <c:v>2024-11</c:v>
                </c:pt>
                <c:pt idx="23">
                  <c:v>2024-12</c:v>
                </c:pt>
                <c:pt idx="24">
                  <c:v>2025-01</c:v>
                </c:pt>
                <c:pt idx="25">
                  <c:v>2025-02</c:v>
                </c:pt>
                <c:pt idx="26">
                  <c:v>2025-03</c:v>
                </c:pt>
                <c:pt idx="27">
                  <c:v>2025-04</c:v>
                </c:pt>
                <c:pt idx="28">
                  <c:v>2025-05</c:v>
                </c:pt>
                <c:pt idx="29">
                  <c:v>2025-06</c:v>
                </c:pt>
                <c:pt idx="30">
                  <c:v>2025-07</c:v>
                </c:pt>
                <c:pt idx="31">
                  <c:v>2025-08</c:v>
                </c:pt>
                <c:pt idx="32">
                  <c:v>2025-09</c:v>
                </c:pt>
                <c:pt idx="33">
                  <c:v>2025-10</c:v>
                </c:pt>
                <c:pt idx="34">
                  <c:v>2025-11</c:v>
                </c:pt>
              </c:strCache>
            </c:strRef>
          </c:cat>
          <c:val>
            <c:numRef>
              <c:f>'705 график'!$C$7:$C$41</c:f>
            </c:numRef>
          </c:val>
          <c:smooth val="0"/>
          <c:extLst>
            <c:ext xmlns:c16="http://schemas.microsoft.com/office/drawing/2014/chart" uri="{C3380CC4-5D6E-409C-BE32-E72D297353CC}">
              <c16:uniqueId val="{00000000-D948-45D2-B8F1-293FA97E0D59}"/>
            </c:ext>
          </c:extLst>
        </c:ser>
        <c:ser>
          <c:idx val="1"/>
          <c:order val="1"/>
          <c:tx>
            <c:strRef>
              <c:f>'705 график'!$D$5:$D$6</c:f>
              <c:strCache>
                <c:ptCount val="2"/>
                <c:pt idx="0">
                  <c:v>Хил үнэ /ам.доллар/тонн</c:v>
                </c:pt>
                <c:pt idx="1">
                  <c:v>Аи-92</c:v>
                </c:pt>
              </c:strCache>
            </c:strRef>
          </c:tx>
          <c:spPr>
            <a:ln w="22225" cap="rnd" cmpd="sng" algn="ctr">
              <a:solidFill>
                <a:srgbClr val="0070C0"/>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48-45D2-B8F1-293FA97E0D59}"/>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48-45D2-B8F1-293FA97E0D59}"/>
                </c:ext>
              </c:extLst>
            </c:dLbl>
            <c:dLbl>
              <c:idx val="32"/>
              <c:layout>
                <c:manualLayout>
                  <c:x val="-4.2613229731111341E-2"/>
                  <c:y val="-5.78267885960193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48-45D2-B8F1-293FA97E0D59}"/>
                </c:ext>
              </c:extLst>
            </c:dLbl>
            <c:spPr>
              <a:noFill/>
              <a:ln>
                <a:noFill/>
              </a:ln>
              <a:effectLst/>
            </c:spPr>
            <c:txPr>
              <a:bodyPr rot="0" spcFirstLastPara="1" vertOverflow="ellipsis" vert="horz" wrap="square" anchor="ctr" anchorCtr="1"/>
              <a:lstStyle/>
              <a:p>
                <a:pPr>
                  <a:defRPr sz="900" b="0" i="0" u="none" strike="noStrike" kern="1200" baseline="0">
                    <a:solidFill>
                      <a:schemeClr val="tx2">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'705 график'!$B$7:$B$41</c:f>
              <c:strCache>
                <c:ptCount val="35"/>
                <c:pt idx="0">
                  <c:v>2023-01</c:v>
                </c:pt>
                <c:pt idx="1">
                  <c:v>2023-02</c:v>
                </c:pt>
                <c:pt idx="2">
                  <c:v>2023-03</c:v>
                </c:pt>
                <c:pt idx="3">
                  <c:v>2023-04</c:v>
                </c:pt>
                <c:pt idx="4">
                  <c:v>2023-05</c:v>
                </c:pt>
                <c:pt idx="5">
                  <c:v>2023-06</c:v>
                </c:pt>
                <c:pt idx="6">
                  <c:v>2023-07</c:v>
                </c:pt>
                <c:pt idx="7">
                  <c:v>2023-08</c:v>
                </c:pt>
                <c:pt idx="8">
                  <c:v>2023-09</c:v>
                </c:pt>
                <c:pt idx="9">
                  <c:v>2023-10</c:v>
                </c:pt>
                <c:pt idx="10">
                  <c:v>2023-11</c:v>
                </c:pt>
                <c:pt idx="11">
                  <c:v>2023-12</c:v>
                </c:pt>
                <c:pt idx="12">
                  <c:v>2024-01</c:v>
                </c:pt>
                <c:pt idx="13">
                  <c:v>2024-02</c:v>
                </c:pt>
                <c:pt idx="14">
                  <c:v>2024-03</c:v>
                </c:pt>
                <c:pt idx="15">
                  <c:v>2024-04</c:v>
                </c:pt>
                <c:pt idx="16">
                  <c:v>2024-05</c:v>
                </c:pt>
                <c:pt idx="17">
                  <c:v>2024-06</c:v>
                </c:pt>
                <c:pt idx="18">
                  <c:v>2024-07</c:v>
                </c:pt>
                <c:pt idx="19">
                  <c:v>2024-08</c:v>
                </c:pt>
                <c:pt idx="20">
                  <c:v>2024-09</c:v>
                </c:pt>
                <c:pt idx="21">
                  <c:v>2024-10</c:v>
                </c:pt>
                <c:pt idx="22">
                  <c:v>2024-11</c:v>
                </c:pt>
                <c:pt idx="23">
                  <c:v>2024-12</c:v>
                </c:pt>
                <c:pt idx="24">
                  <c:v>2025-01</c:v>
                </c:pt>
                <c:pt idx="25">
                  <c:v>2025-02</c:v>
                </c:pt>
                <c:pt idx="26">
                  <c:v>2025-03</c:v>
                </c:pt>
                <c:pt idx="27">
                  <c:v>2025-04</c:v>
                </c:pt>
                <c:pt idx="28">
                  <c:v>2025-05</c:v>
                </c:pt>
                <c:pt idx="29">
                  <c:v>2025-06</c:v>
                </c:pt>
                <c:pt idx="30">
                  <c:v>2025-07</c:v>
                </c:pt>
                <c:pt idx="31">
                  <c:v>2025-08</c:v>
                </c:pt>
                <c:pt idx="32">
                  <c:v>2025-09</c:v>
                </c:pt>
                <c:pt idx="33">
                  <c:v>2025-10</c:v>
                </c:pt>
                <c:pt idx="34">
                  <c:v>2025-11</c:v>
                </c:pt>
              </c:strCache>
            </c:strRef>
          </c:cat>
          <c:val>
            <c:numRef>
              <c:f>'705 график'!$D$7:$D$41</c:f>
              <c:numCache>
                <c:formatCode>0</c:formatCode>
                <c:ptCount val="35"/>
                <c:pt idx="0">
                  <c:v>758</c:v>
                </c:pt>
                <c:pt idx="1">
                  <c:v>758</c:v>
                </c:pt>
                <c:pt idx="2">
                  <c:v>705</c:v>
                </c:pt>
                <c:pt idx="3">
                  <c:v>705</c:v>
                </c:pt>
                <c:pt idx="4">
                  <c:v>705</c:v>
                </c:pt>
                <c:pt idx="5">
                  <c:v>705</c:v>
                </c:pt>
                <c:pt idx="6">
                  <c:v>705</c:v>
                </c:pt>
                <c:pt idx="7">
                  <c:v>705</c:v>
                </c:pt>
                <c:pt idx="8">
                  <c:v>705</c:v>
                </c:pt>
                <c:pt idx="9">
                  <c:v>705</c:v>
                </c:pt>
                <c:pt idx="10">
                  <c:v>705</c:v>
                </c:pt>
                <c:pt idx="11">
                  <c:v>705</c:v>
                </c:pt>
                <c:pt idx="12">
                  <c:v>705</c:v>
                </c:pt>
                <c:pt idx="13">
                  <c:v>705</c:v>
                </c:pt>
                <c:pt idx="14">
                  <c:v>705</c:v>
                </c:pt>
                <c:pt idx="15">
                  <c:v>705</c:v>
                </c:pt>
                <c:pt idx="16">
                  <c:v>705</c:v>
                </c:pt>
                <c:pt idx="17">
                  <c:v>705</c:v>
                </c:pt>
                <c:pt idx="18">
                  <c:v>705</c:v>
                </c:pt>
                <c:pt idx="19">
                  <c:v>705</c:v>
                </c:pt>
                <c:pt idx="20">
                  <c:v>705</c:v>
                </c:pt>
                <c:pt idx="21">
                  <c:v>705</c:v>
                </c:pt>
                <c:pt idx="22">
                  <c:v>705</c:v>
                </c:pt>
                <c:pt idx="23">
                  <c:v>705</c:v>
                </c:pt>
                <c:pt idx="24">
                  <c:v>705</c:v>
                </c:pt>
                <c:pt idx="25">
                  <c:v>705</c:v>
                </c:pt>
                <c:pt idx="26">
                  <c:v>705</c:v>
                </c:pt>
                <c:pt idx="27">
                  <c:v>705</c:v>
                </c:pt>
                <c:pt idx="28">
                  <c:v>705</c:v>
                </c:pt>
                <c:pt idx="29">
                  <c:v>705</c:v>
                </c:pt>
                <c:pt idx="30">
                  <c:v>705</c:v>
                </c:pt>
                <c:pt idx="31">
                  <c:v>705</c:v>
                </c:pt>
                <c:pt idx="32">
                  <c:v>705</c:v>
                </c:pt>
                <c:pt idx="33">
                  <c:v>705</c:v>
                </c:pt>
                <c:pt idx="34">
                  <c:v>705</c:v>
                </c:pt>
              </c:numCache>
            </c:numRef>
          </c:val>
          <c:smooth val="1"/>
          <c:extLst>
            <c:ext xmlns:c16="http://schemas.microsoft.com/office/drawing/2014/chart" uri="{C3380CC4-5D6E-409C-BE32-E72D297353CC}">
              <c16:uniqueId val="{00000004-D948-45D2-B8F1-293FA97E0D59}"/>
            </c:ext>
          </c:extLst>
        </c:ser>
        <c:ser>
          <c:idx val="2"/>
          <c:order val="2"/>
          <c:tx>
            <c:strRef>
              <c:f>'705 график'!$E$5:$E$6</c:f>
              <c:strCache>
                <c:ptCount val="2"/>
                <c:pt idx="0">
                  <c:v>Хил үнэ /ам.доллар/тонн</c:v>
                </c:pt>
                <c:pt idx="1">
                  <c:v>ДТ</c:v>
                </c:pt>
              </c:strCache>
            </c:strRef>
          </c:tx>
          <c:spPr>
            <a:ln w="22225" cap="rnd" cmpd="sng" algn="ctr">
              <a:solidFill>
                <a:schemeClr val="accent2"/>
              </a:solidFill>
              <a:round/>
            </a:ln>
            <a:effectLst/>
          </c:spPr>
          <c:marker>
            <c:symbol val="none"/>
          </c:marker>
          <c:dLbls>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48-45D2-B8F1-293FA97E0D59}"/>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48-45D2-B8F1-293FA97E0D59}"/>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48-45D2-B8F1-293FA97E0D59}"/>
                </c:ext>
              </c:extLst>
            </c:dLbl>
            <c:dLbl>
              <c:idx val="1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48-45D2-B8F1-293FA97E0D59}"/>
                </c:ext>
              </c:extLst>
            </c:dLbl>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48-45D2-B8F1-293FA97E0D59}"/>
                </c:ext>
              </c:extLst>
            </c:dLbl>
            <c:dLbl>
              <c:idx val="2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48-45D2-B8F1-293FA97E0D59}"/>
                </c:ext>
              </c:extLst>
            </c:dLbl>
            <c:dLbl>
              <c:idx val="2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948-45D2-B8F1-293FA97E0D59}"/>
                </c:ext>
              </c:extLst>
            </c:dLbl>
            <c:dLbl>
              <c:idx val="3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948-45D2-B8F1-293FA97E0D59}"/>
                </c:ext>
              </c:extLst>
            </c:dLbl>
            <c:dLbl>
              <c:idx val="34"/>
              <c:layout>
                <c:manualLayout>
                  <c:x val="-8.3352989525733133E-3"/>
                  <c:y val="-2.5551371705217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948-45D2-B8F1-293FA97E0D59}"/>
                </c:ext>
              </c:extLst>
            </c:dLbl>
            <c:spPr>
              <a:noFill/>
              <a:ln>
                <a:noFill/>
              </a:ln>
              <a:effectLst/>
            </c:spPr>
            <c:txPr>
              <a:bodyPr rot="0" spcFirstLastPara="1" vertOverflow="ellipsis" vert="horz" wrap="square" anchor="ctr" anchorCtr="1"/>
              <a:lstStyle/>
              <a:p>
                <a:pPr>
                  <a:defRPr sz="900" b="0" i="0" u="none" strike="noStrike" kern="1200" baseline="0">
                    <a:solidFill>
                      <a:schemeClr val="accent2"/>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'705 график'!$B$7:$B$41</c:f>
              <c:strCache>
                <c:ptCount val="35"/>
                <c:pt idx="0">
                  <c:v>2023-01</c:v>
                </c:pt>
                <c:pt idx="1">
                  <c:v>2023-02</c:v>
                </c:pt>
                <c:pt idx="2">
                  <c:v>2023-03</c:v>
                </c:pt>
                <c:pt idx="3">
                  <c:v>2023-04</c:v>
                </c:pt>
                <c:pt idx="4">
                  <c:v>2023-05</c:v>
                </c:pt>
                <c:pt idx="5">
                  <c:v>2023-06</c:v>
                </c:pt>
                <c:pt idx="6">
                  <c:v>2023-07</c:v>
                </c:pt>
                <c:pt idx="7">
                  <c:v>2023-08</c:v>
                </c:pt>
                <c:pt idx="8">
                  <c:v>2023-09</c:v>
                </c:pt>
                <c:pt idx="9">
                  <c:v>2023-10</c:v>
                </c:pt>
                <c:pt idx="10">
                  <c:v>2023-11</c:v>
                </c:pt>
                <c:pt idx="11">
                  <c:v>2023-12</c:v>
                </c:pt>
                <c:pt idx="12">
                  <c:v>2024-01</c:v>
                </c:pt>
                <c:pt idx="13">
                  <c:v>2024-02</c:v>
                </c:pt>
                <c:pt idx="14">
                  <c:v>2024-03</c:v>
                </c:pt>
                <c:pt idx="15">
                  <c:v>2024-04</c:v>
                </c:pt>
                <c:pt idx="16">
                  <c:v>2024-05</c:v>
                </c:pt>
                <c:pt idx="17">
                  <c:v>2024-06</c:v>
                </c:pt>
                <c:pt idx="18">
                  <c:v>2024-07</c:v>
                </c:pt>
                <c:pt idx="19">
                  <c:v>2024-08</c:v>
                </c:pt>
                <c:pt idx="20">
                  <c:v>2024-09</c:v>
                </c:pt>
                <c:pt idx="21">
                  <c:v>2024-10</c:v>
                </c:pt>
                <c:pt idx="22">
                  <c:v>2024-11</c:v>
                </c:pt>
                <c:pt idx="23">
                  <c:v>2024-12</c:v>
                </c:pt>
                <c:pt idx="24">
                  <c:v>2025-01</c:v>
                </c:pt>
                <c:pt idx="25">
                  <c:v>2025-02</c:v>
                </c:pt>
                <c:pt idx="26">
                  <c:v>2025-03</c:v>
                </c:pt>
                <c:pt idx="27">
                  <c:v>2025-04</c:v>
                </c:pt>
                <c:pt idx="28">
                  <c:v>2025-05</c:v>
                </c:pt>
                <c:pt idx="29">
                  <c:v>2025-06</c:v>
                </c:pt>
                <c:pt idx="30">
                  <c:v>2025-07</c:v>
                </c:pt>
                <c:pt idx="31">
                  <c:v>2025-08</c:v>
                </c:pt>
                <c:pt idx="32">
                  <c:v>2025-09</c:v>
                </c:pt>
                <c:pt idx="33">
                  <c:v>2025-10</c:v>
                </c:pt>
                <c:pt idx="34">
                  <c:v>2025-11</c:v>
                </c:pt>
              </c:strCache>
            </c:strRef>
          </c:cat>
          <c:val>
            <c:numRef>
              <c:f>'705 график'!$E$7:$E$41</c:f>
              <c:numCache>
                <c:formatCode>0</c:formatCode>
                <c:ptCount val="35"/>
                <c:pt idx="0">
                  <c:v>855</c:v>
                </c:pt>
                <c:pt idx="1">
                  <c:v>866</c:v>
                </c:pt>
                <c:pt idx="2">
                  <c:v>840</c:v>
                </c:pt>
                <c:pt idx="3">
                  <c:v>797</c:v>
                </c:pt>
                <c:pt idx="4">
                  <c:v>735</c:v>
                </c:pt>
                <c:pt idx="5">
                  <c:v>674</c:v>
                </c:pt>
                <c:pt idx="6">
                  <c:v>705</c:v>
                </c:pt>
                <c:pt idx="7">
                  <c:v>759</c:v>
                </c:pt>
                <c:pt idx="8">
                  <c:v>897</c:v>
                </c:pt>
                <c:pt idx="9">
                  <c:v>990</c:v>
                </c:pt>
                <c:pt idx="10">
                  <c:v>930</c:v>
                </c:pt>
                <c:pt idx="11">
                  <c:v>855</c:v>
                </c:pt>
                <c:pt idx="12" formatCode="General">
                  <c:v>805</c:v>
                </c:pt>
                <c:pt idx="13" formatCode="General">
                  <c:v>825</c:v>
                </c:pt>
                <c:pt idx="14" formatCode="General">
                  <c:v>863</c:v>
                </c:pt>
                <c:pt idx="15" formatCode="General">
                  <c:v>791</c:v>
                </c:pt>
                <c:pt idx="16" formatCode="General">
                  <c:v>793</c:v>
                </c:pt>
                <c:pt idx="17" formatCode="General">
                  <c:v>732</c:v>
                </c:pt>
                <c:pt idx="18" formatCode="General">
                  <c:v>747</c:v>
                </c:pt>
                <c:pt idx="19" formatCode="General">
                  <c:v>772</c:v>
                </c:pt>
                <c:pt idx="20" formatCode="General">
                  <c:v>709</c:v>
                </c:pt>
                <c:pt idx="21" formatCode="General">
                  <c:v>702</c:v>
                </c:pt>
                <c:pt idx="22" formatCode="General">
                  <c:v>734</c:v>
                </c:pt>
                <c:pt idx="23" formatCode="General">
                  <c:v>747</c:v>
                </c:pt>
                <c:pt idx="24" formatCode="General">
                  <c:v>739</c:v>
                </c:pt>
                <c:pt idx="25" formatCode="General">
                  <c:v>790</c:v>
                </c:pt>
                <c:pt idx="26" formatCode="General">
                  <c:v>760</c:v>
                </c:pt>
                <c:pt idx="27" formatCode="General">
                  <c:v>663</c:v>
                </c:pt>
                <c:pt idx="28" formatCode="General">
                  <c:v>630</c:v>
                </c:pt>
                <c:pt idx="29" formatCode="General">
                  <c:v>608</c:v>
                </c:pt>
                <c:pt idx="30" formatCode="General">
                  <c:v>666</c:v>
                </c:pt>
                <c:pt idx="31" formatCode="General">
                  <c:v>689</c:v>
                </c:pt>
                <c:pt idx="32" formatCode="General">
                  <c:v>662</c:v>
                </c:pt>
                <c:pt idx="33" formatCode="General">
                  <c:v>731</c:v>
                </c:pt>
                <c:pt idx="34" formatCode="General">
                  <c:v>726</c:v>
                </c:pt>
              </c:numCache>
            </c:numRef>
          </c:val>
          <c:smooth val="1"/>
          <c:extLst>
            <c:ext xmlns:c16="http://schemas.microsoft.com/office/drawing/2014/chart" uri="{C3380CC4-5D6E-409C-BE32-E72D297353CC}">
              <c16:uniqueId val="{0000000E-D948-45D2-B8F1-293FA97E0D59}"/>
            </c:ext>
          </c:extLst>
        </c:ser>
        <c:dLbls>
          <c:showLegendKey val="0"/>
          <c:showVal val="0"/>
          <c:showCatName val="0"/>
          <c:showSerName val="0"/>
          <c:showPercent val="0"/>
          <c:showBubbleSize val="0"/>
        </c:dLbls>
        <c:dropLines>
          <c:spPr>
            <a:ln w="6350" cap="flat" cmpd="sng" algn="ctr">
              <a:solidFill>
                <a:schemeClr val="accent1"/>
              </a:solidFill>
              <a:prstDash val="sysDot"/>
              <a:round/>
            </a:ln>
            <a:effectLst/>
          </c:spPr>
        </c:dropLines>
        <c:smooth val="0"/>
        <c:axId val="1553237727"/>
        <c:axId val="1553238207"/>
      </c:lineChart>
      <c:catAx>
        <c:axId val="155323772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en-US"/>
          </a:p>
        </c:txPr>
        <c:crossAx val="1553238207"/>
        <c:crosses val="autoZero"/>
        <c:auto val="1"/>
        <c:lblAlgn val="ctr"/>
        <c:lblOffset val="100"/>
        <c:noMultiLvlLbl val="0"/>
      </c:catAx>
      <c:valAx>
        <c:axId val="1553238207"/>
        <c:scaling>
          <c:orientation val="minMax"/>
          <c:min val="6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en-US"/>
          </a:p>
        </c:txPr>
        <c:crossAx val="1553237727"/>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979794096988019E-2"/>
          <c:y val="4.4942980969321832E-2"/>
          <c:w val="0.89437409893868403"/>
          <c:h val="0.63134739422488662"/>
        </c:manualLayout>
      </c:layout>
      <c:barChart>
        <c:barDir val="col"/>
        <c:grouping val="stacked"/>
        <c:varyColors val="0"/>
        <c:ser>
          <c:idx val="0"/>
          <c:order val="0"/>
          <c:tx>
            <c:strRef>
              <c:f>Sheet1!$C$4</c:f>
              <c:strCache>
                <c:ptCount val="1"/>
                <c:pt idx="0">
                  <c:v>А-80</c:v>
                </c:pt>
              </c:strCache>
            </c:strRef>
          </c:tx>
          <c:spPr>
            <a:solidFill>
              <a:schemeClr val="accent1"/>
            </a:solidFill>
            <a:ln>
              <a:noFill/>
            </a:ln>
            <a:effectLst/>
          </c:spPr>
          <c:invertIfNegative val="0"/>
          <c:cat>
            <c:strRef>
              <c:f>Sheet1!$B$23:$B$27</c:f>
              <c:strCache>
                <c:ptCount val="5"/>
                <c:pt idx="0">
                  <c:v>2021</c:v>
                </c:pt>
                <c:pt idx="1">
                  <c:v>2022</c:v>
                </c:pt>
                <c:pt idx="2">
                  <c:v>2023</c:v>
                </c:pt>
                <c:pt idx="3">
                  <c:v>2024</c:v>
                </c:pt>
                <c:pt idx="4">
                  <c:v>2025*</c:v>
                </c:pt>
              </c:strCache>
            </c:strRef>
          </c:cat>
          <c:val>
            <c:numRef>
              <c:f>Sheet1!$C$23:$C$27</c:f>
              <c:numCache>
                <c:formatCode>#,##0</c:formatCode>
                <c:ptCount val="5"/>
                <c:pt idx="0">
                  <c:v>58.982999999999997</c:v>
                </c:pt>
                <c:pt idx="1">
                  <c:v>32.942999999999998</c:v>
                </c:pt>
                <c:pt idx="2">
                  <c:v>21.562999999999999</c:v>
                </c:pt>
                <c:pt idx="3">
                  <c:v>5.63</c:v>
                </c:pt>
                <c:pt idx="4">
                  <c:v>0.253</c:v>
                </c:pt>
              </c:numCache>
            </c:numRef>
          </c:val>
          <c:extLst>
            <c:ext xmlns:c16="http://schemas.microsoft.com/office/drawing/2014/chart" uri="{C3380CC4-5D6E-409C-BE32-E72D297353CC}">
              <c16:uniqueId val="{00000000-83B6-494B-9578-B6DCE56CC3BA}"/>
            </c:ext>
          </c:extLst>
        </c:ser>
        <c:ser>
          <c:idx val="1"/>
          <c:order val="1"/>
          <c:tx>
            <c:strRef>
              <c:f>Sheet1!$D$4</c:f>
              <c:strCache>
                <c:ptCount val="1"/>
                <c:pt idx="0">
                  <c:v>Аи-92,95,98 автобензин</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Sheet1!$B$23:$B$27</c:f>
              <c:strCache>
                <c:ptCount val="5"/>
                <c:pt idx="0">
                  <c:v>2021</c:v>
                </c:pt>
                <c:pt idx="1">
                  <c:v>2022</c:v>
                </c:pt>
                <c:pt idx="2">
                  <c:v>2023</c:v>
                </c:pt>
                <c:pt idx="3">
                  <c:v>2024</c:v>
                </c:pt>
                <c:pt idx="4">
                  <c:v>2025*</c:v>
                </c:pt>
              </c:strCache>
            </c:strRef>
          </c:cat>
          <c:val>
            <c:numRef>
              <c:f>Sheet1!$D$23:$D$27</c:f>
              <c:numCache>
                <c:formatCode>#,##0</c:formatCode>
                <c:ptCount val="5"/>
                <c:pt idx="0">
                  <c:v>518.4</c:v>
                </c:pt>
                <c:pt idx="1">
                  <c:v>649.04899999999998</c:v>
                </c:pt>
                <c:pt idx="2">
                  <c:v>707.38900000000001</c:v>
                </c:pt>
                <c:pt idx="3">
                  <c:v>898</c:v>
                </c:pt>
                <c:pt idx="4">
                  <c:v>669.30000000000007</c:v>
                </c:pt>
              </c:numCache>
            </c:numRef>
          </c:val>
          <c:extLst>
            <c:ext xmlns:c16="http://schemas.microsoft.com/office/drawing/2014/chart" uri="{C3380CC4-5D6E-409C-BE32-E72D297353CC}">
              <c16:uniqueId val="{00000001-83B6-494B-9578-B6DCE56CC3BA}"/>
            </c:ext>
          </c:extLst>
        </c:ser>
        <c:ser>
          <c:idx val="2"/>
          <c:order val="2"/>
          <c:tx>
            <c:strRef>
              <c:f>Sheet1!$E$4</c:f>
              <c:strCache>
                <c:ptCount val="1"/>
                <c:pt idx="0">
                  <c:v>Дизель түлш</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Sheet1!$B$23:$B$27</c:f>
              <c:strCache>
                <c:ptCount val="5"/>
                <c:pt idx="0">
                  <c:v>2021</c:v>
                </c:pt>
                <c:pt idx="1">
                  <c:v>2022</c:v>
                </c:pt>
                <c:pt idx="2">
                  <c:v>2023</c:v>
                </c:pt>
                <c:pt idx="3">
                  <c:v>2024</c:v>
                </c:pt>
                <c:pt idx="4">
                  <c:v>2025*</c:v>
                </c:pt>
              </c:strCache>
            </c:strRef>
          </c:cat>
          <c:val>
            <c:numRef>
              <c:f>Sheet1!$E$23:$E$27</c:f>
              <c:numCache>
                <c:formatCode>#,##0</c:formatCode>
                <c:ptCount val="5"/>
                <c:pt idx="0">
                  <c:v>988.50599999999997</c:v>
                </c:pt>
                <c:pt idx="1">
                  <c:v>987.87300000000005</c:v>
                </c:pt>
                <c:pt idx="2">
                  <c:v>1341.693</c:v>
                </c:pt>
                <c:pt idx="3">
                  <c:v>1639.9690000000001</c:v>
                </c:pt>
                <c:pt idx="4">
                  <c:v>1470.6</c:v>
                </c:pt>
              </c:numCache>
            </c:numRef>
          </c:val>
          <c:extLst>
            <c:ext xmlns:c16="http://schemas.microsoft.com/office/drawing/2014/chart" uri="{C3380CC4-5D6E-409C-BE32-E72D297353CC}">
              <c16:uniqueId val="{00000002-83B6-494B-9578-B6DCE56CC3BA}"/>
            </c:ext>
          </c:extLst>
        </c:ser>
        <c:ser>
          <c:idx val="3"/>
          <c:order val="3"/>
          <c:tx>
            <c:strRef>
              <c:f>Sheet1!$F$4</c:f>
              <c:strCache>
                <c:ptCount val="1"/>
                <c:pt idx="0">
                  <c:v>Онгоцны түлш /ТС-1/</c:v>
                </c:pt>
              </c:strCache>
            </c:strRef>
          </c:tx>
          <c:spPr>
            <a:solidFill>
              <a:schemeClr val="accent4"/>
            </a:solidFill>
            <a:ln>
              <a:noFill/>
            </a:ln>
            <a:effectLst/>
          </c:spPr>
          <c:invertIfNegative val="0"/>
          <c:cat>
            <c:strRef>
              <c:f>Sheet1!$B$23:$B$27</c:f>
              <c:strCache>
                <c:ptCount val="5"/>
                <c:pt idx="0">
                  <c:v>2021</c:v>
                </c:pt>
                <c:pt idx="1">
                  <c:v>2022</c:v>
                </c:pt>
                <c:pt idx="2">
                  <c:v>2023</c:v>
                </c:pt>
                <c:pt idx="3">
                  <c:v>2024</c:v>
                </c:pt>
                <c:pt idx="4">
                  <c:v>2025*</c:v>
                </c:pt>
              </c:strCache>
            </c:strRef>
          </c:cat>
          <c:val>
            <c:numRef>
              <c:f>Sheet1!$F$23:$F$27</c:f>
              <c:numCache>
                <c:formatCode>#,##0</c:formatCode>
                <c:ptCount val="5"/>
                <c:pt idx="0">
                  <c:v>27.879000000000001</c:v>
                </c:pt>
                <c:pt idx="1">
                  <c:v>38.491999999999997</c:v>
                </c:pt>
                <c:pt idx="2">
                  <c:v>61.719000000000001</c:v>
                </c:pt>
                <c:pt idx="3">
                  <c:v>82.444000000000003</c:v>
                </c:pt>
                <c:pt idx="4">
                  <c:v>66.8</c:v>
                </c:pt>
              </c:numCache>
            </c:numRef>
          </c:val>
          <c:extLst>
            <c:ext xmlns:c16="http://schemas.microsoft.com/office/drawing/2014/chart" uri="{C3380CC4-5D6E-409C-BE32-E72D297353CC}">
              <c16:uniqueId val="{00000003-83B6-494B-9578-B6DCE56CC3BA}"/>
            </c:ext>
          </c:extLst>
        </c:ser>
        <c:ser>
          <c:idx val="4"/>
          <c:order val="4"/>
          <c:tx>
            <c:strRef>
              <c:f>Sheet1!$G$4</c:f>
              <c:strCache>
                <c:ptCount val="1"/>
                <c:pt idx="0">
                  <c:v>Бусад</c:v>
                </c:pt>
              </c:strCache>
            </c:strRef>
          </c:tx>
          <c:spPr>
            <a:solidFill>
              <a:schemeClr val="accent5"/>
            </a:solidFill>
            <a:ln>
              <a:noFill/>
            </a:ln>
            <a:effectLst/>
          </c:spPr>
          <c:invertIfNegative val="0"/>
          <c:cat>
            <c:strRef>
              <c:f>Sheet1!$B$23:$B$27</c:f>
              <c:strCache>
                <c:ptCount val="5"/>
                <c:pt idx="0">
                  <c:v>2021</c:v>
                </c:pt>
                <c:pt idx="1">
                  <c:v>2022</c:v>
                </c:pt>
                <c:pt idx="2">
                  <c:v>2023</c:v>
                </c:pt>
                <c:pt idx="3">
                  <c:v>2024</c:v>
                </c:pt>
                <c:pt idx="4">
                  <c:v>2025*</c:v>
                </c:pt>
              </c:strCache>
            </c:strRef>
          </c:cat>
          <c:val>
            <c:numRef>
              <c:f>Sheet1!$G$23:$G$27</c:f>
              <c:numCache>
                <c:formatCode>#,##0</c:formatCode>
                <c:ptCount val="5"/>
                <c:pt idx="0">
                  <c:v>222.27600000000001</c:v>
                </c:pt>
                <c:pt idx="1">
                  <c:v>201.119</c:v>
                </c:pt>
                <c:pt idx="2">
                  <c:v>282.85700000000003</c:v>
                </c:pt>
                <c:pt idx="3">
                  <c:v>225.11799999999999</c:v>
                </c:pt>
                <c:pt idx="4">
                  <c:v>182.7</c:v>
                </c:pt>
              </c:numCache>
            </c:numRef>
          </c:val>
          <c:extLst>
            <c:ext xmlns:c16="http://schemas.microsoft.com/office/drawing/2014/chart" uri="{C3380CC4-5D6E-409C-BE32-E72D297353CC}">
              <c16:uniqueId val="{00000004-83B6-494B-9578-B6DCE56CC3BA}"/>
            </c:ext>
          </c:extLst>
        </c:ser>
        <c:dLbls>
          <c:showLegendKey val="0"/>
          <c:showVal val="0"/>
          <c:showCatName val="0"/>
          <c:showSerName val="0"/>
          <c:showPercent val="0"/>
          <c:showBubbleSize val="0"/>
        </c:dLbls>
        <c:gapWidth val="269"/>
        <c:overlap val="100"/>
        <c:axId val="179471072"/>
        <c:axId val="179471632"/>
      </c:barChart>
      <c:lineChart>
        <c:grouping val="standard"/>
        <c:varyColors val="0"/>
        <c:ser>
          <c:idx val="5"/>
          <c:order val="5"/>
          <c:tx>
            <c:strRef>
              <c:f>Sheet1!$H$4</c:f>
              <c:strCache>
                <c:ptCount val="1"/>
                <c:pt idx="0">
                  <c:v>Нийт дүн</c:v>
                </c:pt>
              </c:strCache>
            </c:strRef>
          </c:tx>
          <c:spPr>
            <a:ln w="25400" cap="rnd">
              <a:noFill/>
              <a:round/>
            </a:ln>
            <a:effectLst/>
          </c:spPr>
          <c:marker>
            <c:symbol val="none"/>
          </c:marker>
          <c:dLbls>
            <c:dLbl>
              <c:idx val="0"/>
              <c:layout>
                <c:manualLayout>
                  <c:x val="-4.7304201489293055E-2"/>
                  <c:y val="-3.8631191763816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B6-494B-9578-B6DCE56CC3BA}"/>
                </c:ext>
              </c:extLst>
            </c:dLbl>
            <c:dLbl>
              <c:idx val="1"/>
              <c:layout>
                <c:manualLayout>
                  <c:x val="-4.7304201489293055E-2"/>
                  <c:y val="-3.8631191763816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3B6-494B-9578-B6DCE56CC3BA}"/>
                </c:ext>
              </c:extLst>
            </c:dLbl>
            <c:dLbl>
              <c:idx val="2"/>
              <c:layout>
                <c:manualLayout>
                  <c:x val="-5.180936353589248E-2"/>
                  <c:y val="-3.8631191763816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3B6-494B-9578-B6DCE56CC3BA}"/>
                </c:ext>
              </c:extLst>
            </c:dLbl>
            <c:dLbl>
              <c:idx val="3"/>
              <c:layout>
                <c:manualLayout>
                  <c:x val="-4.505162046599339E-2"/>
                  <c:y val="-3.8631191763816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3B6-494B-9578-B6DCE56CC3BA}"/>
                </c:ext>
              </c:extLst>
            </c:dLbl>
            <c:dLbl>
              <c:idx val="4"/>
              <c:layout>
                <c:manualLayout>
                  <c:x val="-4.0546458419394048E-2"/>
                  <c:y val="-3.751450359594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B6-494B-9578-B6DCE56CC3B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Sheet1!$B$23:$B$27</c:f>
              <c:strCache>
                <c:ptCount val="5"/>
                <c:pt idx="0">
                  <c:v>2021</c:v>
                </c:pt>
                <c:pt idx="1">
                  <c:v>2022</c:v>
                </c:pt>
                <c:pt idx="2">
                  <c:v>2023</c:v>
                </c:pt>
                <c:pt idx="3">
                  <c:v>2024</c:v>
                </c:pt>
                <c:pt idx="4">
                  <c:v>2025*</c:v>
                </c:pt>
              </c:strCache>
            </c:strRef>
          </c:cat>
          <c:val>
            <c:numRef>
              <c:f>Sheet1!$H$23:$H$27</c:f>
              <c:numCache>
                <c:formatCode>#,##0</c:formatCode>
                <c:ptCount val="5"/>
                <c:pt idx="0">
                  <c:v>1816.0439999999999</c:v>
                </c:pt>
                <c:pt idx="1">
                  <c:v>1909.4759999999999</c:v>
                </c:pt>
                <c:pt idx="2">
                  <c:v>2415.221</c:v>
                </c:pt>
                <c:pt idx="3">
                  <c:v>2851.1610000000001</c:v>
                </c:pt>
                <c:pt idx="4">
                  <c:v>2389.6530000000002</c:v>
                </c:pt>
              </c:numCache>
            </c:numRef>
          </c:val>
          <c:smooth val="0"/>
          <c:extLst>
            <c:ext xmlns:c16="http://schemas.microsoft.com/office/drawing/2014/chart" uri="{C3380CC4-5D6E-409C-BE32-E72D297353CC}">
              <c16:uniqueId val="{0000000A-83B6-494B-9578-B6DCE56CC3BA}"/>
            </c:ext>
          </c:extLst>
        </c:ser>
        <c:dLbls>
          <c:showLegendKey val="0"/>
          <c:showVal val="0"/>
          <c:showCatName val="0"/>
          <c:showSerName val="0"/>
          <c:showPercent val="0"/>
          <c:showBubbleSize val="0"/>
        </c:dLbls>
        <c:marker val="1"/>
        <c:smooth val="0"/>
        <c:axId val="179472752"/>
        <c:axId val="179472192"/>
      </c:lineChart>
      <c:catAx>
        <c:axId val="17947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9471632"/>
        <c:crosses val="autoZero"/>
        <c:auto val="1"/>
        <c:lblAlgn val="ctr"/>
        <c:lblOffset val="100"/>
        <c:noMultiLvlLbl val="0"/>
      </c:catAx>
      <c:valAx>
        <c:axId val="179471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9471072"/>
        <c:crosses val="autoZero"/>
        <c:crossBetween val="between"/>
      </c:valAx>
      <c:catAx>
        <c:axId val="179472752"/>
        <c:scaling>
          <c:orientation val="minMax"/>
        </c:scaling>
        <c:delete val="1"/>
        <c:axPos val="t"/>
        <c:numFmt formatCode="General" sourceLinked="1"/>
        <c:majorTickMark val="none"/>
        <c:minorTickMark val="none"/>
        <c:tickLblPos val="nextTo"/>
        <c:crossAx val="179472192"/>
        <c:crosses val="max"/>
        <c:auto val="1"/>
        <c:lblAlgn val="ctr"/>
        <c:lblOffset val="100"/>
        <c:noMultiLvlLbl val="0"/>
      </c:catAx>
      <c:valAx>
        <c:axId val="179472192"/>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947275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1c04d49f-11b3-4547-b0df-6503884055f9}"/>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E42B3-B567-4894-AB88-FF09393B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HEZG Ayush D</dc:creator>
  <cp:keywords/>
  <dc:description/>
  <cp:lastModifiedBy>Д.Балжинням</cp:lastModifiedBy>
  <cp:revision>13</cp:revision>
  <cp:lastPrinted>2025-10-29T00:31:00Z</cp:lastPrinted>
  <dcterms:created xsi:type="dcterms:W3CDTF">2025-11-04T10:50:00Z</dcterms:created>
  <dcterms:modified xsi:type="dcterms:W3CDTF">2025-11-17T03:12:00Z</dcterms:modified>
</cp:coreProperties>
</file>