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9846" w14:textId="77777777" w:rsidR="00391B13" w:rsidRPr="0014655E" w:rsidRDefault="00391B13" w:rsidP="008B33E8">
      <w:pPr>
        <w:spacing w:after="0" w:line="240" w:lineRule="auto"/>
        <w:ind w:firstLine="720"/>
        <w:jc w:val="center"/>
        <w:rPr>
          <w:rFonts w:ascii="Arial" w:eastAsia="Times New Roman" w:hAnsi="Arial" w:cs="Arial"/>
          <w:b/>
          <w:bCs/>
          <w:noProof/>
          <w:kern w:val="0"/>
          <w:lang w:val="mn-MN"/>
          <w14:ligatures w14:val="none"/>
        </w:rPr>
      </w:pPr>
      <w:bookmarkStart w:id="0" w:name="_Hlk212542188"/>
      <w:bookmarkStart w:id="1" w:name="_Hlk212571247"/>
      <w:r w:rsidRPr="0014655E">
        <w:rPr>
          <w:rFonts w:ascii="Arial" w:eastAsia="Times New Roman" w:hAnsi="Arial" w:cs="Arial"/>
          <w:b/>
          <w:bCs/>
          <w:noProof/>
          <w:kern w:val="0"/>
          <w:lang w:val="mn-MN"/>
          <w14:ligatures w14:val="none"/>
        </w:rPr>
        <w:t>СТРАТЕГИЙН АЧ ХОЛБОГДОЛ БҮХИЙ БҮТЭЭГДЭХҮҮНИЙ</w:t>
      </w:r>
    </w:p>
    <w:p w14:paraId="71710540" w14:textId="1823BC64" w:rsidR="00391B13" w:rsidRPr="0014655E" w:rsidRDefault="00391B13" w:rsidP="008B33E8">
      <w:pPr>
        <w:spacing w:after="0" w:line="240" w:lineRule="auto"/>
        <w:ind w:firstLine="720"/>
        <w:jc w:val="center"/>
        <w:rPr>
          <w:rFonts w:ascii="Arial" w:eastAsia="Times New Roman" w:hAnsi="Arial" w:cs="Arial"/>
          <w:b/>
          <w:bCs/>
          <w:noProof/>
          <w:kern w:val="0"/>
          <w:lang w:val="mn-MN"/>
          <w14:ligatures w14:val="none"/>
        </w:rPr>
      </w:pPr>
      <w:r w:rsidRPr="0014655E">
        <w:rPr>
          <w:rFonts w:ascii="Arial" w:eastAsia="Times New Roman" w:hAnsi="Arial" w:cs="Arial"/>
          <w:b/>
          <w:bCs/>
          <w:noProof/>
          <w:kern w:val="0"/>
          <w:lang w:val="mn-MN"/>
          <w14:ligatures w14:val="none"/>
        </w:rPr>
        <w:t>ХАНГАМЖ, НИЙЛҮҮЛЭЛТИЙГ ДЭМЖИХ ТУХАЙ</w:t>
      </w:r>
      <w:bookmarkEnd w:id="0"/>
      <w:r w:rsidRPr="0014655E">
        <w:rPr>
          <w:rFonts w:ascii="Arial" w:eastAsia="Times New Roman" w:hAnsi="Arial" w:cs="Arial"/>
          <w:b/>
          <w:bCs/>
          <w:noProof/>
          <w:kern w:val="0"/>
          <w:lang w:val="mn-MN"/>
          <w14:ligatures w14:val="none"/>
        </w:rPr>
        <w:t xml:space="preserve"> ХУУЛИЙН</w:t>
      </w:r>
    </w:p>
    <w:p w14:paraId="63AB6CE0" w14:textId="17E36EF9" w:rsidR="00391B13" w:rsidRPr="0014655E" w:rsidRDefault="00391B13" w:rsidP="008B33E8">
      <w:pPr>
        <w:spacing w:after="0" w:line="240" w:lineRule="auto"/>
        <w:ind w:firstLine="720"/>
        <w:jc w:val="center"/>
        <w:rPr>
          <w:rFonts w:ascii="Arial" w:eastAsia="Times New Roman" w:hAnsi="Arial" w:cs="Arial"/>
          <w:b/>
          <w:bCs/>
          <w:noProof/>
          <w:kern w:val="0"/>
          <w:lang w:val="mn-MN"/>
          <w14:ligatures w14:val="none"/>
        </w:rPr>
      </w:pPr>
      <w:r w:rsidRPr="0014655E">
        <w:rPr>
          <w:rFonts w:ascii="Arial" w:eastAsia="Times New Roman" w:hAnsi="Arial" w:cs="Arial"/>
          <w:b/>
          <w:bCs/>
          <w:noProof/>
          <w:kern w:val="0"/>
          <w:lang w:val="mn-MN"/>
          <w14:ligatures w14:val="none"/>
        </w:rPr>
        <w:t>ТӨСӨЛД ХИЙСЭН ЗАРДЛЫН ТООЦООНЫ ТАЙЛАН</w:t>
      </w:r>
    </w:p>
    <w:p w14:paraId="27FEF02F" w14:textId="77777777" w:rsidR="00391B13" w:rsidRPr="0014655E" w:rsidRDefault="00391B13" w:rsidP="008B33E8">
      <w:pPr>
        <w:spacing w:after="0" w:line="240" w:lineRule="auto"/>
        <w:ind w:firstLine="720"/>
        <w:jc w:val="both"/>
        <w:rPr>
          <w:rFonts w:ascii="Arial" w:eastAsia="Times New Roman" w:hAnsi="Arial" w:cs="Arial"/>
          <w:noProof/>
          <w:kern w:val="0"/>
          <w:lang w:val="mn-MN"/>
          <w14:ligatures w14:val="none"/>
        </w:rPr>
      </w:pPr>
    </w:p>
    <w:p w14:paraId="4350CF8A" w14:textId="13EB867D" w:rsidR="00391B13" w:rsidRPr="0014655E" w:rsidRDefault="00391B13"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ЗА</w:t>
      </w:r>
      <w:r w:rsidR="00C8768E" w:rsidRPr="0014655E">
        <w:rPr>
          <w:rFonts w:ascii="Arial" w:eastAsia="Times New Roman" w:hAnsi="Arial" w:cs="Arial"/>
          <w:noProof/>
          <w:kern w:val="0"/>
          <w:lang w:val="mn-MN"/>
          <w14:ligatures w14:val="none"/>
        </w:rPr>
        <w:t>Р</w:t>
      </w:r>
      <w:r w:rsidRPr="0014655E">
        <w:rPr>
          <w:rFonts w:ascii="Arial" w:eastAsia="Times New Roman" w:hAnsi="Arial" w:cs="Arial"/>
          <w:noProof/>
          <w:kern w:val="0"/>
          <w:lang w:val="mn-MN"/>
          <w14:ligatures w14:val="none"/>
        </w:rPr>
        <w:t xml:space="preserve">ДЛЫН ТООЦООНЫ АГУУЛГА: </w:t>
      </w:r>
    </w:p>
    <w:p w14:paraId="3E9B6519" w14:textId="77777777" w:rsidR="009D766D" w:rsidRPr="0014655E" w:rsidRDefault="009D766D" w:rsidP="008B33E8">
      <w:pPr>
        <w:spacing w:after="0" w:line="240" w:lineRule="auto"/>
        <w:ind w:firstLine="720"/>
        <w:jc w:val="both"/>
        <w:rPr>
          <w:rFonts w:ascii="Arial" w:eastAsia="Times New Roman" w:hAnsi="Arial" w:cs="Arial"/>
          <w:noProof/>
          <w:kern w:val="0"/>
          <w:lang w:val="mn-MN"/>
          <w14:ligatures w14:val="none"/>
        </w:rPr>
      </w:pPr>
    </w:p>
    <w:p w14:paraId="60849CDC" w14:textId="14AE2053" w:rsidR="00391B13" w:rsidRPr="0014655E" w:rsidRDefault="00391B13" w:rsidP="008B33E8">
      <w:pPr>
        <w:pStyle w:val="ListParagraph"/>
        <w:numPr>
          <w:ilvl w:val="0"/>
          <w:numId w:val="1"/>
        </w:numPr>
        <w:spacing w:after="0" w:line="240" w:lineRule="auto"/>
        <w:ind w:left="0"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Үндэслэл</w:t>
      </w:r>
    </w:p>
    <w:p w14:paraId="5BC986E3" w14:textId="5ACD132E" w:rsidR="00391B13" w:rsidRPr="0014655E" w:rsidRDefault="00391B13" w:rsidP="008B33E8">
      <w:pPr>
        <w:pStyle w:val="ListParagraph"/>
        <w:numPr>
          <w:ilvl w:val="0"/>
          <w:numId w:val="1"/>
        </w:numPr>
        <w:spacing w:after="0" w:line="240" w:lineRule="auto"/>
        <w:ind w:left="0"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Төрийн байгууллагад үүсэх зардал</w:t>
      </w:r>
    </w:p>
    <w:p w14:paraId="425E37ED" w14:textId="6ACE340D" w:rsidR="00391B13" w:rsidRPr="0014655E" w:rsidRDefault="00391B13" w:rsidP="008B33E8">
      <w:pPr>
        <w:pStyle w:val="ListParagraph"/>
        <w:numPr>
          <w:ilvl w:val="0"/>
          <w:numId w:val="1"/>
        </w:numPr>
        <w:spacing w:after="0" w:line="240" w:lineRule="auto"/>
        <w:ind w:left="0"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Хуулийн этгээдэд үүсэх зардал</w:t>
      </w:r>
    </w:p>
    <w:p w14:paraId="09AD2CAE" w14:textId="7AFAC3EB" w:rsidR="00391B13" w:rsidRPr="0014655E" w:rsidRDefault="00391B13" w:rsidP="008B33E8">
      <w:pPr>
        <w:pStyle w:val="ListParagraph"/>
        <w:numPr>
          <w:ilvl w:val="0"/>
          <w:numId w:val="1"/>
        </w:numPr>
        <w:spacing w:after="0" w:line="240" w:lineRule="auto"/>
        <w:ind w:left="0"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Иргэнд үүсэх зардал</w:t>
      </w:r>
    </w:p>
    <w:p w14:paraId="4FD0A490" w14:textId="3820DFB0" w:rsidR="00391B13" w:rsidRPr="0014655E" w:rsidRDefault="00391B13" w:rsidP="008B33E8">
      <w:pPr>
        <w:pStyle w:val="ListParagraph"/>
        <w:numPr>
          <w:ilvl w:val="0"/>
          <w:numId w:val="1"/>
        </w:numPr>
        <w:spacing w:after="0" w:line="240" w:lineRule="auto"/>
        <w:ind w:left="0"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Товч дүгнэлт</w:t>
      </w:r>
    </w:p>
    <w:p w14:paraId="7EC8F8B3" w14:textId="77777777" w:rsidR="00391B13" w:rsidRPr="0014655E" w:rsidRDefault="00391B13" w:rsidP="008B33E8">
      <w:pPr>
        <w:spacing w:after="0" w:line="240" w:lineRule="auto"/>
        <w:ind w:firstLine="720"/>
        <w:jc w:val="both"/>
        <w:rPr>
          <w:rFonts w:ascii="Arial" w:eastAsia="Times New Roman" w:hAnsi="Arial" w:cs="Arial"/>
          <w:noProof/>
          <w:kern w:val="0"/>
          <w:lang w:val="mn-MN"/>
          <w14:ligatures w14:val="none"/>
        </w:rPr>
      </w:pPr>
    </w:p>
    <w:p w14:paraId="511296C6" w14:textId="74F4D572" w:rsidR="008C3044" w:rsidRPr="0014655E" w:rsidRDefault="008C3044" w:rsidP="008B33E8">
      <w:pPr>
        <w:pStyle w:val="ListParagraph"/>
        <w:numPr>
          <w:ilvl w:val="0"/>
          <w:numId w:val="2"/>
        </w:numPr>
        <w:spacing w:after="0" w:line="240" w:lineRule="auto"/>
        <w:ind w:left="0" w:firstLine="720"/>
        <w:jc w:val="both"/>
        <w:rPr>
          <w:rFonts w:ascii="Arial" w:eastAsia="Times New Roman" w:hAnsi="Arial" w:cs="Arial"/>
          <w:b/>
          <w:bCs/>
          <w:noProof/>
          <w:kern w:val="0"/>
          <w:lang w:val="mn-MN"/>
          <w14:ligatures w14:val="none"/>
        </w:rPr>
      </w:pPr>
      <w:r w:rsidRPr="0014655E">
        <w:rPr>
          <w:rFonts w:ascii="Arial" w:eastAsia="Times New Roman" w:hAnsi="Arial" w:cs="Arial"/>
          <w:b/>
          <w:bCs/>
          <w:noProof/>
          <w:kern w:val="0"/>
          <w:lang w:val="mn-MN"/>
          <w14:ligatures w14:val="none"/>
        </w:rPr>
        <w:t xml:space="preserve">Үндэслэл: </w:t>
      </w:r>
    </w:p>
    <w:bookmarkEnd w:id="1"/>
    <w:p w14:paraId="6C3A14A3" w14:textId="77777777" w:rsidR="008B33E8" w:rsidRPr="0014655E" w:rsidRDefault="008B33E8" w:rsidP="008B33E8">
      <w:pPr>
        <w:spacing w:after="0" w:line="240" w:lineRule="auto"/>
        <w:ind w:firstLine="720"/>
        <w:jc w:val="both"/>
        <w:rPr>
          <w:rFonts w:ascii="Arial" w:eastAsia="Times New Roman" w:hAnsi="Arial" w:cs="Arial"/>
          <w:noProof/>
          <w:kern w:val="0"/>
          <w:lang w:val="mn-MN"/>
          <w14:ligatures w14:val="none"/>
        </w:rPr>
      </w:pPr>
    </w:p>
    <w:p w14:paraId="2FD740F6" w14:textId="273F2BE5" w:rsidR="008C3044"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b/>
          <w:bCs/>
          <w:noProof/>
          <w:kern w:val="0"/>
          <w:lang w:val="mn-MN"/>
          <w14:ligatures w14:val="none"/>
        </w:rPr>
        <w:t>Хууль зүйн үндэслэл:</w:t>
      </w:r>
      <w:r w:rsidRPr="0014655E">
        <w:rPr>
          <w:rFonts w:ascii="Arial" w:eastAsia="Times New Roman" w:hAnsi="Arial" w:cs="Arial"/>
          <w:noProof/>
          <w:kern w:val="0"/>
          <w:lang w:val="mn-MN"/>
          <w14:ligatures w14:val="none"/>
        </w:rPr>
        <w:t xml:space="preserve"> Монгол Улсын Үндсэн хуулийн тавдугаар зүйлийн</w:t>
      </w:r>
      <w:r w:rsidR="008B33E8" w:rsidRPr="0014655E">
        <w:rPr>
          <w:rFonts w:ascii="Arial" w:eastAsia="Times New Roman" w:hAnsi="Arial" w:cs="Arial"/>
          <w:noProof/>
          <w:kern w:val="0"/>
          <w:lang w:val="mn-MN"/>
          <w14:ligatures w14:val="none"/>
        </w:rPr>
        <w:t xml:space="preserve"> </w:t>
      </w:r>
      <w:r w:rsidRPr="0014655E">
        <w:rPr>
          <w:rFonts w:ascii="Arial" w:eastAsia="Times New Roman" w:hAnsi="Arial" w:cs="Arial"/>
          <w:noProof/>
          <w:kern w:val="0"/>
          <w:lang w:val="mn-MN"/>
          <w14:ligatures w14:val="none"/>
        </w:rPr>
        <w:t xml:space="preserve">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заасан бол Монгол Улсын Засгийн газрын тухай хуулийн 8 дугаар зүйлийн 4 дэх хэсэгт “Засгийн газар нь эдийн засгийн харилцааг аж ахуйн бүх хэвшлийн хөгжлийн сонирхолд нийцүүлэн зохицуулж, шударга өрсөлдөөнийг дэмжин, эдийн засгийн тэнцвэрийг сайжруулах арга хэмжээ авна” гэж, мөн зүйлийн 5 дахь хэсэгт “Монгол Улсын эдийн засгийн аюулгүй байдлыг хангах арга хэмжээ авч хэрэгжүүлнэ” гэж тус тус заасан байна.</w:t>
      </w:r>
    </w:p>
    <w:p w14:paraId="39F1896F" w14:textId="77777777" w:rsidR="008B33E8" w:rsidRPr="0014655E" w:rsidRDefault="008B33E8" w:rsidP="008B33E8">
      <w:pPr>
        <w:spacing w:after="0" w:line="240" w:lineRule="auto"/>
        <w:ind w:firstLine="720"/>
        <w:jc w:val="both"/>
        <w:rPr>
          <w:rFonts w:ascii="Arial" w:eastAsia="Times New Roman" w:hAnsi="Arial" w:cs="Arial"/>
          <w:noProof/>
          <w:kern w:val="0"/>
          <w:lang w:val="mn-MN"/>
          <w14:ligatures w14:val="none"/>
        </w:rPr>
      </w:pPr>
    </w:p>
    <w:p w14:paraId="591BD0AA" w14:textId="220761A3" w:rsidR="008C3044"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 xml:space="preserve">Эдгээр заалтыг үндэслэн, стратегийн ач холбогдол бүхий бүтээгдэхүүн ялангуяа газрын тосны бүтээгдэхүүн нь улсын эдийн засгийн аюулгүй байдал, дэд бүтцийн тогтвортой байдал, иргэдийн амьдралын чанарт шууд нөлөөтэй гэж үзэх хууль зүйн үндэслэл бүрдэж байна. Мөн “Монгол Улсын Засгийн газрын </w:t>
      </w:r>
      <w:r w:rsidR="008B33E8" w:rsidRPr="0014655E">
        <w:rPr>
          <w:rFonts w:ascii="Arial" w:eastAsia="Times New Roman" w:hAnsi="Arial" w:cs="Arial"/>
          <w:noProof/>
          <w:kern w:val="0"/>
          <w:lang w:val="mn-MN"/>
          <w14:ligatures w14:val="none"/>
        </w:rPr>
        <w:t xml:space="preserve">                 </w:t>
      </w:r>
      <w:r w:rsidRPr="0014655E">
        <w:rPr>
          <w:rFonts w:ascii="Arial" w:eastAsia="Times New Roman" w:hAnsi="Arial" w:cs="Arial"/>
          <w:noProof/>
          <w:kern w:val="0"/>
          <w:lang w:val="mn-MN"/>
          <w14:ligatures w14:val="none"/>
        </w:rPr>
        <w:t>2024</w:t>
      </w:r>
      <w:r w:rsidR="008B33E8" w:rsidRPr="0014655E">
        <w:rPr>
          <w:rFonts w:ascii="Arial" w:eastAsia="Times New Roman" w:hAnsi="Arial" w:cs="Arial"/>
          <w:noProof/>
          <w:kern w:val="0"/>
          <w:lang w:val="mn-MN"/>
          <w14:ligatures w14:val="none"/>
        </w:rPr>
        <w:t>-</w:t>
      </w:r>
      <w:r w:rsidRPr="0014655E">
        <w:rPr>
          <w:rFonts w:ascii="Arial" w:eastAsia="Times New Roman" w:hAnsi="Arial" w:cs="Arial"/>
          <w:noProof/>
          <w:kern w:val="0"/>
          <w:lang w:val="mn-MN"/>
          <w14:ligatures w14:val="none"/>
        </w:rPr>
        <w:t>2028 оны үйл ажиллагааны хөтөлбөр”-ийн 3.3.1.9-д газрын тосны бүтээгдэхүүний 3</w:t>
      </w:r>
      <w:r w:rsidR="008B33E8" w:rsidRPr="0014655E">
        <w:rPr>
          <w:rFonts w:ascii="Arial" w:eastAsia="Times New Roman" w:hAnsi="Arial" w:cs="Arial"/>
          <w:noProof/>
          <w:kern w:val="0"/>
          <w:lang w:val="mn-MN"/>
          <w14:ligatures w14:val="none"/>
        </w:rPr>
        <w:t>-</w:t>
      </w:r>
      <w:r w:rsidRPr="0014655E">
        <w:rPr>
          <w:rFonts w:ascii="Arial" w:eastAsia="Times New Roman" w:hAnsi="Arial" w:cs="Arial"/>
          <w:noProof/>
          <w:kern w:val="0"/>
          <w:lang w:val="mn-MN"/>
          <w14:ligatures w14:val="none"/>
        </w:rPr>
        <w:t>6 сарын хэрэглээний нөөц бүрдүүлэх зорилт, 2025 оны 126 дугаар тогтоолоор 195,880 тонн шатахууны нөөц бүрдүүлэх үүргийг тус тус тодорхойлсон нь уг хуулийн хэрэгцээ, үндэслэлийг хууль тогтоомжийн түвшинд баталгаажуулж байна</w:t>
      </w:r>
    </w:p>
    <w:p w14:paraId="602AB4D3" w14:textId="77777777" w:rsidR="008B33E8" w:rsidRPr="0014655E" w:rsidRDefault="008B33E8" w:rsidP="008B33E8">
      <w:pPr>
        <w:spacing w:after="0" w:line="240" w:lineRule="auto"/>
        <w:ind w:firstLine="720"/>
        <w:jc w:val="both"/>
        <w:rPr>
          <w:rFonts w:ascii="Arial" w:eastAsia="Times New Roman" w:hAnsi="Arial" w:cs="Arial"/>
          <w:noProof/>
          <w:kern w:val="0"/>
          <w:lang w:val="mn-MN"/>
          <w14:ligatures w14:val="none"/>
        </w:rPr>
      </w:pPr>
    </w:p>
    <w:p w14:paraId="6140800A" w14:textId="013B657E" w:rsidR="008C3044"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b/>
          <w:bCs/>
          <w:noProof/>
          <w:kern w:val="0"/>
          <w:lang w:val="mn-MN"/>
          <w14:ligatures w14:val="none"/>
        </w:rPr>
        <w:t>Эдийн засгийн ба практик үндэслэл</w:t>
      </w:r>
      <w:r w:rsidRPr="0014655E">
        <w:rPr>
          <w:rFonts w:ascii="Arial" w:eastAsia="Times New Roman" w:hAnsi="Arial" w:cs="Arial"/>
          <w:noProof/>
          <w:kern w:val="0"/>
          <w:lang w:val="mn-MN"/>
          <w14:ligatures w14:val="none"/>
        </w:rPr>
        <w:t>: Монгол Улс газрын тосны бүтээгдэхүүний хэрэглээгээ 100 хувь импортоор хангадгаас, 95 орчим хувийг ОХУ-аас, үлдсэн хэсгийг БНХАУ-аас импортлодог. Энэ нь эдийн засгийн хамаарал, валютын эрсдэл, үнийн тогтворгүй байдал, нийлүүлэлтийн тасалдлын эрсдэл бий болгож байна.</w:t>
      </w:r>
    </w:p>
    <w:p w14:paraId="0EC339B0" w14:textId="77777777" w:rsidR="008C3044" w:rsidRPr="0014655E" w:rsidRDefault="008C3044" w:rsidP="008B33E8">
      <w:pPr>
        <w:pStyle w:val="ListParagraph"/>
        <w:numPr>
          <w:ilvl w:val="0"/>
          <w:numId w:val="3"/>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2021–2024 онд олон улсын шатахууны үнэ болон ОХУ-ын экспортын бодлогын өөрчлөлтөөс шалтгаалан:</w:t>
      </w:r>
    </w:p>
    <w:p w14:paraId="0474D393" w14:textId="562C6EDE" w:rsidR="008C3044" w:rsidRPr="0014655E" w:rsidRDefault="008C3044" w:rsidP="008B33E8">
      <w:pPr>
        <w:pStyle w:val="ListParagraph"/>
        <w:numPr>
          <w:ilvl w:val="0"/>
          <w:numId w:val="3"/>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2021 онд А</w:t>
      </w:r>
      <w:r w:rsidR="00C8768E" w:rsidRPr="0014655E">
        <w:rPr>
          <w:rFonts w:ascii="Arial" w:eastAsia="Times New Roman" w:hAnsi="Arial" w:cs="Arial"/>
          <w:noProof/>
          <w:kern w:val="0"/>
          <w:lang w:val="mn-MN"/>
          <w14:ligatures w14:val="none"/>
        </w:rPr>
        <w:t>и</w:t>
      </w:r>
      <w:r w:rsidRPr="0014655E">
        <w:rPr>
          <w:rFonts w:ascii="Arial" w:eastAsia="Times New Roman" w:hAnsi="Arial" w:cs="Arial"/>
          <w:noProof/>
          <w:kern w:val="0"/>
          <w:lang w:val="mn-MN"/>
          <w14:ligatures w14:val="none"/>
        </w:rPr>
        <w:t>-92 автобензин тасалдсан;</w:t>
      </w:r>
    </w:p>
    <w:p w14:paraId="4B5BC13D" w14:textId="77777777" w:rsidR="008C3044" w:rsidRPr="0014655E" w:rsidRDefault="008C3044" w:rsidP="008B33E8">
      <w:pPr>
        <w:pStyle w:val="ListParagraph"/>
        <w:numPr>
          <w:ilvl w:val="0"/>
          <w:numId w:val="3"/>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2023 онд ОХУ шатахуун экспортлохыг хориглосноор Монгол Улс 21 хоногийн турш шатахуун импортгүй болсон;</w:t>
      </w:r>
    </w:p>
    <w:p w14:paraId="1B7F751C" w14:textId="0B369B9E" w:rsidR="008C3044" w:rsidRPr="0014655E" w:rsidRDefault="008C3044" w:rsidP="008B33E8">
      <w:pPr>
        <w:pStyle w:val="ListParagraph"/>
        <w:numPr>
          <w:ilvl w:val="0"/>
          <w:numId w:val="3"/>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2025 онд А</w:t>
      </w:r>
      <w:r w:rsidR="00C8768E" w:rsidRPr="0014655E">
        <w:rPr>
          <w:rFonts w:ascii="Arial" w:eastAsia="Times New Roman" w:hAnsi="Arial" w:cs="Arial"/>
          <w:noProof/>
          <w:kern w:val="0"/>
          <w:lang w:val="mn-MN"/>
          <w14:ligatures w14:val="none"/>
        </w:rPr>
        <w:t>и</w:t>
      </w:r>
      <w:r w:rsidRPr="0014655E">
        <w:rPr>
          <w:rFonts w:ascii="Arial" w:eastAsia="Times New Roman" w:hAnsi="Arial" w:cs="Arial"/>
          <w:noProof/>
          <w:kern w:val="0"/>
          <w:lang w:val="mn-MN"/>
          <w14:ligatures w14:val="none"/>
        </w:rPr>
        <w:t>-92 автобензиний сарын хэрэглээ 80 мянган тонн хүрч, ОХУ-аас нийлүүлж буй 60 мянган тонн хязгаарлагдсан нөхцөл байдал үүссэн</w:t>
      </w:r>
      <w:r w:rsidR="008B33E8" w:rsidRPr="0014655E">
        <w:rPr>
          <w:rFonts w:ascii="Arial" w:eastAsia="Times New Roman" w:hAnsi="Arial" w:cs="Arial"/>
          <w:noProof/>
          <w:kern w:val="0"/>
          <w:lang w:val="mn-MN"/>
          <w14:ligatures w14:val="none"/>
        </w:rPr>
        <w:t>.</w:t>
      </w:r>
    </w:p>
    <w:p w14:paraId="38A614D7" w14:textId="77777777" w:rsidR="008B33E8" w:rsidRPr="0014655E" w:rsidRDefault="008B33E8" w:rsidP="008B33E8">
      <w:pPr>
        <w:spacing w:after="0" w:line="240" w:lineRule="auto"/>
        <w:ind w:firstLine="720"/>
        <w:jc w:val="both"/>
        <w:rPr>
          <w:rFonts w:ascii="Arial" w:eastAsia="Times New Roman" w:hAnsi="Arial" w:cs="Arial"/>
          <w:noProof/>
          <w:kern w:val="0"/>
          <w:lang w:val="mn-MN"/>
          <w14:ligatures w14:val="none"/>
        </w:rPr>
      </w:pPr>
    </w:p>
    <w:p w14:paraId="5F461472" w14:textId="7C2F2B89" w:rsidR="008C3044"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Эдгээр үзүүлэлтүүд нь дотоодын хангамжийг хамгаалахын тулд төрийн оролцоо, нөөц бүрдүүлэлт, санхүүгийн дэмжлэг, мэдээллийн хяналтын систем шаардлагатай байгааг харуулж байна.</w:t>
      </w:r>
    </w:p>
    <w:p w14:paraId="5B3C1F49" w14:textId="77777777" w:rsidR="008B33E8" w:rsidRPr="0014655E" w:rsidRDefault="008B33E8" w:rsidP="008B33E8">
      <w:pPr>
        <w:spacing w:after="0" w:line="240" w:lineRule="auto"/>
        <w:ind w:firstLine="720"/>
        <w:jc w:val="both"/>
        <w:rPr>
          <w:rFonts w:ascii="Arial" w:eastAsia="Times New Roman" w:hAnsi="Arial" w:cs="Arial"/>
          <w:noProof/>
          <w:kern w:val="0"/>
          <w:lang w:val="mn-MN"/>
          <w14:ligatures w14:val="none"/>
        </w:rPr>
      </w:pPr>
    </w:p>
    <w:p w14:paraId="685D9C2F" w14:textId="4FEF8D4C" w:rsidR="008C3044"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b/>
          <w:bCs/>
          <w:noProof/>
          <w:kern w:val="0"/>
          <w:lang w:val="mn-MN"/>
          <w14:ligatures w14:val="none"/>
        </w:rPr>
        <w:lastRenderedPageBreak/>
        <w:t>Олон улсын нөхцөл байдал ба гадаад хүчин зүйл</w:t>
      </w:r>
      <w:r w:rsidRPr="0014655E">
        <w:rPr>
          <w:rFonts w:ascii="Arial" w:eastAsia="Times New Roman" w:hAnsi="Arial" w:cs="Arial"/>
          <w:noProof/>
          <w:kern w:val="0"/>
          <w:lang w:val="mn-MN"/>
          <w14:ligatures w14:val="none"/>
        </w:rPr>
        <w:t>: 2025 онд АНУ-ын Ерөнхийлөгчийн “Харилцан тэнцвэртэй тарифыг ногдуулах тухай захирамж”-аар эхэлсэн худалдааны зохицуулалтын шинэ үе шат нь дэлхий даяар импортын тариф нэмэгдэх, зах зээлүүдийн тодорхой бус байдал өсөх, шатахуун, ховор металл, эрчим хүчний үнийн савалгаа нэмэгдэх нөхцөл үүсгэсэ, үүний улмаас дэлхийн худалдаа, нийлүүлэлтийн сүлжээ тасалдаж, энергийн бүтээгдэхүүний үнэ болон нөөцийн тогтвортой байдал улс орнуудын үндэсний аюулгүй байдлын бодлогод нэн чухал байр суурь эзэлж байна. Монгол Улсын хувьд газрын тосны импортоос 95%-ийн хамааралтай байгааг харгалзан үзвэл энэхүү эрсдэл эдийн засгийн ноцтой хүчин зүйл болж байна.</w:t>
      </w:r>
    </w:p>
    <w:p w14:paraId="4DDCC417" w14:textId="77777777" w:rsidR="008B33E8" w:rsidRPr="0014655E" w:rsidRDefault="008B33E8" w:rsidP="008B33E8">
      <w:pPr>
        <w:spacing w:after="0" w:line="240" w:lineRule="auto"/>
        <w:ind w:firstLine="720"/>
        <w:jc w:val="both"/>
        <w:rPr>
          <w:rFonts w:ascii="Arial" w:eastAsia="Times New Roman" w:hAnsi="Arial" w:cs="Arial"/>
          <w:noProof/>
          <w:kern w:val="0"/>
          <w:lang w:val="mn-MN"/>
          <w14:ligatures w14:val="none"/>
        </w:rPr>
      </w:pPr>
    </w:p>
    <w:p w14:paraId="2F4CCBF3" w14:textId="5C6B33FC" w:rsidR="008C3044"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b/>
          <w:bCs/>
          <w:noProof/>
          <w:kern w:val="0"/>
          <w:lang w:val="mn-MN"/>
          <w14:ligatures w14:val="none"/>
        </w:rPr>
        <w:t>Хууль боловсруулах зайлшгүй шаардлага</w:t>
      </w:r>
      <w:r w:rsidRPr="0014655E">
        <w:rPr>
          <w:rFonts w:ascii="Arial" w:eastAsia="Times New Roman" w:hAnsi="Arial" w:cs="Arial"/>
          <w:noProof/>
          <w:kern w:val="0"/>
          <w:lang w:val="mn-MN"/>
          <w14:ligatures w14:val="none"/>
        </w:rPr>
        <w:t>: Дээр дурдсан хууль зүйн болон эдийн засгийн үндэслэл, олон улсын нөхцөл байдлын нөлөөгөөр Монгол Улсын хувьд дараах зайлшгүй бодлогын шаардлага үүссэн байна:</w:t>
      </w:r>
    </w:p>
    <w:p w14:paraId="168CC3D3" w14:textId="77777777" w:rsidR="008C3044" w:rsidRPr="0014655E" w:rsidRDefault="008C3044" w:rsidP="008B33E8">
      <w:pPr>
        <w:pStyle w:val="ListParagraph"/>
        <w:numPr>
          <w:ilvl w:val="0"/>
          <w:numId w:val="4"/>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Газрын тосны бүтээгдэхүүний 30 хоногийн нөөц бүрдүүлэх аж ахуйн нэгжүүдэд репо арилжааны нөхцөлөөр хөнгөлөлттэй санхүүжилт олгох;</w:t>
      </w:r>
    </w:p>
    <w:p w14:paraId="2B18D111" w14:textId="77777777" w:rsidR="008C3044" w:rsidRPr="0014655E" w:rsidRDefault="008C3044" w:rsidP="008B33E8">
      <w:pPr>
        <w:pStyle w:val="ListParagraph"/>
        <w:numPr>
          <w:ilvl w:val="0"/>
          <w:numId w:val="4"/>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Газрын тосны агуулах, дэд бүтцийг өргөтгөх, шинэчлэх хөрөнгө оруулалтын урамшуулал бий болгох;</w:t>
      </w:r>
    </w:p>
    <w:p w14:paraId="50677410" w14:textId="77777777" w:rsidR="008C3044" w:rsidRPr="0014655E" w:rsidRDefault="008C3044" w:rsidP="008B33E8">
      <w:pPr>
        <w:pStyle w:val="ListParagraph"/>
        <w:numPr>
          <w:ilvl w:val="0"/>
          <w:numId w:val="4"/>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Мэдээллийн ил тод байдлыг хангах, хангамжийн хяналтын нэгдсэн систем нэвтрүүлэх;</w:t>
      </w:r>
    </w:p>
    <w:p w14:paraId="445D2782" w14:textId="77777777" w:rsidR="008C3044" w:rsidRPr="0014655E" w:rsidRDefault="008C3044" w:rsidP="008B33E8">
      <w:pPr>
        <w:pStyle w:val="ListParagraph"/>
        <w:numPr>
          <w:ilvl w:val="0"/>
          <w:numId w:val="4"/>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Гадаад худалдааны эрсдэлийг бууруулах, валютын нөөцийн бодлогыг уялдуулах шаардлагатай байна.</w:t>
      </w:r>
    </w:p>
    <w:p w14:paraId="363AD0DF" w14:textId="77777777" w:rsidR="008B33E8" w:rsidRPr="0014655E" w:rsidRDefault="008B33E8" w:rsidP="008B33E8">
      <w:pPr>
        <w:pStyle w:val="ListParagraph"/>
        <w:numPr>
          <w:ilvl w:val="0"/>
          <w:numId w:val="4"/>
        </w:numPr>
        <w:spacing w:after="0" w:line="240" w:lineRule="auto"/>
        <w:ind w:left="0" w:firstLine="720"/>
        <w:jc w:val="both"/>
        <w:rPr>
          <w:rFonts w:ascii="Arial" w:eastAsia="Times New Roman" w:hAnsi="Arial" w:cs="Arial"/>
          <w:noProof/>
          <w:kern w:val="0"/>
          <w:lang w:val="mn-MN"/>
          <w14:ligatures w14:val="none"/>
        </w:rPr>
      </w:pPr>
    </w:p>
    <w:p w14:paraId="0F1D59CC" w14:textId="4211B677" w:rsidR="008C3044"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b/>
          <w:bCs/>
          <w:noProof/>
          <w:kern w:val="0"/>
          <w:lang w:val="mn-MN"/>
          <w14:ligatures w14:val="none"/>
        </w:rPr>
        <w:t>Хүлээгдэж буй үр дүн:</w:t>
      </w:r>
      <w:r w:rsidRPr="0014655E">
        <w:rPr>
          <w:rFonts w:ascii="Arial" w:eastAsia="Times New Roman" w:hAnsi="Arial" w:cs="Arial"/>
          <w:noProof/>
          <w:kern w:val="0"/>
          <w:lang w:val="mn-MN"/>
          <w14:ligatures w14:val="none"/>
        </w:rPr>
        <w:t xml:space="preserve"> Хууль батлагдсанаар дараах бодит үр нөлөөг авчирна:</w:t>
      </w:r>
    </w:p>
    <w:p w14:paraId="5720EF6B" w14:textId="77777777" w:rsidR="008C3044" w:rsidRPr="0014655E" w:rsidRDefault="008C3044" w:rsidP="008B33E8">
      <w:pPr>
        <w:pStyle w:val="ListParagraph"/>
        <w:numPr>
          <w:ilvl w:val="0"/>
          <w:numId w:val="5"/>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Шатахууны хангамж тасалдах эрсдэл 60–70% буурна</w:t>
      </w:r>
    </w:p>
    <w:p w14:paraId="449141B7" w14:textId="77777777" w:rsidR="008C3044" w:rsidRPr="0014655E" w:rsidRDefault="008C3044" w:rsidP="008B33E8">
      <w:pPr>
        <w:pStyle w:val="ListParagraph"/>
        <w:numPr>
          <w:ilvl w:val="0"/>
          <w:numId w:val="5"/>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Нөөцийн хоног 30 → 45 хоног</w:t>
      </w:r>
    </w:p>
    <w:p w14:paraId="2E57A487" w14:textId="77777777" w:rsidR="008C3044" w:rsidRPr="0014655E" w:rsidRDefault="008C3044" w:rsidP="008B33E8">
      <w:pPr>
        <w:pStyle w:val="ListParagraph"/>
        <w:numPr>
          <w:ilvl w:val="0"/>
          <w:numId w:val="5"/>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Бодлогын хүүгийн хөнгөлөлтөөр аж ахуйн нэгжүүдийн санхүүгийн дарамт буурна</w:t>
      </w:r>
    </w:p>
    <w:p w14:paraId="042E5802" w14:textId="07F14AF5" w:rsidR="008C3044" w:rsidRPr="0014655E" w:rsidRDefault="008C3044" w:rsidP="008B33E8">
      <w:pPr>
        <w:pStyle w:val="ListParagraph"/>
        <w:numPr>
          <w:ilvl w:val="0"/>
          <w:numId w:val="5"/>
        </w:numPr>
        <w:spacing w:after="0" w:line="240" w:lineRule="auto"/>
        <w:ind w:left="0" w:firstLine="567"/>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Иргэдийн амьжиргаанд үнийн тогтвортой байдлын нөлөө үзүүлнэ</w:t>
      </w:r>
      <w:r w:rsidR="008B33E8" w:rsidRPr="0014655E">
        <w:rPr>
          <w:rFonts w:ascii="Arial" w:eastAsia="Times New Roman" w:hAnsi="Arial" w:cs="Arial"/>
          <w:noProof/>
          <w:kern w:val="0"/>
          <w:lang w:val="mn-MN"/>
          <w14:ligatures w14:val="none"/>
        </w:rPr>
        <w:t>.</w:t>
      </w:r>
    </w:p>
    <w:p w14:paraId="6A00440A" w14:textId="77777777" w:rsidR="008B33E8" w:rsidRPr="0014655E" w:rsidRDefault="008B33E8" w:rsidP="008B33E8">
      <w:pPr>
        <w:spacing w:after="0" w:line="240" w:lineRule="auto"/>
        <w:ind w:firstLine="720"/>
        <w:jc w:val="both"/>
        <w:rPr>
          <w:rFonts w:ascii="Arial" w:eastAsia="Times New Roman" w:hAnsi="Arial" w:cs="Arial"/>
          <w:noProof/>
          <w:kern w:val="0"/>
          <w:lang w:val="mn-MN"/>
          <w14:ligatures w14:val="none"/>
        </w:rPr>
      </w:pPr>
    </w:p>
    <w:p w14:paraId="7335B181" w14:textId="4ED55A91" w:rsidR="00F61A6F" w:rsidRPr="0014655E" w:rsidRDefault="008C3044" w:rsidP="008B33E8">
      <w:pPr>
        <w:spacing w:after="0" w:line="240" w:lineRule="auto"/>
        <w:ind w:firstLine="720"/>
        <w:jc w:val="both"/>
        <w:rPr>
          <w:rFonts w:ascii="Arial" w:eastAsia="Times New Roman" w:hAnsi="Arial" w:cs="Arial"/>
          <w:noProof/>
          <w:kern w:val="0"/>
          <w:lang w:val="mn-MN"/>
          <w14:ligatures w14:val="none"/>
        </w:rPr>
      </w:pPr>
      <w:r w:rsidRPr="0014655E">
        <w:rPr>
          <w:rFonts w:ascii="Arial" w:eastAsia="Times New Roman" w:hAnsi="Arial" w:cs="Arial"/>
          <w:noProof/>
          <w:kern w:val="0"/>
          <w:lang w:val="mn-MN"/>
          <w14:ligatures w14:val="none"/>
        </w:rPr>
        <w:t>Стратегийн ач холбогдол бүхий бүтээгдэхүүний хангамж, нийлүүлэлтийг дэмжих тухай хуулийн төсөл нь Монгол Улсын эдийн засгийн аюулгүй байдал, төлбөрийн тэнцэл, хангамжийн тогтвортой байдал, бодлогын үр ашигт нэгдсэн зохицуулалт хийхэд чиглэсэн хууль зүйн болон эдийн засгийн үндэслэл бүхий бодит шаардлагын үр дүн юм.</w:t>
      </w:r>
    </w:p>
    <w:p w14:paraId="615C4672" w14:textId="7EC5038D" w:rsidR="00742BFF" w:rsidRDefault="00742BFF">
      <w:pPr>
        <w:spacing w:line="259" w:lineRule="auto"/>
        <w:rPr>
          <w:rFonts w:ascii="Arial" w:eastAsia="Times New Roman" w:hAnsi="Arial" w:cs="Arial"/>
          <w:noProof/>
          <w:kern w:val="0"/>
          <w:lang w:val="mn-MN"/>
          <w14:ligatures w14:val="none"/>
        </w:rPr>
      </w:pPr>
      <w:r>
        <w:rPr>
          <w:rFonts w:ascii="Arial" w:eastAsia="Times New Roman" w:hAnsi="Arial" w:cs="Arial"/>
          <w:noProof/>
          <w:kern w:val="0"/>
          <w:lang w:val="mn-MN"/>
          <w14:ligatures w14:val="none"/>
        </w:rPr>
        <w:br w:type="page"/>
      </w:r>
    </w:p>
    <w:p w14:paraId="27FFF39D" w14:textId="08305BF6" w:rsidR="00415BF0" w:rsidRPr="0014655E" w:rsidRDefault="00415BF0" w:rsidP="008B33E8">
      <w:pPr>
        <w:pStyle w:val="ListParagraph"/>
        <w:numPr>
          <w:ilvl w:val="0"/>
          <w:numId w:val="2"/>
        </w:numPr>
        <w:spacing w:after="0" w:line="240" w:lineRule="auto"/>
        <w:ind w:left="0" w:firstLine="720"/>
        <w:jc w:val="both"/>
        <w:rPr>
          <w:rFonts w:ascii="Arial" w:hAnsi="Arial" w:cs="Arial"/>
          <w:b/>
          <w:bCs/>
          <w:noProof/>
          <w:lang w:val="mn-MN"/>
        </w:rPr>
      </w:pPr>
      <w:r w:rsidRPr="0014655E">
        <w:rPr>
          <w:rFonts w:ascii="Arial" w:hAnsi="Arial" w:cs="Arial"/>
          <w:b/>
          <w:bCs/>
          <w:noProof/>
          <w:lang w:val="mn-MN"/>
        </w:rPr>
        <w:lastRenderedPageBreak/>
        <w:t>Төрийн байгууллагад үүсэх зардал:</w:t>
      </w:r>
    </w:p>
    <w:p w14:paraId="66599F80" w14:textId="77777777" w:rsidR="00E96868" w:rsidRPr="0014655E" w:rsidRDefault="00E96868" w:rsidP="008B33E8">
      <w:pPr>
        <w:pStyle w:val="ListParagraph"/>
        <w:spacing w:after="0" w:line="240" w:lineRule="auto"/>
        <w:ind w:left="0" w:firstLine="720"/>
        <w:jc w:val="both"/>
        <w:rPr>
          <w:rFonts w:ascii="Arial" w:hAnsi="Arial" w:cs="Arial"/>
          <w:b/>
          <w:bCs/>
          <w:noProof/>
          <w:lang w:val="mn-MN"/>
        </w:rPr>
      </w:pPr>
    </w:p>
    <w:tbl>
      <w:tblPr>
        <w:tblStyle w:val="TableGrid"/>
        <w:tblpPr w:leftFromText="180" w:rightFromText="180" w:vertAnchor="text" w:tblpY="1"/>
        <w:tblOverlap w:val="never"/>
        <w:tblW w:w="0" w:type="auto"/>
        <w:tblLook w:val="04A0" w:firstRow="1" w:lastRow="0" w:firstColumn="1" w:lastColumn="0" w:noHBand="0" w:noVBand="1"/>
      </w:tblPr>
      <w:tblGrid>
        <w:gridCol w:w="439"/>
        <w:gridCol w:w="1830"/>
        <w:gridCol w:w="2440"/>
        <w:gridCol w:w="1692"/>
        <w:gridCol w:w="2943"/>
      </w:tblGrid>
      <w:tr w:rsidR="0014655E" w:rsidRPr="0014655E" w14:paraId="4A18C1B7" w14:textId="77777777" w:rsidTr="000C091E">
        <w:tc>
          <w:tcPr>
            <w:tcW w:w="417" w:type="dxa"/>
            <w:vAlign w:val="center"/>
          </w:tcPr>
          <w:p w14:paraId="7689C795" w14:textId="36F5A02B"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w:t>
            </w:r>
          </w:p>
        </w:tc>
        <w:tc>
          <w:tcPr>
            <w:tcW w:w="2013" w:type="dxa"/>
            <w:vAlign w:val="center"/>
          </w:tcPr>
          <w:p w14:paraId="1EBA90A6" w14:textId="080E6193"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Зардлын төрөл</w:t>
            </w:r>
          </w:p>
        </w:tc>
        <w:tc>
          <w:tcPr>
            <w:tcW w:w="2790" w:type="dxa"/>
            <w:vAlign w:val="center"/>
          </w:tcPr>
          <w:p w14:paraId="764BEAF8" w14:textId="2AC1F09D"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Хаана, ямар байгууллагад</w:t>
            </w:r>
          </w:p>
        </w:tc>
        <w:tc>
          <w:tcPr>
            <w:tcW w:w="1800" w:type="dxa"/>
            <w:vAlign w:val="center"/>
          </w:tcPr>
          <w:p w14:paraId="674EB6BD" w14:textId="77777777" w:rsidR="008B33E8" w:rsidRPr="0014655E" w:rsidRDefault="00E96868" w:rsidP="008B33E8">
            <w:pPr>
              <w:pStyle w:val="ListParagraph"/>
              <w:spacing w:line="240" w:lineRule="auto"/>
              <w:ind w:left="0"/>
              <w:jc w:val="center"/>
              <w:rPr>
                <w:rFonts w:ascii="Arial" w:eastAsia="Times New Roman" w:hAnsi="Arial" w:cs="Arial"/>
                <w:b/>
                <w:bCs/>
                <w:noProof/>
                <w:kern w:val="0"/>
                <w:sz w:val="20"/>
                <w:szCs w:val="20"/>
                <w:lang w:val="mn-MN" w:eastAsia="zh-CN"/>
                <w14:ligatures w14:val="none"/>
              </w:rPr>
            </w:pPr>
            <w:r w:rsidRPr="0014655E">
              <w:rPr>
                <w:rFonts w:ascii="Arial" w:eastAsia="Times New Roman" w:hAnsi="Arial" w:cs="Arial"/>
                <w:b/>
                <w:bCs/>
                <w:noProof/>
                <w:kern w:val="0"/>
                <w:sz w:val="20"/>
                <w:szCs w:val="20"/>
                <w:lang w:val="mn-MN" w:eastAsia="zh-CN"/>
                <w14:ligatures w14:val="none"/>
              </w:rPr>
              <w:t>Урьдчилсан зардал</w:t>
            </w:r>
          </w:p>
          <w:p w14:paraId="598234E9" w14:textId="5486086D" w:rsidR="00E96868" w:rsidRPr="0014655E" w:rsidRDefault="00E96868"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(сая ₮)</w:t>
            </w:r>
          </w:p>
        </w:tc>
        <w:tc>
          <w:tcPr>
            <w:tcW w:w="3477" w:type="dxa"/>
            <w:vAlign w:val="center"/>
          </w:tcPr>
          <w:p w14:paraId="7334C28E" w14:textId="29522A24"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Юунд зориулагдах вэ / Үндэслэл</w:t>
            </w:r>
          </w:p>
        </w:tc>
      </w:tr>
      <w:tr w:rsidR="0014655E" w:rsidRPr="0014655E" w14:paraId="415BDAA1" w14:textId="77777777" w:rsidTr="000C091E">
        <w:tc>
          <w:tcPr>
            <w:tcW w:w="417" w:type="dxa"/>
            <w:vAlign w:val="center"/>
          </w:tcPr>
          <w:p w14:paraId="32CC5456" w14:textId="75C84721"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1</w:t>
            </w:r>
          </w:p>
        </w:tc>
        <w:tc>
          <w:tcPr>
            <w:tcW w:w="2013" w:type="dxa"/>
            <w:vAlign w:val="center"/>
          </w:tcPr>
          <w:p w14:paraId="63CC2C53" w14:textId="0A68566F"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Хууль хэрэгжүүлэх бүтэц байгуулах</w:t>
            </w:r>
          </w:p>
        </w:tc>
        <w:tc>
          <w:tcPr>
            <w:tcW w:w="2790" w:type="dxa"/>
            <w:vAlign w:val="center"/>
          </w:tcPr>
          <w:p w14:paraId="2ACD5820" w14:textId="5FC8856A"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Засгийн газар, Аж үйлдвэр ба эрдэс баялгийн яам, Сангийн яам, Монголбанк, Орон нутгийн захиргаа</w:t>
            </w:r>
          </w:p>
        </w:tc>
        <w:tc>
          <w:tcPr>
            <w:tcW w:w="1800" w:type="dxa"/>
            <w:vAlign w:val="center"/>
          </w:tcPr>
          <w:p w14:paraId="22BA93A7" w14:textId="0DF0FEE3"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3477" w:type="dxa"/>
            <w:vAlign w:val="center"/>
          </w:tcPr>
          <w:p w14:paraId="6ABF20D7" w14:textId="319286D3"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Хуулийг хэрэгжүүлэх бүтэц, нэгж байгуулж, орон тоо нэмэх, хяналт тавих чиг үүрэг бүхий хэлтэс байгуулах.</w:t>
            </w:r>
          </w:p>
        </w:tc>
      </w:tr>
      <w:tr w:rsidR="0014655E" w:rsidRPr="0014655E" w14:paraId="6A199CBF" w14:textId="77777777" w:rsidTr="000C091E">
        <w:tc>
          <w:tcPr>
            <w:tcW w:w="417" w:type="dxa"/>
            <w:vAlign w:val="center"/>
          </w:tcPr>
          <w:p w14:paraId="7BDF3C5C" w14:textId="1F5DBCD1"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2</w:t>
            </w:r>
          </w:p>
        </w:tc>
        <w:tc>
          <w:tcPr>
            <w:tcW w:w="2013" w:type="dxa"/>
            <w:vAlign w:val="center"/>
          </w:tcPr>
          <w:p w14:paraId="3E1B8883" w14:textId="5D4B1FAC"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Мэдээллийн нэгдсэн систем байгуулах</w:t>
            </w:r>
          </w:p>
        </w:tc>
        <w:tc>
          <w:tcPr>
            <w:tcW w:w="2790" w:type="dxa"/>
            <w:vAlign w:val="center"/>
          </w:tcPr>
          <w:p w14:paraId="4150E36E" w14:textId="260AED37"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Аж үйлдвэр ба эрдэс баялгийн яам, Үндэсний статистикийн хороо, Гаалийн ерөнхий газар, Монголбанк</w:t>
            </w:r>
          </w:p>
        </w:tc>
        <w:tc>
          <w:tcPr>
            <w:tcW w:w="1800" w:type="dxa"/>
            <w:vAlign w:val="center"/>
          </w:tcPr>
          <w:p w14:paraId="5731C4A2" w14:textId="716F055B"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3477" w:type="dxa"/>
            <w:vAlign w:val="center"/>
          </w:tcPr>
          <w:p w14:paraId="2B51543E" w14:textId="5470E99C"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Импорт, нөөц, агуулах, үнэ, түгээлтийн мэдээллийг нэгтгэх цахим систем (платформ) байгуулах; сервер, программ, мэдээллийн хамгаалалт хийх.</w:t>
            </w:r>
          </w:p>
        </w:tc>
      </w:tr>
      <w:tr w:rsidR="0014655E" w:rsidRPr="0014655E" w14:paraId="767951CA" w14:textId="77777777" w:rsidTr="000C091E">
        <w:tc>
          <w:tcPr>
            <w:tcW w:w="417" w:type="dxa"/>
            <w:vAlign w:val="center"/>
          </w:tcPr>
          <w:p w14:paraId="739F3D80" w14:textId="6A217344"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3</w:t>
            </w:r>
          </w:p>
        </w:tc>
        <w:tc>
          <w:tcPr>
            <w:tcW w:w="2013" w:type="dxa"/>
            <w:vAlign w:val="center"/>
          </w:tcPr>
          <w:p w14:paraId="3F0749D7" w14:textId="027D8766"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 xml:space="preserve">Хяналт, үнэлгээний систем </w:t>
            </w:r>
          </w:p>
        </w:tc>
        <w:tc>
          <w:tcPr>
            <w:tcW w:w="2790" w:type="dxa"/>
            <w:vAlign w:val="center"/>
          </w:tcPr>
          <w:p w14:paraId="15A89E24" w14:textId="577D572A"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Сангийн яам, Үндэсний хөгжлийн газар, Аж үйлдвэр ба эрдэс баялгийн яам</w:t>
            </w:r>
          </w:p>
        </w:tc>
        <w:tc>
          <w:tcPr>
            <w:tcW w:w="1800" w:type="dxa"/>
            <w:vAlign w:val="center"/>
          </w:tcPr>
          <w:p w14:paraId="00C7872D" w14:textId="4B2D6B6B"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3477" w:type="dxa"/>
            <w:vAlign w:val="center"/>
          </w:tcPr>
          <w:p w14:paraId="01997064" w14:textId="7068BFBD"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Хуулийн хэрэгжилтийн үр дүнг хэмжих систем бий болгох. Жишээлбэл: нөөцийн хоног, импортын төвлөрлийн индекс, үнэ, хүү, хангамжийн мэдээлэл.</w:t>
            </w:r>
          </w:p>
        </w:tc>
      </w:tr>
      <w:tr w:rsidR="0014655E" w:rsidRPr="0014655E" w14:paraId="37AE7DCE" w14:textId="77777777" w:rsidTr="000C091E">
        <w:tc>
          <w:tcPr>
            <w:tcW w:w="417" w:type="dxa"/>
            <w:vAlign w:val="center"/>
          </w:tcPr>
          <w:p w14:paraId="2743B731" w14:textId="204FF3A3"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4</w:t>
            </w:r>
          </w:p>
        </w:tc>
        <w:tc>
          <w:tcPr>
            <w:tcW w:w="2013" w:type="dxa"/>
            <w:vAlign w:val="center"/>
          </w:tcPr>
          <w:p w14:paraId="6BD7A73E" w14:textId="7D909A23"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Сургалт, чадавх бэхжүүлэх</w:t>
            </w:r>
          </w:p>
        </w:tc>
        <w:tc>
          <w:tcPr>
            <w:tcW w:w="2790" w:type="dxa"/>
            <w:vAlign w:val="center"/>
          </w:tcPr>
          <w:p w14:paraId="4B37EA90" w14:textId="2F7620E2"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Засгийн газрын хэрэгжүүлэгч агентлагууд, Орон нутгийн захиргаа</w:t>
            </w:r>
          </w:p>
        </w:tc>
        <w:tc>
          <w:tcPr>
            <w:tcW w:w="1800" w:type="dxa"/>
            <w:vAlign w:val="center"/>
          </w:tcPr>
          <w:p w14:paraId="3B2E65AA" w14:textId="287ECF59"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3477" w:type="dxa"/>
            <w:vAlign w:val="center"/>
          </w:tcPr>
          <w:p w14:paraId="7DFEEBF1" w14:textId="4339CFA8"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Хуулийн хэрэгжилт, стандарт, ил тод байдал, хяналт-шинжилгээний талаар төрийн ажилтнуудад сургалт явуулах.</w:t>
            </w:r>
          </w:p>
        </w:tc>
      </w:tr>
      <w:tr w:rsidR="0014655E" w:rsidRPr="0014655E" w14:paraId="0107CC2B" w14:textId="77777777" w:rsidTr="000C091E">
        <w:tc>
          <w:tcPr>
            <w:tcW w:w="417" w:type="dxa"/>
            <w:vAlign w:val="center"/>
          </w:tcPr>
          <w:p w14:paraId="3C1D080D" w14:textId="36427853"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5</w:t>
            </w:r>
          </w:p>
        </w:tc>
        <w:tc>
          <w:tcPr>
            <w:tcW w:w="2013" w:type="dxa"/>
            <w:vAlign w:val="center"/>
          </w:tcPr>
          <w:p w14:paraId="40CAA7C0" w14:textId="1BE026B1"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Аудит ба ил тод байдлын зардал</w:t>
            </w:r>
          </w:p>
        </w:tc>
        <w:tc>
          <w:tcPr>
            <w:tcW w:w="2790" w:type="dxa"/>
            <w:vAlign w:val="center"/>
          </w:tcPr>
          <w:p w14:paraId="3992401A" w14:textId="013912CC"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Төрийн аудитын байгууллага, Сангийн яам, Монголбанк</w:t>
            </w:r>
          </w:p>
        </w:tc>
        <w:tc>
          <w:tcPr>
            <w:tcW w:w="1800" w:type="dxa"/>
            <w:vAlign w:val="center"/>
          </w:tcPr>
          <w:p w14:paraId="3AB1E6A2" w14:textId="23E55D41"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3477" w:type="dxa"/>
            <w:vAlign w:val="center"/>
          </w:tcPr>
          <w:p w14:paraId="55E9AFBD" w14:textId="6941610C"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Хуулийн хэрэгжилтийн явцын аудит, тайлан гаргах, ил тод байдлыг хангах, цахим тайлагнал хийх.</w:t>
            </w:r>
          </w:p>
        </w:tc>
      </w:tr>
      <w:tr w:rsidR="0014655E" w:rsidRPr="0014655E" w14:paraId="4483A734" w14:textId="77777777" w:rsidTr="000C091E">
        <w:tc>
          <w:tcPr>
            <w:tcW w:w="417" w:type="dxa"/>
            <w:vAlign w:val="center"/>
          </w:tcPr>
          <w:p w14:paraId="134C6E9E" w14:textId="2F0EE643"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6</w:t>
            </w:r>
          </w:p>
        </w:tc>
        <w:tc>
          <w:tcPr>
            <w:tcW w:w="2013" w:type="dxa"/>
            <w:vAlign w:val="center"/>
          </w:tcPr>
          <w:p w14:paraId="763C4D0E" w14:textId="0C34F3CB" w:rsidR="00E96868" w:rsidRPr="0014655E" w:rsidRDefault="00E96868"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Эрсдэлийн нөөцийн сан байгуулах</w:t>
            </w:r>
          </w:p>
        </w:tc>
        <w:tc>
          <w:tcPr>
            <w:tcW w:w="2790" w:type="dxa"/>
            <w:vAlign w:val="center"/>
          </w:tcPr>
          <w:p w14:paraId="026511FE" w14:textId="66797295"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Сангийн яам, Монголбанк</w:t>
            </w:r>
          </w:p>
        </w:tc>
        <w:tc>
          <w:tcPr>
            <w:tcW w:w="1800" w:type="dxa"/>
            <w:vAlign w:val="center"/>
          </w:tcPr>
          <w:p w14:paraId="7A6FF325" w14:textId="31374AE0"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3477" w:type="dxa"/>
            <w:vAlign w:val="center"/>
          </w:tcPr>
          <w:p w14:paraId="33CFC349" w14:textId="60872496"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Импорт тасалдах, дэлхийн үнэ хэлбэлзэх үед дотоод зах зээлийг хамгаалах зориулалттай түр “буфер сан” (эрсдэлийн сан) бүрдүүлэх.</w:t>
            </w:r>
          </w:p>
        </w:tc>
      </w:tr>
      <w:tr w:rsidR="0014655E" w:rsidRPr="0014655E" w14:paraId="7DCD13B1" w14:textId="77777777" w:rsidTr="000C091E">
        <w:tc>
          <w:tcPr>
            <w:tcW w:w="417" w:type="dxa"/>
          </w:tcPr>
          <w:p w14:paraId="3A600D49" w14:textId="658C1712"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2013" w:type="dxa"/>
            <w:vAlign w:val="center"/>
          </w:tcPr>
          <w:p w14:paraId="11EA8C81" w14:textId="77777777"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2790" w:type="dxa"/>
            <w:vAlign w:val="center"/>
          </w:tcPr>
          <w:p w14:paraId="6E1CE250" w14:textId="77777777" w:rsidR="00E96868" w:rsidRPr="0014655E" w:rsidRDefault="00E96868" w:rsidP="008B33E8">
            <w:pPr>
              <w:pStyle w:val="ListParagraph"/>
              <w:spacing w:line="240" w:lineRule="auto"/>
              <w:ind w:left="0"/>
              <w:jc w:val="both"/>
              <w:rPr>
                <w:rFonts w:ascii="Arial" w:hAnsi="Arial" w:cs="Arial"/>
                <w:b/>
                <w:bCs/>
                <w:noProof/>
                <w:sz w:val="20"/>
                <w:szCs w:val="20"/>
                <w:lang w:val="mn-MN"/>
              </w:rPr>
            </w:pPr>
          </w:p>
        </w:tc>
        <w:tc>
          <w:tcPr>
            <w:tcW w:w="1800" w:type="dxa"/>
            <w:vAlign w:val="center"/>
          </w:tcPr>
          <w:p w14:paraId="652312C4" w14:textId="78E496A3" w:rsidR="00E96868" w:rsidRPr="0014655E" w:rsidRDefault="000C091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 xml:space="preserve">Нийт </w:t>
            </w:r>
            <w:r w:rsidR="002B40DB" w:rsidRPr="0014655E">
              <w:rPr>
                <w:rFonts w:ascii="Arial" w:hAnsi="Arial" w:cs="Arial"/>
                <w:noProof/>
                <w:sz w:val="20"/>
                <w:szCs w:val="20"/>
                <w:lang w:val="mn-MN"/>
              </w:rPr>
              <w:t>0</w:t>
            </w:r>
            <w:r w:rsidRPr="0014655E">
              <w:rPr>
                <w:rFonts w:ascii="Arial" w:hAnsi="Arial" w:cs="Arial"/>
                <w:noProof/>
                <w:sz w:val="20"/>
                <w:szCs w:val="20"/>
                <w:lang w:val="mn-MN"/>
              </w:rPr>
              <w:t xml:space="preserve"> төгрөг (урьдчилсан байдлаар)</w:t>
            </w:r>
          </w:p>
        </w:tc>
        <w:tc>
          <w:tcPr>
            <w:tcW w:w="3477" w:type="dxa"/>
            <w:vAlign w:val="center"/>
          </w:tcPr>
          <w:p w14:paraId="0D93E536" w14:textId="22DC821F" w:rsidR="00E96868" w:rsidRPr="0014655E" w:rsidRDefault="00E96868"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2025–2027 онд үе шаттайгаар хэрэгжүүлэх төлөвлөгөөний зардал.</w:t>
            </w:r>
          </w:p>
        </w:tc>
      </w:tr>
    </w:tbl>
    <w:p w14:paraId="1C4DEAD9" w14:textId="77777777" w:rsidR="008B33E8" w:rsidRPr="0014655E" w:rsidRDefault="008B33E8" w:rsidP="008B33E8">
      <w:pPr>
        <w:spacing w:after="0" w:line="240" w:lineRule="auto"/>
        <w:ind w:firstLine="720"/>
        <w:jc w:val="both"/>
        <w:rPr>
          <w:rFonts w:ascii="Arial" w:hAnsi="Arial" w:cs="Arial"/>
          <w:noProof/>
          <w:lang w:val="mn-MN"/>
        </w:rPr>
      </w:pPr>
    </w:p>
    <w:p w14:paraId="43D79CB5" w14:textId="39E188E7" w:rsidR="00E96868" w:rsidRPr="0014655E" w:rsidRDefault="00E96868" w:rsidP="008B33E8">
      <w:pPr>
        <w:spacing w:after="0" w:line="240" w:lineRule="auto"/>
        <w:ind w:firstLine="720"/>
        <w:jc w:val="both"/>
        <w:rPr>
          <w:rFonts w:ascii="Arial" w:hAnsi="Arial" w:cs="Arial"/>
          <w:noProof/>
          <w:lang w:val="mn-MN"/>
        </w:rPr>
      </w:pPr>
      <w:r w:rsidRPr="0014655E">
        <w:rPr>
          <w:rFonts w:ascii="Arial" w:hAnsi="Arial" w:cs="Arial"/>
          <w:noProof/>
          <w:lang w:val="mn-MN"/>
        </w:rPr>
        <w:t>Тайлбар:</w:t>
      </w:r>
    </w:p>
    <w:p w14:paraId="7C7BAE35" w14:textId="77777777" w:rsidR="00E96868" w:rsidRPr="0014655E" w:rsidRDefault="00E96868" w:rsidP="008B33E8">
      <w:pPr>
        <w:pStyle w:val="ListParagraph"/>
        <w:numPr>
          <w:ilvl w:val="0"/>
          <w:numId w:val="5"/>
        </w:numPr>
        <w:spacing w:after="0" w:line="240" w:lineRule="auto"/>
        <w:ind w:left="0" w:firstLine="567"/>
        <w:jc w:val="both"/>
        <w:rPr>
          <w:rFonts w:ascii="Arial" w:hAnsi="Arial" w:cs="Arial"/>
          <w:noProof/>
          <w:lang w:val="mn-MN"/>
        </w:rPr>
      </w:pPr>
      <w:r w:rsidRPr="0014655E">
        <w:rPr>
          <w:rFonts w:ascii="Arial" w:hAnsi="Arial" w:cs="Arial"/>
          <w:noProof/>
          <w:lang w:val="mn-MN"/>
        </w:rPr>
        <w:t>Зардлын тооцоолол нь хуулийн 6–9 дүгээр зүйлүүдэд заасан төрийн үүрэг, хэрэгжилтийн үйл ажиллагааг хэрэгжүүлэхэд шаардагдах үндсэн хөрөнгө оруулалт, программ, хүний нөөцийн зардлыг хамарна.</w:t>
      </w:r>
    </w:p>
    <w:p w14:paraId="2388150B" w14:textId="77777777" w:rsidR="00E96868" w:rsidRPr="0014655E" w:rsidRDefault="00E96868" w:rsidP="008B33E8">
      <w:pPr>
        <w:pStyle w:val="ListParagraph"/>
        <w:numPr>
          <w:ilvl w:val="0"/>
          <w:numId w:val="5"/>
        </w:numPr>
        <w:spacing w:after="0" w:line="240" w:lineRule="auto"/>
        <w:ind w:left="0" w:firstLine="567"/>
        <w:jc w:val="both"/>
        <w:rPr>
          <w:rFonts w:ascii="Arial" w:hAnsi="Arial" w:cs="Arial"/>
          <w:noProof/>
          <w:lang w:val="mn-MN"/>
        </w:rPr>
      </w:pPr>
      <w:r w:rsidRPr="0014655E">
        <w:rPr>
          <w:rFonts w:ascii="Arial" w:hAnsi="Arial" w:cs="Arial"/>
          <w:noProof/>
          <w:lang w:val="mn-MN"/>
        </w:rPr>
        <w:t>Төсвийн хэрэгжилтийг 2025–2027 онд үе шаттайгаар хуваарилж, улсын төсөв, Монголбанкны репо болон олон улсын хамтын ажиллагааны эх үүсвэрээс санхүүжүүлэх боломжтой.</w:t>
      </w:r>
    </w:p>
    <w:p w14:paraId="58D443AD" w14:textId="77777777" w:rsidR="00E96868" w:rsidRPr="0014655E" w:rsidRDefault="00E96868" w:rsidP="008B33E8">
      <w:pPr>
        <w:pStyle w:val="ListParagraph"/>
        <w:numPr>
          <w:ilvl w:val="0"/>
          <w:numId w:val="5"/>
        </w:numPr>
        <w:spacing w:after="0" w:line="240" w:lineRule="auto"/>
        <w:ind w:left="0" w:firstLine="567"/>
        <w:jc w:val="both"/>
        <w:rPr>
          <w:rFonts w:ascii="Arial" w:hAnsi="Arial" w:cs="Arial"/>
          <w:noProof/>
          <w:lang w:val="mn-MN"/>
        </w:rPr>
      </w:pPr>
      <w:r w:rsidRPr="0014655E">
        <w:rPr>
          <w:rFonts w:ascii="Arial" w:hAnsi="Arial" w:cs="Arial"/>
          <w:noProof/>
          <w:lang w:val="mn-MN"/>
        </w:rPr>
        <w:t>Энэхүү зардал нь төрийн байгууллагууд хуулийг хэрэгжүүлэхэд шаардагдах үндсэн хөрөнгө оруулалт, мэдээллийн систем, хүний нөөц, сургалт, хяналт, болон онцгой нөхцөлд хэрэглэх санг хамарна.</w:t>
      </w:r>
    </w:p>
    <w:p w14:paraId="6FAF0C5A" w14:textId="77777777" w:rsidR="00E96868" w:rsidRPr="0014655E" w:rsidRDefault="00E96868" w:rsidP="008B33E8">
      <w:pPr>
        <w:pStyle w:val="ListParagraph"/>
        <w:numPr>
          <w:ilvl w:val="0"/>
          <w:numId w:val="5"/>
        </w:numPr>
        <w:spacing w:after="0" w:line="240" w:lineRule="auto"/>
        <w:ind w:left="0" w:firstLine="567"/>
        <w:jc w:val="both"/>
        <w:rPr>
          <w:rFonts w:ascii="Arial" w:hAnsi="Arial" w:cs="Arial"/>
          <w:noProof/>
          <w:lang w:val="mn-MN"/>
        </w:rPr>
      </w:pPr>
      <w:r w:rsidRPr="0014655E">
        <w:rPr>
          <w:rFonts w:ascii="Arial" w:hAnsi="Arial" w:cs="Arial"/>
          <w:noProof/>
          <w:lang w:val="mn-MN"/>
        </w:rPr>
        <w:t xml:space="preserve">Зардлыг </w:t>
      </w:r>
      <w:r w:rsidRPr="0014655E">
        <w:rPr>
          <w:rStyle w:val="Strong"/>
          <w:rFonts w:ascii="Arial" w:hAnsi="Arial" w:cs="Arial"/>
          <w:b w:val="0"/>
          <w:bCs w:val="0"/>
          <w:noProof/>
          <w:lang w:val="mn-MN"/>
        </w:rPr>
        <w:t>улсын төсөв</w:t>
      </w:r>
      <w:r w:rsidRPr="0014655E">
        <w:rPr>
          <w:rFonts w:ascii="Arial" w:hAnsi="Arial" w:cs="Arial"/>
          <w:b/>
          <w:bCs/>
          <w:noProof/>
          <w:lang w:val="mn-MN"/>
        </w:rPr>
        <w:t xml:space="preserve">, </w:t>
      </w:r>
      <w:r w:rsidRPr="0014655E">
        <w:rPr>
          <w:rStyle w:val="Strong"/>
          <w:rFonts w:ascii="Arial" w:hAnsi="Arial" w:cs="Arial"/>
          <w:b w:val="0"/>
          <w:bCs w:val="0"/>
          <w:noProof/>
          <w:lang w:val="mn-MN"/>
        </w:rPr>
        <w:t>Монголбанкны санхүүжилт</w:t>
      </w:r>
      <w:r w:rsidRPr="0014655E">
        <w:rPr>
          <w:rFonts w:ascii="Arial" w:hAnsi="Arial" w:cs="Arial"/>
          <w:b/>
          <w:bCs/>
          <w:noProof/>
          <w:lang w:val="mn-MN"/>
        </w:rPr>
        <w:t xml:space="preserve">, </w:t>
      </w:r>
      <w:r w:rsidRPr="0014655E">
        <w:rPr>
          <w:rFonts w:ascii="Arial" w:hAnsi="Arial" w:cs="Arial"/>
          <w:noProof/>
          <w:lang w:val="mn-MN"/>
        </w:rPr>
        <w:t>мөн</w:t>
      </w:r>
      <w:r w:rsidRPr="0014655E">
        <w:rPr>
          <w:rFonts w:ascii="Arial" w:hAnsi="Arial" w:cs="Arial"/>
          <w:b/>
          <w:bCs/>
          <w:noProof/>
          <w:lang w:val="mn-MN"/>
        </w:rPr>
        <w:t xml:space="preserve"> </w:t>
      </w:r>
      <w:r w:rsidRPr="0014655E">
        <w:rPr>
          <w:rStyle w:val="Strong"/>
          <w:rFonts w:ascii="Arial" w:hAnsi="Arial" w:cs="Arial"/>
          <w:b w:val="0"/>
          <w:bCs w:val="0"/>
          <w:noProof/>
          <w:lang w:val="mn-MN"/>
        </w:rPr>
        <w:t>олон улсын байгууллагын дэмжлэгээр</w:t>
      </w:r>
      <w:r w:rsidRPr="0014655E">
        <w:rPr>
          <w:rFonts w:ascii="Arial" w:hAnsi="Arial" w:cs="Arial"/>
          <w:b/>
          <w:bCs/>
          <w:noProof/>
          <w:lang w:val="mn-MN"/>
        </w:rPr>
        <w:t xml:space="preserve"> </w:t>
      </w:r>
      <w:r w:rsidRPr="0014655E">
        <w:rPr>
          <w:rFonts w:ascii="Arial" w:hAnsi="Arial" w:cs="Arial"/>
          <w:noProof/>
          <w:lang w:val="mn-MN"/>
        </w:rPr>
        <w:t>үе шаттайгаар гаргах боломжтой.</w:t>
      </w:r>
    </w:p>
    <w:p w14:paraId="2CA14CF5" w14:textId="3504AE46" w:rsidR="00444FF6" w:rsidRPr="00742BFF" w:rsidRDefault="00E96868" w:rsidP="00700552">
      <w:pPr>
        <w:pStyle w:val="ListParagraph"/>
        <w:numPr>
          <w:ilvl w:val="0"/>
          <w:numId w:val="5"/>
        </w:numPr>
        <w:spacing w:after="0" w:line="240" w:lineRule="auto"/>
        <w:ind w:left="0" w:firstLine="567"/>
        <w:jc w:val="both"/>
        <w:rPr>
          <w:rFonts w:ascii="Arial" w:hAnsi="Arial" w:cs="Arial"/>
          <w:noProof/>
          <w:lang w:val="mn-MN"/>
        </w:rPr>
      </w:pPr>
      <w:r w:rsidRPr="00742BFF">
        <w:rPr>
          <w:rFonts w:ascii="Arial" w:hAnsi="Arial" w:cs="Arial"/>
          <w:noProof/>
          <w:lang w:val="mn-MN"/>
        </w:rPr>
        <w:t>Хууль хэрэгжсэнээр</w:t>
      </w:r>
      <w:r w:rsidRPr="00742BFF">
        <w:rPr>
          <w:rFonts w:ascii="Arial" w:hAnsi="Arial" w:cs="Arial"/>
          <w:b/>
          <w:bCs/>
          <w:noProof/>
          <w:lang w:val="mn-MN"/>
        </w:rPr>
        <w:t xml:space="preserve"> </w:t>
      </w:r>
      <w:r w:rsidRPr="00742BFF">
        <w:rPr>
          <w:rStyle w:val="Strong"/>
          <w:rFonts w:ascii="Arial" w:hAnsi="Arial" w:cs="Arial"/>
          <w:b w:val="0"/>
          <w:bCs w:val="0"/>
          <w:noProof/>
          <w:lang w:val="mn-MN"/>
        </w:rPr>
        <w:t>төрийн хяналт, мэдээллийн ил тод байдал, шатахуун болон стратегийн бүтээгдэхүүний хангамжийн тогтвортой байда</w:t>
      </w:r>
      <w:r w:rsidRPr="00742BFF">
        <w:rPr>
          <w:rStyle w:val="Strong"/>
          <w:rFonts w:ascii="Arial" w:hAnsi="Arial" w:cs="Arial"/>
          <w:noProof/>
          <w:lang w:val="mn-MN"/>
        </w:rPr>
        <w:t>л</w:t>
      </w:r>
      <w:r w:rsidRPr="00742BFF">
        <w:rPr>
          <w:rFonts w:ascii="Arial" w:hAnsi="Arial" w:cs="Arial"/>
          <w:noProof/>
          <w:lang w:val="mn-MN"/>
        </w:rPr>
        <w:t xml:space="preserve"> сайжирна.</w:t>
      </w:r>
    </w:p>
    <w:p w14:paraId="278241B6" w14:textId="2786887A" w:rsidR="008B33E8" w:rsidRPr="0014655E" w:rsidRDefault="008B33E8">
      <w:pPr>
        <w:spacing w:line="259" w:lineRule="auto"/>
        <w:rPr>
          <w:rFonts w:ascii="Arial" w:hAnsi="Arial" w:cs="Arial"/>
          <w:noProof/>
          <w:lang w:val="mn-MN"/>
        </w:rPr>
      </w:pPr>
      <w:r w:rsidRPr="0014655E">
        <w:rPr>
          <w:rFonts w:ascii="Arial" w:hAnsi="Arial" w:cs="Arial"/>
          <w:noProof/>
          <w:lang w:val="mn-MN"/>
        </w:rPr>
        <w:br w:type="page"/>
      </w:r>
    </w:p>
    <w:p w14:paraId="3168CDCD" w14:textId="0CA5708C" w:rsidR="000C091E" w:rsidRPr="0014655E" w:rsidRDefault="000C091E" w:rsidP="008B33E8">
      <w:pPr>
        <w:pStyle w:val="ListParagraph"/>
        <w:numPr>
          <w:ilvl w:val="0"/>
          <w:numId w:val="2"/>
        </w:numPr>
        <w:spacing w:after="0" w:line="240" w:lineRule="auto"/>
        <w:ind w:left="0" w:firstLine="720"/>
        <w:jc w:val="both"/>
        <w:rPr>
          <w:rFonts w:ascii="Arial" w:hAnsi="Arial" w:cs="Arial"/>
          <w:b/>
          <w:bCs/>
          <w:noProof/>
          <w:lang w:val="mn-MN"/>
        </w:rPr>
      </w:pPr>
      <w:r w:rsidRPr="0014655E">
        <w:rPr>
          <w:rFonts w:ascii="Arial" w:hAnsi="Arial" w:cs="Arial"/>
          <w:b/>
          <w:bCs/>
          <w:noProof/>
          <w:lang w:val="mn-MN"/>
        </w:rPr>
        <w:lastRenderedPageBreak/>
        <w:t>Хуулийн этгээдэд үүсэх зардал</w:t>
      </w:r>
    </w:p>
    <w:tbl>
      <w:tblPr>
        <w:tblStyle w:val="TableGrid"/>
        <w:tblpPr w:leftFromText="180" w:rightFromText="180" w:vertAnchor="text" w:tblpY="1"/>
        <w:tblOverlap w:val="never"/>
        <w:tblW w:w="0" w:type="auto"/>
        <w:tblLook w:val="04A0" w:firstRow="1" w:lastRow="0" w:firstColumn="1" w:lastColumn="0" w:noHBand="0" w:noVBand="1"/>
      </w:tblPr>
      <w:tblGrid>
        <w:gridCol w:w="439"/>
        <w:gridCol w:w="1908"/>
        <w:gridCol w:w="2211"/>
        <w:gridCol w:w="1622"/>
        <w:gridCol w:w="3164"/>
      </w:tblGrid>
      <w:tr w:rsidR="0014655E" w:rsidRPr="0014655E" w14:paraId="586ACB24" w14:textId="77777777" w:rsidTr="00C8768E">
        <w:tc>
          <w:tcPr>
            <w:tcW w:w="438" w:type="dxa"/>
            <w:vAlign w:val="center"/>
          </w:tcPr>
          <w:p w14:paraId="7ABA06D3" w14:textId="06A3EB46" w:rsidR="000C091E" w:rsidRPr="0014655E" w:rsidRDefault="000C091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w:t>
            </w:r>
          </w:p>
        </w:tc>
        <w:tc>
          <w:tcPr>
            <w:tcW w:w="2013" w:type="dxa"/>
            <w:vAlign w:val="center"/>
          </w:tcPr>
          <w:p w14:paraId="4DA4CFA0" w14:textId="59859CF1" w:rsidR="000C091E" w:rsidRPr="0014655E" w:rsidRDefault="000C091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Зардлын төрөл</w:t>
            </w:r>
          </w:p>
        </w:tc>
        <w:tc>
          <w:tcPr>
            <w:tcW w:w="2517" w:type="dxa"/>
            <w:vAlign w:val="center"/>
          </w:tcPr>
          <w:p w14:paraId="46BE1A72" w14:textId="75E2B273" w:rsidR="000C091E" w:rsidRPr="0014655E" w:rsidRDefault="000C091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Хаана, ямар аж ахуйн нэгжид</w:t>
            </w:r>
          </w:p>
        </w:tc>
        <w:tc>
          <w:tcPr>
            <w:tcW w:w="1710" w:type="dxa"/>
            <w:vAlign w:val="center"/>
          </w:tcPr>
          <w:p w14:paraId="231934A0" w14:textId="77777777" w:rsidR="008B33E8" w:rsidRPr="0014655E" w:rsidRDefault="000C091E" w:rsidP="008B33E8">
            <w:pPr>
              <w:pStyle w:val="ListParagraph"/>
              <w:spacing w:line="240" w:lineRule="auto"/>
              <w:ind w:left="0"/>
              <w:jc w:val="center"/>
              <w:rPr>
                <w:rFonts w:ascii="Arial" w:eastAsia="Times New Roman" w:hAnsi="Arial" w:cs="Arial"/>
                <w:b/>
                <w:bCs/>
                <w:noProof/>
                <w:kern w:val="0"/>
                <w:sz w:val="20"/>
                <w:szCs w:val="20"/>
                <w:lang w:val="mn-MN" w:eastAsia="zh-CN"/>
                <w14:ligatures w14:val="none"/>
              </w:rPr>
            </w:pPr>
            <w:r w:rsidRPr="0014655E">
              <w:rPr>
                <w:rFonts w:ascii="Arial" w:eastAsia="Times New Roman" w:hAnsi="Arial" w:cs="Arial"/>
                <w:b/>
                <w:bCs/>
                <w:noProof/>
                <w:kern w:val="0"/>
                <w:sz w:val="20"/>
                <w:szCs w:val="20"/>
                <w:lang w:val="mn-MN" w:eastAsia="zh-CN"/>
                <w14:ligatures w14:val="none"/>
              </w:rPr>
              <w:t>Урьдчилсан зардал</w:t>
            </w:r>
          </w:p>
          <w:p w14:paraId="060961C8" w14:textId="1904A5E9" w:rsidR="000C091E" w:rsidRPr="0014655E" w:rsidRDefault="000C091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(сая ₮)</w:t>
            </w:r>
          </w:p>
        </w:tc>
        <w:tc>
          <w:tcPr>
            <w:tcW w:w="3840" w:type="dxa"/>
            <w:vAlign w:val="center"/>
          </w:tcPr>
          <w:p w14:paraId="30F8EB62" w14:textId="284CCE7D" w:rsidR="000C091E" w:rsidRPr="0014655E" w:rsidRDefault="000C091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Юунд зориулагдах вэ / Үндэслэл</w:t>
            </w:r>
          </w:p>
        </w:tc>
      </w:tr>
      <w:tr w:rsidR="0014655E" w:rsidRPr="0014655E" w14:paraId="7D230EE2" w14:textId="77777777" w:rsidTr="00C8768E">
        <w:tc>
          <w:tcPr>
            <w:tcW w:w="438" w:type="dxa"/>
            <w:vAlign w:val="center"/>
          </w:tcPr>
          <w:p w14:paraId="14001B4B" w14:textId="745B3F98" w:rsidR="000C091E" w:rsidRPr="0014655E" w:rsidRDefault="00C8768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1</w:t>
            </w:r>
          </w:p>
        </w:tc>
        <w:tc>
          <w:tcPr>
            <w:tcW w:w="2013" w:type="dxa"/>
            <w:vAlign w:val="center"/>
          </w:tcPr>
          <w:p w14:paraId="6323BF58" w14:textId="41945996" w:rsidR="000C091E" w:rsidRPr="0014655E" w:rsidRDefault="000C091E"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Нөөц бүрдүүлэх хөрөнгө оруулалт</w:t>
            </w:r>
          </w:p>
        </w:tc>
        <w:tc>
          <w:tcPr>
            <w:tcW w:w="2517" w:type="dxa"/>
            <w:vAlign w:val="center"/>
          </w:tcPr>
          <w:p w14:paraId="6D708E86" w14:textId="733DA6A2"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Импортлогч, түгээгч, боловсруулах үйлдвэр, агуулах эзэмшигч ААН</w:t>
            </w:r>
          </w:p>
        </w:tc>
        <w:tc>
          <w:tcPr>
            <w:tcW w:w="1710" w:type="dxa"/>
            <w:vAlign w:val="center"/>
          </w:tcPr>
          <w:p w14:paraId="121898AD" w14:textId="14052825"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3840" w:type="dxa"/>
            <w:vAlign w:val="center"/>
          </w:tcPr>
          <w:p w14:paraId="54A5F133" w14:textId="54C65DB2"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Хуулийн дагуу 30–45 хоногийн шатахуун, түлшний нөөц бүрдүүлэхэд шаардагдах эргэлтийн хөрөнгийн өсөлт, агуулах, хадгалах хүчин чадлыг нэмэгдүүлэх хөрөнгө оруулалт.</w:t>
            </w:r>
          </w:p>
        </w:tc>
      </w:tr>
      <w:tr w:rsidR="0014655E" w:rsidRPr="0014655E" w14:paraId="4CC1A334" w14:textId="77777777" w:rsidTr="00C8768E">
        <w:tc>
          <w:tcPr>
            <w:tcW w:w="438" w:type="dxa"/>
            <w:vAlign w:val="center"/>
          </w:tcPr>
          <w:p w14:paraId="44FF00BE" w14:textId="6BA39F2E" w:rsidR="000C091E" w:rsidRPr="0014655E" w:rsidRDefault="00C8768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2</w:t>
            </w:r>
          </w:p>
        </w:tc>
        <w:tc>
          <w:tcPr>
            <w:tcW w:w="2013" w:type="dxa"/>
            <w:vAlign w:val="center"/>
          </w:tcPr>
          <w:p w14:paraId="05CC509E" w14:textId="59056AB3" w:rsidR="000C091E" w:rsidRPr="0014655E" w:rsidRDefault="000C091E"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Мэдээллийн системд холбогдох зардал</w:t>
            </w:r>
          </w:p>
        </w:tc>
        <w:tc>
          <w:tcPr>
            <w:tcW w:w="2517" w:type="dxa"/>
            <w:vAlign w:val="center"/>
          </w:tcPr>
          <w:p w14:paraId="0A3D7DD7" w14:textId="3FDB4A97"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Импортлогч, түгээгч, агуулах, хяналтын байгууллагад холбогдсон ААН</w:t>
            </w:r>
          </w:p>
        </w:tc>
        <w:tc>
          <w:tcPr>
            <w:tcW w:w="1710" w:type="dxa"/>
            <w:vAlign w:val="center"/>
          </w:tcPr>
          <w:p w14:paraId="74115CAC" w14:textId="24E1BE61"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3840" w:type="dxa"/>
            <w:vAlign w:val="center"/>
          </w:tcPr>
          <w:p w14:paraId="591D1BD5" w14:textId="79ED4AB8"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Төрийн мэдээллийн нэгдсэн платформд холбогдох, мэдээлэл илгээх, API суурилуулах, техникийн тохируулга хийх, цахим тайлагналын системд оролцох зардал.</w:t>
            </w:r>
          </w:p>
        </w:tc>
      </w:tr>
      <w:tr w:rsidR="0014655E" w:rsidRPr="0014655E" w14:paraId="3C79007A" w14:textId="77777777" w:rsidTr="00C8768E">
        <w:tc>
          <w:tcPr>
            <w:tcW w:w="438" w:type="dxa"/>
            <w:vAlign w:val="center"/>
          </w:tcPr>
          <w:p w14:paraId="3B9EE027" w14:textId="7F1E9660" w:rsidR="000C091E" w:rsidRPr="0014655E" w:rsidRDefault="00C8768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3</w:t>
            </w:r>
          </w:p>
        </w:tc>
        <w:tc>
          <w:tcPr>
            <w:tcW w:w="2013" w:type="dxa"/>
            <w:vAlign w:val="center"/>
          </w:tcPr>
          <w:p w14:paraId="5909FEF9" w14:textId="1F5880F6" w:rsidR="000C091E" w:rsidRPr="0014655E" w:rsidRDefault="000C091E"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Стандарт, чанар, аюулгүй ажиллагааны шинэчлэл</w:t>
            </w:r>
          </w:p>
        </w:tc>
        <w:tc>
          <w:tcPr>
            <w:tcW w:w="2517" w:type="dxa"/>
            <w:vAlign w:val="center"/>
          </w:tcPr>
          <w:p w14:paraId="6F87893F" w14:textId="21582A9F"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Шатахуун түгээх станц, агуулах, тээвэрлэгч ААН</w:t>
            </w:r>
          </w:p>
        </w:tc>
        <w:tc>
          <w:tcPr>
            <w:tcW w:w="1710" w:type="dxa"/>
            <w:vAlign w:val="center"/>
          </w:tcPr>
          <w:p w14:paraId="3DA91A37" w14:textId="035145CA"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3840" w:type="dxa"/>
            <w:vAlign w:val="center"/>
          </w:tcPr>
          <w:p w14:paraId="1B5F9237" w14:textId="002F88DC"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Олон улсын (EN, ISO, API) стандартуудыг нэвтрүүлэх, хэмжилтийн төхөөрөмж, насос, савны шинэчлэл, аюулгүйн системийн хөрөнгө оруулалт.</w:t>
            </w:r>
          </w:p>
        </w:tc>
      </w:tr>
      <w:tr w:rsidR="0014655E" w:rsidRPr="0014655E" w14:paraId="7629F104" w14:textId="77777777" w:rsidTr="00C8768E">
        <w:tc>
          <w:tcPr>
            <w:tcW w:w="438" w:type="dxa"/>
            <w:vAlign w:val="center"/>
          </w:tcPr>
          <w:p w14:paraId="09142084" w14:textId="537BEC04" w:rsidR="000C091E" w:rsidRPr="0014655E" w:rsidRDefault="00C8768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4</w:t>
            </w:r>
          </w:p>
        </w:tc>
        <w:tc>
          <w:tcPr>
            <w:tcW w:w="2013" w:type="dxa"/>
            <w:vAlign w:val="center"/>
          </w:tcPr>
          <w:p w14:paraId="64301369" w14:textId="3AA21592" w:rsidR="000C091E" w:rsidRPr="0014655E" w:rsidRDefault="000C091E"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Сургалт, аудит, тайлагналын зардал</w:t>
            </w:r>
          </w:p>
        </w:tc>
        <w:tc>
          <w:tcPr>
            <w:tcW w:w="2517" w:type="dxa"/>
            <w:vAlign w:val="center"/>
          </w:tcPr>
          <w:p w14:paraId="23658A79" w14:textId="77225DF9"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Томоохон импортлогч, жижиг түгээгчид</w:t>
            </w:r>
          </w:p>
        </w:tc>
        <w:tc>
          <w:tcPr>
            <w:tcW w:w="1710" w:type="dxa"/>
            <w:vAlign w:val="center"/>
          </w:tcPr>
          <w:p w14:paraId="097E09F2" w14:textId="5FEF12D9"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3840" w:type="dxa"/>
            <w:vAlign w:val="center"/>
          </w:tcPr>
          <w:p w14:paraId="43502F0D" w14:textId="415E49CB"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Хууль хэрэгжилтийн сургалт, тайлагнал, аудитын зардал, мэдээллийн ил тод байдлын шаардлагад нийцүүлэх дотоод хяналтын систем байгуулах.</w:t>
            </w:r>
          </w:p>
        </w:tc>
      </w:tr>
      <w:tr w:rsidR="0014655E" w:rsidRPr="0014655E" w14:paraId="2F9A64E1" w14:textId="77777777" w:rsidTr="00C8768E">
        <w:tc>
          <w:tcPr>
            <w:tcW w:w="438" w:type="dxa"/>
            <w:vAlign w:val="center"/>
          </w:tcPr>
          <w:p w14:paraId="42102ADA" w14:textId="541A3B21" w:rsidR="000C091E" w:rsidRPr="0014655E" w:rsidRDefault="00C8768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5</w:t>
            </w:r>
          </w:p>
        </w:tc>
        <w:tc>
          <w:tcPr>
            <w:tcW w:w="2013" w:type="dxa"/>
            <w:vAlign w:val="center"/>
          </w:tcPr>
          <w:p w14:paraId="0148C58A" w14:textId="5941BF7F" w:rsidR="000C091E" w:rsidRPr="0014655E" w:rsidRDefault="000C091E"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Санхүүжилтийн өртөг ба хүүгийн дарамт</w:t>
            </w:r>
          </w:p>
        </w:tc>
        <w:tc>
          <w:tcPr>
            <w:tcW w:w="2517" w:type="dxa"/>
            <w:vAlign w:val="center"/>
          </w:tcPr>
          <w:p w14:paraId="5FCEF887" w14:textId="4A5C414E"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Нөөцийн сан бүрдүүлэлтэд оролцогч бүх ААН</w:t>
            </w:r>
          </w:p>
        </w:tc>
        <w:tc>
          <w:tcPr>
            <w:tcW w:w="1710" w:type="dxa"/>
            <w:vAlign w:val="center"/>
          </w:tcPr>
          <w:p w14:paraId="22213221" w14:textId="71B2FF13"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3840" w:type="dxa"/>
            <w:vAlign w:val="center"/>
          </w:tcPr>
          <w:p w14:paraId="6E8CEE2F" w14:textId="143F0286"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Нөөц бүрдүүлэхэд зориулсан зээлийн хүүгийн зардал (жилийн 10–12% хүүтэй репо эсвэл баталгаат санхүүжилтийн шугам ашиглах нөхцөлд тооцсон).</w:t>
            </w:r>
          </w:p>
        </w:tc>
      </w:tr>
      <w:tr w:rsidR="0014655E" w:rsidRPr="0014655E" w14:paraId="611DDDA3" w14:textId="77777777" w:rsidTr="00C8768E">
        <w:tc>
          <w:tcPr>
            <w:tcW w:w="438" w:type="dxa"/>
            <w:vAlign w:val="center"/>
          </w:tcPr>
          <w:p w14:paraId="511CE37B" w14:textId="0D5B4D7D" w:rsidR="000C091E" w:rsidRPr="0014655E" w:rsidRDefault="00C8768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6</w:t>
            </w:r>
          </w:p>
        </w:tc>
        <w:tc>
          <w:tcPr>
            <w:tcW w:w="2013" w:type="dxa"/>
            <w:vAlign w:val="center"/>
          </w:tcPr>
          <w:p w14:paraId="5C4FB40F" w14:textId="50508A8C" w:rsidR="000C091E" w:rsidRPr="0014655E" w:rsidRDefault="000C091E"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Даатгал ба эрсдэлийн хамгаалалтын зардал</w:t>
            </w:r>
          </w:p>
        </w:tc>
        <w:tc>
          <w:tcPr>
            <w:tcW w:w="2517" w:type="dxa"/>
            <w:vAlign w:val="center"/>
          </w:tcPr>
          <w:p w14:paraId="78BB7D23" w14:textId="3CDFFBB8"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Импортлогч, агуулах, тээвэрлэгч ААН</w:t>
            </w:r>
          </w:p>
        </w:tc>
        <w:tc>
          <w:tcPr>
            <w:tcW w:w="1710" w:type="dxa"/>
            <w:vAlign w:val="center"/>
          </w:tcPr>
          <w:p w14:paraId="4BBC91D0" w14:textId="7AF0707D"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3840" w:type="dxa"/>
            <w:vAlign w:val="center"/>
          </w:tcPr>
          <w:p w14:paraId="1C32BA32" w14:textId="65CA1D17"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Хадгалалт, тээвэрлэлтийн явцад үүсэх алдагдал, онцгой нөхцөл (гал, осол, тасалдал)-ын эрсдэлийг даатгуулах, буфер системийн даатгалд хамрагдах.</w:t>
            </w:r>
          </w:p>
        </w:tc>
      </w:tr>
      <w:tr w:rsidR="0014655E" w:rsidRPr="0014655E" w14:paraId="0004D8DD" w14:textId="77777777" w:rsidTr="00C8768E">
        <w:tc>
          <w:tcPr>
            <w:tcW w:w="438" w:type="dxa"/>
          </w:tcPr>
          <w:p w14:paraId="51CCAF60" w14:textId="77777777"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2013" w:type="dxa"/>
            <w:vAlign w:val="center"/>
          </w:tcPr>
          <w:p w14:paraId="3470C4B3" w14:textId="77777777"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2517" w:type="dxa"/>
            <w:vAlign w:val="center"/>
          </w:tcPr>
          <w:p w14:paraId="6536E429" w14:textId="77777777" w:rsidR="000C091E" w:rsidRPr="0014655E" w:rsidRDefault="000C091E" w:rsidP="008B33E8">
            <w:pPr>
              <w:pStyle w:val="ListParagraph"/>
              <w:spacing w:line="240" w:lineRule="auto"/>
              <w:ind w:left="0"/>
              <w:jc w:val="both"/>
              <w:rPr>
                <w:rFonts w:ascii="Arial" w:hAnsi="Arial" w:cs="Arial"/>
                <w:b/>
                <w:bCs/>
                <w:noProof/>
                <w:sz w:val="20"/>
                <w:szCs w:val="20"/>
                <w:lang w:val="mn-MN"/>
              </w:rPr>
            </w:pPr>
          </w:p>
        </w:tc>
        <w:tc>
          <w:tcPr>
            <w:tcW w:w="1710" w:type="dxa"/>
            <w:vAlign w:val="center"/>
          </w:tcPr>
          <w:p w14:paraId="05DBF0A2" w14:textId="1D182015" w:rsidR="000C091E" w:rsidRPr="0014655E" w:rsidRDefault="00C8768E"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 xml:space="preserve">Нийт </w:t>
            </w:r>
            <w:r w:rsidR="002B40DB" w:rsidRPr="0014655E">
              <w:rPr>
                <w:rFonts w:ascii="Arial" w:hAnsi="Arial" w:cs="Arial"/>
                <w:noProof/>
                <w:sz w:val="20"/>
                <w:szCs w:val="20"/>
                <w:lang w:val="mn-MN"/>
              </w:rPr>
              <w:t>0</w:t>
            </w:r>
            <w:r w:rsidRPr="0014655E">
              <w:rPr>
                <w:rFonts w:ascii="Arial" w:hAnsi="Arial" w:cs="Arial"/>
                <w:noProof/>
                <w:sz w:val="20"/>
                <w:szCs w:val="20"/>
                <w:lang w:val="mn-MN"/>
              </w:rPr>
              <w:t xml:space="preserve"> төгрөг (урьдчилсан байдлаар)</w:t>
            </w:r>
          </w:p>
        </w:tc>
        <w:tc>
          <w:tcPr>
            <w:tcW w:w="3840" w:type="dxa"/>
            <w:vAlign w:val="center"/>
          </w:tcPr>
          <w:p w14:paraId="61AB345E" w14:textId="0FECB408" w:rsidR="000C091E" w:rsidRPr="0014655E" w:rsidRDefault="000C091E"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2025–20</w:t>
            </w:r>
            <w:r w:rsidR="009D766D" w:rsidRPr="0014655E">
              <w:rPr>
                <w:rFonts w:ascii="Arial" w:eastAsia="Times New Roman" w:hAnsi="Arial" w:cs="Arial"/>
                <w:noProof/>
                <w:kern w:val="0"/>
                <w:sz w:val="20"/>
                <w:szCs w:val="20"/>
                <w:lang w:val="mn-MN" w:eastAsia="zh-CN"/>
                <w14:ligatures w14:val="none"/>
              </w:rPr>
              <w:t>30</w:t>
            </w:r>
            <w:r w:rsidRPr="0014655E">
              <w:rPr>
                <w:rFonts w:ascii="Arial" w:eastAsia="Times New Roman" w:hAnsi="Arial" w:cs="Arial"/>
                <w:noProof/>
                <w:kern w:val="0"/>
                <w:sz w:val="20"/>
                <w:szCs w:val="20"/>
                <w:lang w:val="mn-MN" w:eastAsia="zh-CN"/>
                <w14:ligatures w14:val="none"/>
              </w:rPr>
              <w:t xml:space="preserve"> онд үе шаттайгаар хэрэгжүүлэх дундаж зардлын тооцоо.</w:t>
            </w:r>
          </w:p>
        </w:tc>
      </w:tr>
    </w:tbl>
    <w:p w14:paraId="0D8BA123" w14:textId="77777777" w:rsidR="000C091E" w:rsidRPr="0014655E" w:rsidRDefault="000C091E" w:rsidP="008B33E8">
      <w:pPr>
        <w:spacing w:after="0" w:line="240" w:lineRule="auto"/>
        <w:ind w:firstLine="720"/>
        <w:jc w:val="both"/>
        <w:rPr>
          <w:rFonts w:ascii="Arial" w:hAnsi="Arial" w:cs="Arial"/>
          <w:noProof/>
          <w:lang w:val="mn-MN"/>
        </w:rPr>
      </w:pPr>
    </w:p>
    <w:p w14:paraId="2C7AC49C" w14:textId="2A72A14C" w:rsidR="000C091E" w:rsidRPr="0014655E" w:rsidRDefault="000C091E" w:rsidP="008B33E8">
      <w:pPr>
        <w:spacing w:after="0" w:line="240" w:lineRule="auto"/>
        <w:ind w:firstLine="720"/>
        <w:jc w:val="both"/>
        <w:rPr>
          <w:rFonts w:ascii="Arial" w:hAnsi="Arial" w:cs="Arial"/>
          <w:noProof/>
          <w:lang w:val="mn-MN"/>
        </w:rPr>
      </w:pPr>
      <w:r w:rsidRPr="0014655E">
        <w:rPr>
          <w:rFonts w:ascii="Arial" w:hAnsi="Arial" w:cs="Arial"/>
          <w:noProof/>
          <w:lang w:val="mn-MN"/>
        </w:rPr>
        <w:t>Тайлбар: Энэхүү хуулийн хэрэгжилтийн явцад аж ахуйн нэгжүүдэд үүсэх зардал нь үндсэндээ хөрөнгө оруулалтын шинжтэй бөгөөд урт хугацаанд дараах эерэг үр дүнг бий болгоно:</w:t>
      </w:r>
    </w:p>
    <w:p w14:paraId="1FD2CDBC" w14:textId="0C19ED1E" w:rsidR="000C091E" w:rsidRPr="0014655E" w:rsidRDefault="000C091E" w:rsidP="008B33E8">
      <w:pPr>
        <w:pStyle w:val="ListParagraph"/>
        <w:numPr>
          <w:ilvl w:val="0"/>
          <w:numId w:val="6"/>
        </w:numPr>
        <w:spacing w:after="0" w:line="240" w:lineRule="auto"/>
        <w:ind w:left="0" w:firstLine="720"/>
        <w:jc w:val="both"/>
        <w:rPr>
          <w:rFonts w:ascii="Arial" w:hAnsi="Arial" w:cs="Arial"/>
          <w:noProof/>
          <w:lang w:val="mn-MN"/>
        </w:rPr>
      </w:pPr>
      <w:r w:rsidRPr="0014655E">
        <w:rPr>
          <w:rFonts w:ascii="Arial" w:hAnsi="Arial" w:cs="Arial"/>
          <w:noProof/>
          <w:lang w:val="mn-MN"/>
        </w:rPr>
        <w:t>Хангамжийн тогтвортой байдал нэмэгдэнэ</w:t>
      </w:r>
      <w:r w:rsidR="00073583" w:rsidRPr="0014655E">
        <w:rPr>
          <w:rFonts w:ascii="Arial" w:hAnsi="Arial" w:cs="Arial"/>
          <w:noProof/>
          <w:lang w:val="mn-MN"/>
        </w:rPr>
        <w:t>.</w:t>
      </w:r>
    </w:p>
    <w:p w14:paraId="673A7676" w14:textId="48E17387" w:rsidR="0043073A" w:rsidRPr="0014655E" w:rsidRDefault="000C091E" w:rsidP="008B33E8">
      <w:pPr>
        <w:pStyle w:val="ListParagraph"/>
        <w:numPr>
          <w:ilvl w:val="0"/>
          <w:numId w:val="6"/>
        </w:numPr>
        <w:spacing w:after="0" w:line="240" w:lineRule="auto"/>
        <w:ind w:left="0" w:firstLine="720"/>
        <w:jc w:val="both"/>
        <w:rPr>
          <w:rFonts w:ascii="Arial" w:hAnsi="Arial" w:cs="Arial"/>
          <w:noProof/>
          <w:lang w:val="mn-MN"/>
        </w:rPr>
      </w:pPr>
      <w:r w:rsidRPr="0014655E">
        <w:rPr>
          <w:rFonts w:ascii="Arial" w:hAnsi="Arial" w:cs="Arial"/>
          <w:noProof/>
          <w:lang w:val="mn-MN"/>
        </w:rPr>
        <w:t>Аюулгүй ажиллагаа, чанарын стандарт сайжирна</w:t>
      </w:r>
      <w:r w:rsidR="00073583" w:rsidRPr="0014655E">
        <w:rPr>
          <w:rFonts w:ascii="Arial" w:hAnsi="Arial" w:cs="Arial"/>
          <w:noProof/>
          <w:lang w:val="mn-MN"/>
        </w:rPr>
        <w:t>.</w:t>
      </w:r>
    </w:p>
    <w:p w14:paraId="5320EE74" w14:textId="195E11E6" w:rsidR="00073583" w:rsidRDefault="000C091E" w:rsidP="008B33E8">
      <w:pPr>
        <w:pStyle w:val="ListParagraph"/>
        <w:numPr>
          <w:ilvl w:val="0"/>
          <w:numId w:val="6"/>
        </w:numPr>
        <w:spacing w:after="0" w:line="240" w:lineRule="auto"/>
        <w:ind w:left="0" w:firstLine="720"/>
        <w:jc w:val="both"/>
        <w:rPr>
          <w:rFonts w:ascii="Arial" w:hAnsi="Arial" w:cs="Arial"/>
          <w:noProof/>
          <w:lang w:val="mn-MN"/>
        </w:rPr>
      </w:pPr>
      <w:r w:rsidRPr="0014655E">
        <w:rPr>
          <w:rFonts w:ascii="Arial" w:hAnsi="Arial" w:cs="Arial"/>
          <w:noProof/>
          <w:lang w:val="mn-MN"/>
        </w:rPr>
        <w:t>Санхүүгийн сахилга, тайлагналын ил тод байдал нэмэгдэнэ</w:t>
      </w:r>
      <w:r w:rsidR="00073583" w:rsidRPr="0014655E">
        <w:rPr>
          <w:rFonts w:ascii="Arial" w:hAnsi="Arial" w:cs="Arial"/>
          <w:noProof/>
          <w:lang w:val="mn-MN"/>
        </w:rPr>
        <w:t>.</w:t>
      </w:r>
    </w:p>
    <w:p w14:paraId="617D1E1F" w14:textId="77777777" w:rsidR="002576B3" w:rsidRDefault="002576B3" w:rsidP="002576B3">
      <w:pPr>
        <w:spacing w:after="0" w:line="240" w:lineRule="auto"/>
        <w:jc w:val="both"/>
        <w:rPr>
          <w:rFonts w:ascii="Arial" w:hAnsi="Arial" w:cs="Arial"/>
          <w:noProof/>
          <w:lang w:val="mn-MN"/>
        </w:rPr>
      </w:pPr>
    </w:p>
    <w:p w14:paraId="6831F048" w14:textId="77777777" w:rsidR="002576B3" w:rsidRDefault="002576B3" w:rsidP="002576B3">
      <w:pPr>
        <w:spacing w:after="0" w:line="240" w:lineRule="auto"/>
        <w:jc w:val="both"/>
        <w:rPr>
          <w:rFonts w:ascii="Arial" w:hAnsi="Arial" w:cs="Arial"/>
          <w:noProof/>
          <w:lang w:val="mn-MN"/>
        </w:rPr>
      </w:pPr>
    </w:p>
    <w:p w14:paraId="3499D5B4" w14:textId="503B780A" w:rsidR="002576B3" w:rsidRDefault="002576B3">
      <w:pPr>
        <w:spacing w:line="259" w:lineRule="auto"/>
        <w:rPr>
          <w:rFonts w:ascii="Arial" w:hAnsi="Arial" w:cs="Arial"/>
          <w:noProof/>
          <w:lang w:val="mn-MN"/>
        </w:rPr>
      </w:pPr>
      <w:r>
        <w:rPr>
          <w:rFonts w:ascii="Arial" w:hAnsi="Arial" w:cs="Arial"/>
          <w:noProof/>
          <w:lang w:val="mn-MN"/>
        </w:rPr>
        <w:br w:type="page"/>
      </w:r>
    </w:p>
    <w:p w14:paraId="0E09FEAF" w14:textId="15AB3972" w:rsidR="00C8768E" w:rsidRPr="0014655E" w:rsidRDefault="00C8768E" w:rsidP="008B33E8">
      <w:pPr>
        <w:pStyle w:val="ListParagraph"/>
        <w:numPr>
          <w:ilvl w:val="0"/>
          <w:numId w:val="2"/>
        </w:numPr>
        <w:spacing w:after="0" w:line="240" w:lineRule="auto"/>
        <w:ind w:left="0" w:firstLine="720"/>
        <w:jc w:val="both"/>
        <w:rPr>
          <w:rFonts w:ascii="Arial" w:hAnsi="Arial" w:cs="Arial"/>
          <w:b/>
          <w:bCs/>
          <w:noProof/>
          <w:lang w:val="mn-MN"/>
        </w:rPr>
      </w:pPr>
      <w:r w:rsidRPr="0014655E">
        <w:rPr>
          <w:rFonts w:ascii="Arial" w:hAnsi="Arial" w:cs="Arial"/>
          <w:b/>
          <w:bCs/>
          <w:noProof/>
          <w:lang w:val="mn-MN"/>
        </w:rPr>
        <w:lastRenderedPageBreak/>
        <w:t>Иргэнд үүсэх зардал:</w:t>
      </w:r>
    </w:p>
    <w:p w14:paraId="456722FB" w14:textId="77777777" w:rsidR="008B33E8" w:rsidRPr="0014655E" w:rsidRDefault="008B33E8" w:rsidP="008B33E8">
      <w:pPr>
        <w:pStyle w:val="ListParagraph"/>
        <w:spacing w:after="0" w:line="240" w:lineRule="auto"/>
        <w:jc w:val="both"/>
        <w:rPr>
          <w:rFonts w:ascii="Arial" w:hAnsi="Arial" w:cs="Arial"/>
          <w:b/>
          <w:bCs/>
          <w:noProof/>
          <w:lang w:val="mn-MN"/>
        </w:rPr>
      </w:pPr>
    </w:p>
    <w:tbl>
      <w:tblPr>
        <w:tblStyle w:val="TableGrid"/>
        <w:tblpPr w:leftFromText="180" w:rightFromText="180" w:vertAnchor="text" w:tblpY="1"/>
        <w:tblOverlap w:val="never"/>
        <w:tblW w:w="0" w:type="auto"/>
        <w:tblLook w:val="04A0" w:firstRow="1" w:lastRow="0" w:firstColumn="1" w:lastColumn="0" w:noHBand="0" w:noVBand="1"/>
      </w:tblPr>
      <w:tblGrid>
        <w:gridCol w:w="440"/>
        <w:gridCol w:w="2132"/>
        <w:gridCol w:w="1936"/>
        <w:gridCol w:w="2359"/>
        <w:gridCol w:w="2477"/>
      </w:tblGrid>
      <w:tr w:rsidR="0014655E" w:rsidRPr="0014655E" w14:paraId="5FBF05DF" w14:textId="77777777" w:rsidTr="0043073A">
        <w:tc>
          <w:tcPr>
            <w:tcW w:w="438" w:type="dxa"/>
            <w:vAlign w:val="center"/>
          </w:tcPr>
          <w:p w14:paraId="06644312" w14:textId="77777777" w:rsidR="00C8768E" w:rsidRPr="0014655E" w:rsidRDefault="00C8768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w:t>
            </w:r>
          </w:p>
        </w:tc>
        <w:tc>
          <w:tcPr>
            <w:tcW w:w="2370" w:type="dxa"/>
            <w:vAlign w:val="center"/>
          </w:tcPr>
          <w:p w14:paraId="4F6DB7EB" w14:textId="77777777" w:rsidR="00C8768E" w:rsidRPr="0014655E" w:rsidRDefault="00C8768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Зардлын төрөл</w:t>
            </w:r>
          </w:p>
        </w:tc>
        <w:tc>
          <w:tcPr>
            <w:tcW w:w="2160" w:type="dxa"/>
            <w:vAlign w:val="center"/>
          </w:tcPr>
          <w:p w14:paraId="3F359CEB" w14:textId="77777777" w:rsidR="00C8768E" w:rsidRPr="0014655E" w:rsidRDefault="00C8768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Хаана, ямар аж ахуйн нэгжид</w:t>
            </w:r>
          </w:p>
        </w:tc>
        <w:tc>
          <w:tcPr>
            <w:tcW w:w="2700" w:type="dxa"/>
            <w:vAlign w:val="center"/>
          </w:tcPr>
          <w:p w14:paraId="06D1C874" w14:textId="77777777" w:rsidR="00C8768E" w:rsidRPr="0014655E" w:rsidRDefault="00C8768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Урьдчилсан зардал (сая ₮)</w:t>
            </w:r>
          </w:p>
        </w:tc>
        <w:tc>
          <w:tcPr>
            <w:tcW w:w="2850" w:type="dxa"/>
            <w:vAlign w:val="center"/>
          </w:tcPr>
          <w:p w14:paraId="3903BEE4" w14:textId="77777777" w:rsidR="00C8768E" w:rsidRPr="0014655E" w:rsidRDefault="00C8768E" w:rsidP="008B33E8">
            <w:pPr>
              <w:pStyle w:val="ListParagraph"/>
              <w:spacing w:line="240" w:lineRule="auto"/>
              <w:ind w:left="0"/>
              <w:jc w:val="center"/>
              <w:rPr>
                <w:rFonts w:ascii="Arial" w:hAnsi="Arial" w:cs="Arial"/>
                <w:b/>
                <w:bCs/>
                <w:noProof/>
                <w:sz w:val="20"/>
                <w:szCs w:val="20"/>
                <w:lang w:val="mn-MN"/>
              </w:rPr>
            </w:pPr>
            <w:r w:rsidRPr="0014655E">
              <w:rPr>
                <w:rFonts w:ascii="Arial" w:eastAsia="Times New Roman" w:hAnsi="Arial" w:cs="Arial"/>
                <w:b/>
                <w:bCs/>
                <w:noProof/>
                <w:kern w:val="0"/>
                <w:sz w:val="20"/>
                <w:szCs w:val="20"/>
                <w:lang w:val="mn-MN" w:eastAsia="zh-CN"/>
                <w14:ligatures w14:val="none"/>
              </w:rPr>
              <w:t>Юунд зориулагдах вэ / Үндэслэл</w:t>
            </w:r>
          </w:p>
        </w:tc>
      </w:tr>
      <w:tr w:rsidR="0014655E" w:rsidRPr="0014655E" w14:paraId="47CFD8EE" w14:textId="77777777" w:rsidTr="0043073A">
        <w:tc>
          <w:tcPr>
            <w:tcW w:w="438" w:type="dxa"/>
            <w:vAlign w:val="center"/>
          </w:tcPr>
          <w:p w14:paraId="3E511C12" w14:textId="77777777"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1</w:t>
            </w:r>
          </w:p>
        </w:tc>
        <w:tc>
          <w:tcPr>
            <w:tcW w:w="2370" w:type="dxa"/>
            <w:vAlign w:val="center"/>
          </w:tcPr>
          <w:p w14:paraId="48AEB322" w14:textId="0466A7D7"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Шатахууны богино хугацааны үнийн өсөлт</w:t>
            </w:r>
          </w:p>
        </w:tc>
        <w:tc>
          <w:tcPr>
            <w:tcW w:w="2160" w:type="dxa"/>
            <w:vAlign w:val="center"/>
          </w:tcPr>
          <w:p w14:paraId="711AFBF6" w14:textId="71418BCA"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Ерөнхий хэрэглэгчид</w:t>
            </w:r>
          </w:p>
        </w:tc>
        <w:tc>
          <w:tcPr>
            <w:tcW w:w="2700" w:type="dxa"/>
            <w:vAlign w:val="center"/>
          </w:tcPr>
          <w:p w14:paraId="3340F9B0" w14:textId="4671D4A8" w:rsidR="0043073A" w:rsidRPr="0014655E" w:rsidRDefault="009D766D"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0</w:t>
            </w:r>
            <w:r w:rsidR="0043073A" w:rsidRPr="0014655E">
              <w:rPr>
                <w:rFonts w:ascii="Arial" w:eastAsia="Times New Roman" w:hAnsi="Arial" w:cs="Arial"/>
                <w:noProof/>
                <w:kern w:val="0"/>
                <w:sz w:val="20"/>
                <w:szCs w:val="20"/>
                <w:lang w:val="mn-MN" w:eastAsia="zh-CN"/>
                <w14:ligatures w14:val="none"/>
              </w:rPr>
              <w:t>% өсөлт (түр хугацаанд)</w:t>
            </w:r>
          </w:p>
        </w:tc>
        <w:tc>
          <w:tcPr>
            <w:tcW w:w="2850" w:type="dxa"/>
            <w:vAlign w:val="center"/>
          </w:tcPr>
          <w:p w14:paraId="5EB7AF60" w14:textId="690F38C1"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Нөөц бүрдүүлэх үед өртөг өсөх боловч дунд хугацаанд тогтворжино.</w:t>
            </w:r>
          </w:p>
        </w:tc>
      </w:tr>
      <w:tr w:rsidR="0014655E" w:rsidRPr="0014655E" w14:paraId="68F413DB" w14:textId="77777777" w:rsidTr="0043073A">
        <w:tc>
          <w:tcPr>
            <w:tcW w:w="438" w:type="dxa"/>
            <w:vAlign w:val="center"/>
          </w:tcPr>
          <w:p w14:paraId="0BC20140" w14:textId="77777777"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2</w:t>
            </w:r>
          </w:p>
        </w:tc>
        <w:tc>
          <w:tcPr>
            <w:tcW w:w="2370" w:type="dxa"/>
            <w:vAlign w:val="center"/>
          </w:tcPr>
          <w:p w14:paraId="2CB69F1C" w14:textId="08013722"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Хэрэглээний үнийн түвшний өөрчлөлт</w:t>
            </w:r>
          </w:p>
        </w:tc>
        <w:tc>
          <w:tcPr>
            <w:tcW w:w="2160" w:type="dxa"/>
            <w:vAlign w:val="center"/>
          </w:tcPr>
          <w:p w14:paraId="7502CB1D" w14:textId="31ACBFDC"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Өрх, автомашин эзэмшигчид</w:t>
            </w:r>
          </w:p>
        </w:tc>
        <w:tc>
          <w:tcPr>
            <w:tcW w:w="2700" w:type="dxa"/>
            <w:vAlign w:val="center"/>
          </w:tcPr>
          <w:p w14:paraId="0736FE7E" w14:textId="79971A15" w:rsidR="0043073A" w:rsidRPr="0014655E" w:rsidRDefault="009D766D"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0</w:t>
            </w:r>
            <w:r w:rsidR="0043073A" w:rsidRPr="0014655E">
              <w:rPr>
                <w:rFonts w:ascii="Arial" w:eastAsia="Times New Roman" w:hAnsi="Arial" w:cs="Arial"/>
                <w:noProof/>
                <w:kern w:val="0"/>
                <w:sz w:val="20"/>
                <w:szCs w:val="20"/>
                <w:lang w:val="mn-MN" w:eastAsia="zh-CN"/>
                <w14:ligatures w14:val="none"/>
              </w:rPr>
              <w:t>%</w:t>
            </w:r>
          </w:p>
        </w:tc>
        <w:tc>
          <w:tcPr>
            <w:tcW w:w="2850" w:type="dxa"/>
            <w:vAlign w:val="center"/>
          </w:tcPr>
          <w:p w14:paraId="63CDCB10" w14:textId="51DEB57F"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Шатахууны үнийн хэлбэлзэл богино хугацаанд нөлөөлнө.</w:t>
            </w:r>
          </w:p>
        </w:tc>
      </w:tr>
      <w:tr w:rsidR="0014655E" w:rsidRPr="0014655E" w14:paraId="1B420245" w14:textId="77777777" w:rsidTr="0043073A">
        <w:tc>
          <w:tcPr>
            <w:tcW w:w="438" w:type="dxa"/>
            <w:vAlign w:val="center"/>
          </w:tcPr>
          <w:p w14:paraId="76AA99BD" w14:textId="77777777"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3</w:t>
            </w:r>
          </w:p>
        </w:tc>
        <w:tc>
          <w:tcPr>
            <w:tcW w:w="2370" w:type="dxa"/>
            <w:vAlign w:val="center"/>
          </w:tcPr>
          <w:p w14:paraId="09D8D80E" w14:textId="67E59AE2"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Тээврийн үйлчилгээний зардал</w:t>
            </w:r>
          </w:p>
        </w:tc>
        <w:tc>
          <w:tcPr>
            <w:tcW w:w="2160" w:type="dxa"/>
            <w:vAlign w:val="center"/>
          </w:tcPr>
          <w:p w14:paraId="5EE5563E" w14:textId="6E73B075"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Зорчигч, хэрэглэгч</w:t>
            </w:r>
          </w:p>
        </w:tc>
        <w:tc>
          <w:tcPr>
            <w:tcW w:w="2700" w:type="dxa"/>
            <w:vAlign w:val="center"/>
          </w:tcPr>
          <w:p w14:paraId="1F2A7B77" w14:textId="6773C580" w:rsidR="0043073A" w:rsidRPr="0014655E" w:rsidRDefault="009D766D"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0</w:t>
            </w:r>
            <w:r w:rsidR="0043073A" w:rsidRPr="0014655E">
              <w:rPr>
                <w:rFonts w:ascii="Arial" w:eastAsia="Times New Roman" w:hAnsi="Arial" w:cs="Arial"/>
                <w:noProof/>
                <w:kern w:val="0"/>
                <w:sz w:val="20"/>
                <w:szCs w:val="20"/>
                <w:lang w:val="mn-MN" w:eastAsia="zh-CN"/>
                <w14:ligatures w14:val="none"/>
              </w:rPr>
              <w:t>% өсөх</w:t>
            </w:r>
          </w:p>
        </w:tc>
        <w:tc>
          <w:tcPr>
            <w:tcW w:w="2850" w:type="dxa"/>
            <w:vAlign w:val="center"/>
          </w:tcPr>
          <w:p w14:paraId="3BCF5022" w14:textId="6CD8E4A8"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Түлшний өртөгтэй уялдан богино хугацаанд өсөх боломжтой.</w:t>
            </w:r>
          </w:p>
        </w:tc>
      </w:tr>
      <w:tr w:rsidR="0014655E" w:rsidRPr="0014655E" w14:paraId="0FDD3914" w14:textId="77777777" w:rsidTr="0043073A">
        <w:tc>
          <w:tcPr>
            <w:tcW w:w="438" w:type="dxa"/>
            <w:vAlign w:val="center"/>
          </w:tcPr>
          <w:p w14:paraId="4E5DC358" w14:textId="77777777"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4</w:t>
            </w:r>
          </w:p>
        </w:tc>
        <w:tc>
          <w:tcPr>
            <w:tcW w:w="2370" w:type="dxa"/>
            <w:vAlign w:val="center"/>
          </w:tcPr>
          <w:p w14:paraId="7E1BDC3C" w14:textId="57C8F6D1"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Ил тод мэдээллийн хүртээмж</w:t>
            </w:r>
          </w:p>
        </w:tc>
        <w:tc>
          <w:tcPr>
            <w:tcW w:w="2160" w:type="dxa"/>
            <w:vAlign w:val="center"/>
          </w:tcPr>
          <w:p w14:paraId="0DDCDEC3" w14:textId="53B19E72"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Бүх иргэн</w:t>
            </w:r>
          </w:p>
        </w:tc>
        <w:tc>
          <w:tcPr>
            <w:tcW w:w="2700" w:type="dxa"/>
            <w:vAlign w:val="center"/>
          </w:tcPr>
          <w:p w14:paraId="6D5AA725" w14:textId="6018522E"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0 ₮ (ашигтай нөлөө)</w:t>
            </w:r>
          </w:p>
        </w:tc>
        <w:tc>
          <w:tcPr>
            <w:tcW w:w="2850" w:type="dxa"/>
            <w:vAlign w:val="center"/>
          </w:tcPr>
          <w:p w14:paraId="49CB1B25" w14:textId="20159597"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Үнийн, нөөцийн мэдээлэл ил тод болно.</w:t>
            </w:r>
          </w:p>
        </w:tc>
      </w:tr>
      <w:tr w:rsidR="0014655E" w:rsidRPr="0014655E" w14:paraId="417FAD2A" w14:textId="77777777" w:rsidTr="0043073A">
        <w:tc>
          <w:tcPr>
            <w:tcW w:w="438" w:type="dxa"/>
            <w:vAlign w:val="center"/>
          </w:tcPr>
          <w:p w14:paraId="34E3778D" w14:textId="77777777"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5</w:t>
            </w:r>
          </w:p>
        </w:tc>
        <w:tc>
          <w:tcPr>
            <w:tcW w:w="2370" w:type="dxa"/>
            <w:vAlign w:val="center"/>
          </w:tcPr>
          <w:p w14:paraId="156E3A69" w14:textId="77188464"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Нийгмийн хамгааллын дэмжлэг</w:t>
            </w:r>
          </w:p>
        </w:tc>
        <w:tc>
          <w:tcPr>
            <w:tcW w:w="2160" w:type="dxa"/>
            <w:vAlign w:val="center"/>
          </w:tcPr>
          <w:p w14:paraId="40C38DFC" w14:textId="029BD58F"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Эмзэг бүлэг</w:t>
            </w:r>
          </w:p>
        </w:tc>
        <w:tc>
          <w:tcPr>
            <w:tcW w:w="2700" w:type="dxa"/>
            <w:vAlign w:val="center"/>
          </w:tcPr>
          <w:p w14:paraId="292ACD19" w14:textId="2F5C91B6"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0 ₮</w:t>
            </w:r>
          </w:p>
        </w:tc>
        <w:tc>
          <w:tcPr>
            <w:tcW w:w="2850" w:type="dxa"/>
            <w:vAlign w:val="center"/>
          </w:tcPr>
          <w:p w14:paraId="6A0AF5AC" w14:textId="0D4EC6E5"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“Буфер дэмжлэгийн сан”-гаар үнийн хамгаалалт үзүүлнэ.</w:t>
            </w:r>
          </w:p>
        </w:tc>
      </w:tr>
      <w:tr w:rsidR="0014655E" w:rsidRPr="0014655E" w14:paraId="2F4AD1C2" w14:textId="77777777" w:rsidTr="0043073A">
        <w:tc>
          <w:tcPr>
            <w:tcW w:w="438" w:type="dxa"/>
            <w:vAlign w:val="center"/>
          </w:tcPr>
          <w:p w14:paraId="5A22EA64" w14:textId="77777777"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hAnsi="Arial" w:cs="Arial"/>
                <w:noProof/>
                <w:sz w:val="20"/>
                <w:szCs w:val="20"/>
                <w:lang w:val="mn-MN"/>
              </w:rPr>
              <w:t>6</w:t>
            </w:r>
          </w:p>
        </w:tc>
        <w:tc>
          <w:tcPr>
            <w:tcW w:w="2370" w:type="dxa"/>
            <w:vAlign w:val="center"/>
          </w:tcPr>
          <w:p w14:paraId="0886D8C5" w14:textId="2230E628"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Ажлын байр, орлого</w:t>
            </w:r>
          </w:p>
        </w:tc>
        <w:tc>
          <w:tcPr>
            <w:tcW w:w="2160" w:type="dxa"/>
            <w:vAlign w:val="center"/>
          </w:tcPr>
          <w:p w14:paraId="3836BA42" w14:textId="48FA5164"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Нийт иргэд</w:t>
            </w:r>
          </w:p>
        </w:tc>
        <w:tc>
          <w:tcPr>
            <w:tcW w:w="2700" w:type="dxa"/>
            <w:vAlign w:val="center"/>
          </w:tcPr>
          <w:p w14:paraId="269454C3" w14:textId="46114065"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Ашигтай (+)</w:t>
            </w:r>
          </w:p>
        </w:tc>
        <w:tc>
          <w:tcPr>
            <w:tcW w:w="2850" w:type="dxa"/>
            <w:vAlign w:val="center"/>
          </w:tcPr>
          <w:p w14:paraId="23848E10" w14:textId="1EE03F15"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Нөөц, хяналт, дэд бүтцийн төслүүдээр шинэ ажлын байр бий болно.</w:t>
            </w:r>
          </w:p>
        </w:tc>
      </w:tr>
      <w:tr w:rsidR="0014655E" w:rsidRPr="0014655E" w14:paraId="2B486D65" w14:textId="77777777" w:rsidTr="0043073A">
        <w:tc>
          <w:tcPr>
            <w:tcW w:w="438" w:type="dxa"/>
          </w:tcPr>
          <w:p w14:paraId="645DC010" w14:textId="77777777" w:rsidR="0043073A" w:rsidRPr="0014655E" w:rsidRDefault="0043073A" w:rsidP="008B33E8">
            <w:pPr>
              <w:pStyle w:val="ListParagraph"/>
              <w:spacing w:line="240" w:lineRule="auto"/>
              <w:ind w:left="0"/>
              <w:jc w:val="both"/>
              <w:rPr>
                <w:rFonts w:ascii="Arial" w:hAnsi="Arial" w:cs="Arial"/>
                <w:b/>
                <w:bCs/>
                <w:noProof/>
                <w:sz w:val="20"/>
                <w:szCs w:val="20"/>
                <w:lang w:val="mn-MN"/>
              </w:rPr>
            </w:pPr>
          </w:p>
        </w:tc>
        <w:tc>
          <w:tcPr>
            <w:tcW w:w="2370" w:type="dxa"/>
            <w:vAlign w:val="center"/>
          </w:tcPr>
          <w:p w14:paraId="7B9E15AD" w14:textId="77777777" w:rsidR="0043073A" w:rsidRPr="0014655E" w:rsidRDefault="0043073A" w:rsidP="008B33E8">
            <w:pPr>
              <w:pStyle w:val="ListParagraph"/>
              <w:spacing w:line="240" w:lineRule="auto"/>
              <w:ind w:left="0"/>
              <w:jc w:val="both"/>
              <w:rPr>
                <w:rFonts w:ascii="Arial" w:hAnsi="Arial" w:cs="Arial"/>
                <w:b/>
                <w:bCs/>
                <w:noProof/>
                <w:sz w:val="20"/>
                <w:szCs w:val="20"/>
                <w:lang w:val="mn-MN"/>
              </w:rPr>
            </w:pPr>
          </w:p>
        </w:tc>
        <w:tc>
          <w:tcPr>
            <w:tcW w:w="2160" w:type="dxa"/>
            <w:vAlign w:val="center"/>
          </w:tcPr>
          <w:p w14:paraId="7AB29551" w14:textId="77777777" w:rsidR="0043073A" w:rsidRPr="0014655E" w:rsidRDefault="0043073A" w:rsidP="008B33E8">
            <w:pPr>
              <w:pStyle w:val="ListParagraph"/>
              <w:spacing w:line="240" w:lineRule="auto"/>
              <w:ind w:left="0"/>
              <w:jc w:val="both"/>
              <w:rPr>
                <w:rFonts w:ascii="Arial" w:hAnsi="Arial" w:cs="Arial"/>
                <w:b/>
                <w:bCs/>
                <w:noProof/>
                <w:sz w:val="20"/>
                <w:szCs w:val="20"/>
                <w:lang w:val="mn-MN"/>
              </w:rPr>
            </w:pPr>
          </w:p>
        </w:tc>
        <w:tc>
          <w:tcPr>
            <w:tcW w:w="2700" w:type="dxa"/>
            <w:vAlign w:val="center"/>
          </w:tcPr>
          <w:p w14:paraId="30172DDA" w14:textId="5D640795" w:rsidR="0043073A" w:rsidRPr="0014655E" w:rsidRDefault="0043073A" w:rsidP="008B33E8">
            <w:pPr>
              <w:pStyle w:val="ListParagraph"/>
              <w:spacing w:line="240" w:lineRule="auto"/>
              <w:ind w:left="0"/>
              <w:jc w:val="both"/>
              <w:rPr>
                <w:rFonts w:ascii="Arial" w:hAnsi="Arial" w:cs="Arial"/>
                <w:noProof/>
                <w:sz w:val="20"/>
                <w:szCs w:val="20"/>
                <w:lang w:val="mn-MN"/>
              </w:rPr>
            </w:pPr>
            <w:r w:rsidRPr="0014655E">
              <w:rPr>
                <w:rFonts w:ascii="Arial" w:eastAsia="Times New Roman" w:hAnsi="Arial" w:cs="Arial"/>
                <w:noProof/>
                <w:kern w:val="0"/>
                <w:sz w:val="20"/>
                <w:szCs w:val="20"/>
                <w:lang w:val="mn-MN" w:eastAsia="zh-CN"/>
                <w14:ligatures w14:val="none"/>
              </w:rPr>
              <w:t xml:space="preserve">Нийт: Шууд зардлын өсөлт </w:t>
            </w:r>
            <w:r w:rsidR="009D766D" w:rsidRPr="0014655E">
              <w:rPr>
                <w:rFonts w:ascii="Arial" w:eastAsia="Times New Roman" w:hAnsi="Arial" w:cs="Arial"/>
                <w:noProof/>
                <w:kern w:val="0"/>
                <w:sz w:val="20"/>
                <w:szCs w:val="20"/>
                <w:lang w:val="mn-MN" w:eastAsia="zh-CN"/>
                <w14:ligatures w14:val="none"/>
              </w:rPr>
              <w:t>0</w:t>
            </w:r>
            <w:r w:rsidRPr="0014655E">
              <w:rPr>
                <w:rFonts w:ascii="Arial" w:eastAsia="Times New Roman" w:hAnsi="Arial" w:cs="Arial"/>
                <w:noProof/>
                <w:kern w:val="0"/>
                <w:sz w:val="20"/>
                <w:szCs w:val="20"/>
                <w:lang w:val="mn-MN" w:eastAsia="zh-CN"/>
                <w14:ligatures w14:val="none"/>
              </w:rPr>
              <w:t>%, урт хугацаанд тогтворжино.</w:t>
            </w:r>
          </w:p>
        </w:tc>
        <w:tc>
          <w:tcPr>
            <w:tcW w:w="2850" w:type="dxa"/>
            <w:vAlign w:val="center"/>
          </w:tcPr>
          <w:p w14:paraId="0446CD8E" w14:textId="17668BF1" w:rsidR="0043073A" w:rsidRPr="0014655E" w:rsidRDefault="0043073A" w:rsidP="008B33E8">
            <w:pPr>
              <w:pStyle w:val="ListParagraph"/>
              <w:spacing w:line="240" w:lineRule="auto"/>
              <w:ind w:left="0"/>
              <w:jc w:val="both"/>
              <w:rPr>
                <w:rFonts w:ascii="Arial" w:hAnsi="Arial" w:cs="Arial"/>
                <w:b/>
                <w:bCs/>
                <w:noProof/>
                <w:sz w:val="20"/>
                <w:szCs w:val="20"/>
                <w:lang w:val="mn-MN"/>
              </w:rPr>
            </w:pPr>
            <w:r w:rsidRPr="0014655E">
              <w:rPr>
                <w:rFonts w:ascii="Arial" w:eastAsia="Times New Roman" w:hAnsi="Arial" w:cs="Arial"/>
                <w:noProof/>
                <w:kern w:val="0"/>
                <w:sz w:val="20"/>
                <w:szCs w:val="20"/>
                <w:lang w:val="mn-MN" w:eastAsia="zh-CN"/>
                <w14:ligatures w14:val="none"/>
              </w:rPr>
              <w:t>Эерэг нөлөө давамгай.</w:t>
            </w:r>
          </w:p>
        </w:tc>
      </w:tr>
    </w:tbl>
    <w:p w14:paraId="3D31D919" w14:textId="77777777" w:rsidR="0043073A" w:rsidRPr="0014655E" w:rsidRDefault="0043073A" w:rsidP="008B33E8">
      <w:pPr>
        <w:pStyle w:val="ListParagraph"/>
        <w:spacing w:after="0" w:line="240" w:lineRule="auto"/>
        <w:ind w:left="0" w:firstLine="720"/>
        <w:jc w:val="both"/>
        <w:rPr>
          <w:rFonts w:ascii="Arial" w:hAnsi="Arial" w:cs="Arial"/>
          <w:b/>
          <w:bCs/>
          <w:noProof/>
          <w:lang w:val="mn-MN"/>
        </w:rPr>
      </w:pPr>
    </w:p>
    <w:p w14:paraId="74BD372F" w14:textId="59AA4664" w:rsidR="00C8768E" w:rsidRPr="0014655E" w:rsidRDefault="00C8768E" w:rsidP="008B33E8">
      <w:pPr>
        <w:pStyle w:val="BodyText"/>
        <w:ind w:firstLine="720"/>
        <w:jc w:val="both"/>
        <w:rPr>
          <w:noProof/>
          <w:lang w:val="mn-MN"/>
        </w:rPr>
      </w:pPr>
      <w:r w:rsidRPr="0014655E">
        <w:rPr>
          <w:noProof/>
          <w:lang w:val="mn-MN"/>
        </w:rPr>
        <w:t xml:space="preserve">Өгөгдсөн хүснэгтэд Стратегийн ач холбогдол бүхий бүтээгдэхүүний өнөөгийн нөхцөл байдлыг тодорхойлж, статистик мэдээлэл, </w:t>
      </w:r>
      <w:r w:rsidRPr="0014655E">
        <w:rPr>
          <w:i/>
          <w:noProof/>
          <w:lang w:val="mn-MN"/>
        </w:rPr>
        <w:t>Салбарын тоон мэдээлэл, сая ам.доллар</w:t>
      </w:r>
    </w:p>
    <w:tbl>
      <w:tblPr>
        <w:tblW w:w="9404"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CellMar>
          <w:left w:w="0" w:type="dxa"/>
          <w:right w:w="0" w:type="dxa"/>
        </w:tblCellMar>
        <w:tblLook w:val="01E0" w:firstRow="1" w:lastRow="1" w:firstColumn="1" w:lastColumn="1" w:noHBand="0" w:noVBand="0"/>
      </w:tblPr>
      <w:tblGrid>
        <w:gridCol w:w="3150"/>
        <w:gridCol w:w="1173"/>
        <w:gridCol w:w="1173"/>
        <w:gridCol w:w="1042"/>
        <w:gridCol w:w="1042"/>
        <w:gridCol w:w="1824"/>
      </w:tblGrid>
      <w:tr w:rsidR="0014655E" w:rsidRPr="0014655E" w14:paraId="4794063B" w14:textId="77777777" w:rsidTr="008B33E8">
        <w:trPr>
          <w:trHeight w:val="364"/>
        </w:trPr>
        <w:tc>
          <w:tcPr>
            <w:tcW w:w="3150" w:type="dxa"/>
            <w:shd w:val="clear" w:color="auto" w:fill="FFFFFF" w:themeFill="background1"/>
            <w:vAlign w:val="center"/>
          </w:tcPr>
          <w:p w14:paraId="4E12C4C7" w14:textId="77777777" w:rsidR="00C8768E" w:rsidRPr="0014655E" w:rsidRDefault="00C8768E" w:rsidP="008B33E8">
            <w:pPr>
              <w:pStyle w:val="TableParagraph"/>
              <w:jc w:val="center"/>
              <w:rPr>
                <w:b/>
                <w:noProof/>
                <w:sz w:val="20"/>
                <w:szCs w:val="20"/>
                <w:lang w:val="mn-MN"/>
              </w:rPr>
            </w:pPr>
            <w:r w:rsidRPr="0014655E">
              <w:rPr>
                <w:b/>
                <w:noProof/>
                <w:sz w:val="20"/>
                <w:szCs w:val="20"/>
                <w:lang w:val="mn-MN"/>
              </w:rPr>
              <w:t>Үзүүлэлтүүд</w:t>
            </w:r>
          </w:p>
        </w:tc>
        <w:tc>
          <w:tcPr>
            <w:tcW w:w="1173" w:type="dxa"/>
            <w:shd w:val="clear" w:color="auto" w:fill="FFFFFF" w:themeFill="background1"/>
            <w:vAlign w:val="center"/>
          </w:tcPr>
          <w:p w14:paraId="4113EC58" w14:textId="77777777" w:rsidR="00C8768E" w:rsidRPr="0014655E" w:rsidRDefault="00C8768E" w:rsidP="008B33E8">
            <w:pPr>
              <w:pStyle w:val="TableParagraph"/>
              <w:jc w:val="center"/>
              <w:rPr>
                <w:b/>
                <w:noProof/>
                <w:sz w:val="20"/>
                <w:szCs w:val="20"/>
                <w:lang w:val="mn-MN"/>
              </w:rPr>
            </w:pPr>
            <w:r w:rsidRPr="0014655E">
              <w:rPr>
                <w:b/>
                <w:noProof/>
                <w:sz w:val="20"/>
                <w:szCs w:val="20"/>
                <w:lang w:val="mn-MN"/>
              </w:rPr>
              <w:t>2021</w:t>
            </w:r>
          </w:p>
        </w:tc>
        <w:tc>
          <w:tcPr>
            <w:tcW w:w="1173" w:type="dxa"/>
            <w:shd w:val="clear" w:color="auto" w:fill="FFFFFF" w:themeFill="background1"/>
            <w:vAlign w:val="center"/>
          </w:tcPr>
          <w:p w14:paraId="345ED4F2" w14:textId="77777777" w:rsidR="00C8768E" w:rsidRPr="0014655E" w:rsidRDefault="00C8768E" w:rsidP="008B33E8">
            <w:pPr>
              <w:pStyle w:val="TableParagraph"/>
              <w:jc w:val="center"/>
              <w:rPr>
                <w:b/>
                <w:noProof/>
                <w:sz w:val="20"/>
                <w:szCs w:val="20"/>
                <w:lang w:val="mn-MN"/>
              </w:rPr>
            </w:pPr>
            <w:r w:rsidRPr="0014655E">
              <w:rPr>
                <w:b/>
                <w:noProof/>
                <w:sz w:val="20"/>
                <w:szCs w:val="20"/>
                <w:lang w:val="mn-MN"/>
              </w:rPr>
              <w:t>2022</w:t>
            </w:r>
          </w:p>
        </w:tc>
        <w:tc>
          <w:tcPr>
            <w:tcW w:w="1042" w:type="dxa"/>
            <w:shd w:val="clear" w:color="auto" w:fill="FFFFFF" w:themeFill="background1"/>
            <w:vAlign w:val="center"/>
          </w:tcPr>
          <w:p w14:paraId="351C0DC0" w14:textId="77777777" w:rsidR="00C8768E" w:rsidRPr="0014655E" w:rsidRDefault="00C8768E" w:rsidP="008B33E8">
            <w:pPr>
              <w:pStyle w:val="TableParagraph"/>
              <w:jc w:val="center"/>
              <w:rPr>
                <w:b/>
                <w:noProof/>
                <w:sz w:val="20"/>
                <w:szCs w:val="20"/>
                <w:lang w:val="mn-MN"/>
              </w:rPr>
            </w:pPr>
            <w:r w:rsidRPr="0014655E">
              <w:rPr>
                <w:b/>
                <w:noProof/>
                <w:sz w:val="20"/>
                <w:szCs w:val="20"/>
                <w:lang w:val="mn-MN"/>
              </w:rPr>
              <w:t>2023</w:t>
            </w:r>
          </w:p>
        </w:tc>
        <w:tc>
          <w:tcPr>
            <w:tcW w:w="1042" w:type="dxa"/>
            <w:shd w:val="clear" w:color="auto" w:fill="FFFFFF" w:themeFill="background1"/>
            <w:vAlign w:val="center"/>
          </w:tcPr>
          <w:p w14:paraId="10483D52" w14:textId="77777777" w:rsidR="00C8768E" w:rsidRPr="0014655E" w:rsidRDefault="00C8768E" w:rsidP="008B33E8">
            <w:pPr>
              <w:pStyle w:val="TableParagraph"/>
              <w:jc w:val="center"/>
              <w:rPr>
                <w:b/>
                <w:noProof/>
                <w:sz w:val="20"/>
                <w:szCs w:val="20"/>
                <w:lang w:val="mn-MN"/>
              </w:rPr>
            </w:pPr>
            <w:r w:rsidRPr="0014655E">
              <w:rPr>
                <w:b/>
                <w:noProof/>
                <w:sz w:val="20"/>
                <w:szCs w:val="20"/>
                <w:lang w:val="mn-MN"/>
              </w:rPr>
              <w:t>2024</w:t>
            </w:r>
          </w:p>
        </w:tc>
        <w:tc>
          <w:tcPr>
            <w:tcW w:w="1824" w:type="dxa"/>
            <w:shd w:val="clear" w:color="auto" w:fill="FFFFFF" w:themeFill="background1"/>
            <w:vAlign w:val="center"/>
          </w:tcPr>
          <w:p w14:paraId="3E65199A" w14:textId="2D0BE260" w:rsidR="00C8768E" w:rsidRPr="0014655E" w:rsidRDefault="00C8768E" w:rsidP="008B33E8">
            <w:pPr>
              <w:pStyle w:val="TableParagraph"/>
              <w:jc w:val="center"/>
              <w:rPr>
                <w:b/>
                <w:noProof/>
                <w:sz w:val="20"/>
                <w:szCs w:val="20"/>
                <w:lang w:val="mn-MN"/>
              </w:rPr>
            </w:pPr>
            <w:r w:rsidRPr="0014655E">
              <w:rPr>
                <w:b/>
                <w:noProof/>
                <w:sz w:val="20"/>
                <w:szCs w:val="20"/>
                <w:lang w:val="mn-MN"/>
              </w:rPr>
              <w:t>2025 оны 10 сарын байдлаар</w:t>
            </w:r>
          </w:p>
        </w:tc>
      </w:tr>
      <w:tr w:rsidR="0014655E" w:rsidRPr="0014655E" w14:paraId="7841815B" w14:textId="77777777" w:rsidTr="008B33E8">
        <w:trPr>
          <w:trHeight w:val="409"/>
        </w:trPr>
        <w:tc>
          <w:tcPr>
            <w:tcW w:w="3150" w:type="dxa"/>
            <w:shd w:val="clear" w:color="auto" w:fill="FFFFFF" w:themeFill="background1"/>
            <w:vAlign w:val="center"/>
          </w:tcPr>
          <w:p w14:paraId="14BFE4BF" w14:textId="77777777" w:rsidR="00C8768E" w:rsidRPr="0014655E" w:rsidRDefault="00C8768E" w:rsidP="008B33E8">
            <w:pPr>
              <w:pStyle w:val="TableParagraph"/>
              <w:jc w:val="center"/>
              <w:rPr>
                <w:noProof/>
                <w:sz w:val="20"/>
                <w:szCs w:val="20"/>
                <w:lang w:val="mn-MN"/>
              </w:rPr>
            </w:pPr>
            <w:r w:rsidRPr="0014655E">
              <w:rPr>
                <w:noProof/>
                <w:sz w:val="20"/>
                <w:szCs w:val="20"/>
                <w:lang w:val="mn-MN"/>
              </w:rPr>
              <w:t>Нийт импорт* /А-80, Аи-92,95,98 автобензин, дизель түлш/</w:t>
            </w:r>
          </w:p>
        </w:tc>
        <w:tc>
          <w:tcPr>
            <w:tcW w:w="1173" w:type="dxa"/>
            <w:shd w:val="clear" w:color="auto" w:fill="FFFFFF" w:themeFill="background1"/>
            <w:vAlign w:val="center"/>
          </w:tcPr>
          <w:p w14:paraId="20B728AA" w14:textId="77777777" w:rsidR="00C8768E" w:rsidRPr="0014655E" w:rsidRDefault="00C8768E" w:rsidP="008B33E8">
            <w:pPr>
              <w:pStyle w:val="TableParagraph"/>
              <w:jc w:val="center"/>
              <w:rPr>
                <w:noProof/>
                <w:sz w:val="20"/>
                <w:szCs w:val="20"/>
                <w:lang w:val="mn-MN"/>
              </w:rPr>
            </w:pPr>
            <w:r w:rsidRPr="0014655E">
              <w:rPr>
                <w:noProof/>
                <w:sz w:val="20"/>
                <w:szCs w:val="20"/>
                <w:lang w:val="mn-MN"/>
              </w:rPr>
              <w:t>1,5 сая тонн</w:t>
            </w:r>
          </w:p>
        </w:tc>
        <w:tc>
          <w:tcPr>
            <w:tcW w:w="1173" w:type="dxa"/>
            <w:shd w:val="clear" w:color="auto" w:fill="FFFFFF" w:themeFill="background1"/>
            <w:vAlign w:val="center"/>
          </w:tcPr>
          <w:p w14:paraId="2D9FBADB" w14:textId="77777777" w:rsidR="00C8768E" w:rsidRPr="0014655E" w:rsidRDefault="00C8768E" w:rsidP="008B33E8">
            <w:pPr>
              <w:pStyle w:val="TableParagraph"/>
              <w:jc w:val="center"/>
              <w:rPr>
                <w:noProof/>
                <w:sz w:val="20"/>
                <w:szCs w:val="20"/>
                <w:lang w:val="mn-MN"/>
              </w:rPr>
            </w:pPr>
            <w:r w:rsidRPr="0014655E">
              <w:rPr>
                <w:noProof/>
                <w:sz w:val="20"/>
                <w:szCs w:val="20"/>
                <w:lang w:val="mn-MN"/>
              </w:rPr>
              <w:t>1,6 сая тонн</w:t>
            </w:r>
          </w:p>
        </w:tc>
        <w:tc>
          <w:tcPr>
            <w:tcW w:w="1042" w:type="dxa"/>
            <w:shd w:val="clear" w:color="auto" w:fill="FFFFFF" w:themeFill="background1"/>
            <w:vAlign w:val="center"/>
          </w:tcPr>
          <w:p w14:paraId="63D026C4" w14:textId="77777777" w:rsidR="00C8768E" w:rsidRPr="0014655E" w:rsidRDefault="00C8768E" w:rsidP="008B33E8">
            <w:pPr>
              <w:pStyle w:val="TableParagraph"/>
              <w:jc w:val="center"/>
              <w:rPr>
                <w:noProof/>
                <w:sz w:val="20"/>
                <w:szCs w:val="20"/>
                <w:lang w:val="mn-MN"/>
              </w:rPr>
            </w:pPr>
            <w:r w:rsidRPr="0014655E">
              <w:rPr>
                <w:noProof/>
                <w:sz w:val="20"/>
                <w:szCs w:val="20"/>
                <w:lang w:val="mn-MN"/>
              </w:rPr>
              <w:t>2,0 сая тонн</w:t>
            </w:r>
          </w:p>
        </w:tc>
        <w:tc>
          <w:tcPr>
            <w:tcW w:w="1042" w:type="dxa"/>
            <w:shd w:val="clear" w:color="auto" w:fill="FFFFFF" w:themeFill="background1"/>
            <w:vAlign w:val="center"/>
          </w:tcPr>
          <w:p w14:paraId="436C2AC8" w14:textId="77777777" w:rsidR="00C8768E" w:rsidRPr="0014655E" w:rsidRDefault="00C8768E" w:rsidP="008B33E8">
            <w:pPr>
              <w:pStyle w:val="TableParagraph"/>
              <w:jc w:val="center"/>
              <w:rPr>
                <w:noProof/>
                <w:sz w:val="20"/>
                <w:szCs w:val="20"/>
                <w:lang w:val="mn-MN"/>
              </w:rPr>
            </w:pPr>
            <w:r w:rsidRPr="0014655E">
              <w:rPr>
                <w:noProof/>
                <w:sz w:val="20"/>
                <w:szCs w:val="20"/>
                <w:lang w:val="mn-MN"/>
              </w:rPr>
              <w:t>2,6 сая тонн</w:t>
            </w:r>
          </w:p>
        </w:tc>
        <w:tc>
          <w:tcPr>
            <w:tcW w:w="1824" w:type="dxa"/>
            <w:shd w:val="clear" w:color="auto" w:fill="FFFFFF" w:themeFill="background1"/>
            <w:vAlign w:val="center"/>
          </w:tcPr>
          <w:p w14:paraId="27B224FB" w14:textId="77777777" w:rsidR="00C8768E" w:rsidRPr="0014655E" w:rsidRDefault="00C8768E" w:rsidP="008B33E8">
            <w:pPr>
              <w:pStyle w:val="TableParagraph"/>
              <w:jc w:val="center"/>
              <w:rPr>
                <w:noProof/>
                <w:sz w:val="20"/>
                <w:szCs w:val="20"/>
                <w:lang w:val="mn-MN"/>
              </w:rPr>
            </w:pPr>
            <w:r w:rsidRPr="0014655E">
              <w:rPr>
                <w:noProof/>
                <w:sz w:val="20"/>
                <w:szCs w:val="20"/>
                <w:lang w:val="mn-MN"/>
              </w:rPr>
              <w:t>2,2 сая тонн</w:t>
            </w:r>
          </w:p>
        </w:tc>
      </w:tr>
      <w:tr w:rsidR="0014655E" w:rsidRPr="0014655E" w14:paraId="5FB78EB9" w14:textId="77777777" w:rsidTr="008B33E8">
        <w:trPr>
          <w:trHeight w:val="141"/>
        </w:trPr>
        <w:tc>
          <w:tcPr>
            <w:tcW w:w="3150" w:type="dxa"/>
            <w:shd w:val="clear" w:color="auto" w:fill="FFFFFF" w:themeFill="background1"/>
            <w:vAlign w:val="center"/>
          </w:tcPr>
          <w:p w14:paraId="040C678A" w14:textId="77777777" w:rsidR="00C8768E" w:rsidRPr="0014655E" w:rsidRDefault="00C8768E" w:rsidP="008B33E8">
            <w:pPr>
              <w:pStyle w:val="TableParagraph"/>
              <w:jc w:val="center"/>
              <w:rPr>
                <w:noProof/>
                <w:sz w:val="20"/>
                <w:szCs w:val="20"/>
                <w:lang w:val="mn-MN"/>
              </w:rPr>
            </w:pPr>
            <w:r w:rsidRPr="0014655E">
              <w:rPr>
                <w:noProof/>
                <w:sz w:val="20"/>
                <w:szCs w:val="20"/>
                <w:lang w:val="mn-MN"/>
              </w:rPr>
              <w:t>Хувь</w:t>
            </w:r>
          </w:p>
        </w:tc>
        <w:tc>
          <w:tcPr>
            <w:tcW w:w="1173" w:type="dxa"/>
            <w:shd w:val="clear" w:color="auto" w:fill="FFFFFF" w:themeFill="background1"/>
            <w:vAlign w:val="center"/>
          </w:tcPr>
          <w:p w14:paraId="6AECC6C3" w14:textId="77777777" w:rsidR="00C8768E" w:rsidRPr="0014655E" w:rsidRDefault="00C8768E" w:rsidP="008B33E8">
            <w:pPr>
              <w:pStyle w:val="TableParagraph"/>
              <w:jc w:val="center"/>
              <w:rPr>
                <w:noProof/>
                <w:sz w:val="20"/>
                <w:szCs w:val="20"/>
                <w:lang w:val="mn-MN"/>
              </w:rPr>
            </w:pPr>
          </w:p>
        </w:tc>
        <w:tc>
          <w:tcPr>
            <w:tcW w:w="1173" w:type="dxa"/>
            <w:shd w:val="clear" w:color="auto" w:fill="FFFFFF" w:themeFill="background1"/>
            <w:vAlign w:val="center"/>
          </w:tcPr>
          <w:p w14:paraId="1892186F" w14:textId="77777777" w:rsidR="00C8768E" w:rsidRPr="0014655E" w:rsidRDefault="00C8768E" w:rsidP="008B33E8">
            <w:pPr>
              <w:pStyle w:val="TableParagraph"/>
              <w:jc w:val="center"/>
              <w:rPr>
                <w:noProof/>
                <w:sz w:val="20"/>
                <w:szCs w:val="20"/>
                <w:lang w:val="mn-MN"/>
              </w:rPr>
            </w:pPr>
          </w:p>
        </w:tc>
        <w:tc>
          <w:tcPr>
            <w:tcW w:w="1042" w:type="dxa"/>
            <w:shd w:val="clear" w:color="auto" w:fill="FFFFFF" w:themeFill="background1"/>
            <w:vAlign w:val="center"/>
          </w:tcPr>
          <w:p w14:paraId="37C01BE3" w14:textId="77777777" w:rsidR="00C8768E" w:rsidRPr="0014655E" w:rsidRDefault="00C8768E" w:rsidP="008B33E8">
            <w:pPr>
              <w:pStyle w:val="TableParagraph"/>
              <w:jc w:val="center"/>
              <w:rPr>
                <w:noProof/>
                <w:sz w:val="20"/>
                <w:szCs w:val="20"/>
                <w:lang w:val="mn-MN"/>
              </w:rPr>
            </w:pPr>
          </w:p>
        </w:tc>
        <w:tc>
          <w:tcPr>
            <w:tcW w:w="1042" w:type="dxa"/>
            <w:shd w:val="clear" w:color="auto" w:fill="FFFFFF" w:themeFill="background1"/>
            <w:vAlign w:val="center"/>
          </w:tcPr>
          <w:p w14:paraId="5FFAAAD4" w14:textId="77777777" w:rsidR="00C8768E" w:rsidRPr="0014655E" w:rsidRDefault="00C8768E" w:rsidP="008B33E8">
            <w:pPr>
              <w:pStyle w:val="TableParagraph"/>
              <w:jc w:val="center"/>
              <w:rPr>
                <w:noProof/>
                <w:sz w:val="20"/>
                <w:szCs w:val="20"/>
                <w:lang w:val="mn-MN"/>
              </w:rPr>
            </w:pPr>
          </w:p>
        </w:tc>
        <w:tc>
          <w:tcPr>
            <w:tcW w:w="1824" w:type="dxa"/>
            <w:shd w:val="clear" w:color="auto" w:fill="FFFFFF" w:themeFill="background1"/>
            <w:vAlign w:val="center"/>
          </w:tcPr>
          <w:p w14:paraId="2E787F47" w14:textId="77777777" w:rsidR="00C8768E" w:rsidRPr="0014655E" w:rsidRDefault="00C8768E" w:rsidP="008B33E8">
            <w:pPr>
              <w:pStyle w:val="TableParagraph"/>
              <w:jc w:val="center"/>
              <w:rPr>
                <w:noProof/>
                <w:sz w:val="20"/>
                <w:szCs w:val="20"/>
                <w:lang w:val="mn-MN"/>
              </w:rPr>
            </w:pPr>
          </w:p>
        </w:tc>
      </w:tr>
      <w:tr w:rsidR="0014655E" w:rsidRPr="0014655E" w14:paraId="0DEFE814" w14:textId="77777777" w:rsidTr="008B33E8">
        <w:trPr>
          <w:trHeight w:val="141"/>
        </w:trPr>
        <w:tc>
          <w:tcPr>
            <w:tcW w:w="3150" w:type="dxa"/>
            <w:shd w:val="clear" w:color="auto" w:fill="FFFFFF" w:themeFill="background1"/>
            <w:vAlign w:val="center"/>
          </w:tcPr>
          <w:p w14:paraId="1FEB376F" w14:textId="77777777" w:rsidR="00C8768E" w:rsidRPr="0014655E" w:rsidRDefault="00C8768E" w:rsidP="008B33E8">
            <w:pPr>
              <w:pStyle w:val="TableParagraph"/>
              <w:jc w:val="center"/>
              <w:rPr>
                <w:noProof/>
                <w:sz w:val="20"/>
                <w:szCs w:val="20"/>
                <w:lang w:val="mn-MN"/>
              </w:rPr>
            </w:pPr>
            <w:r w:rsidRPr="0014655E">
              <w:rPr>
                <w:noProof/>
                <w:sz w:val="20"/>
                <w:szCs w:val="20"/>
                <w:lang w:val="mn-MN"/>
              </w:rPr>
              <w:t>ДНБ-д эзлэх хувь</w:t>
            </w:r>
          </w:p>
        </w:tc>
        <w:tc>
          <w:tcPr>
            <w:tcW w:w="1173" w:type="dxa"/>
            <w:shd w:val="clear" w:color="auto" w:fill="FFFFFF" w:themeFill="background1"/>
            <w:vAlign w:val="center"/>
          </w:tcPr>
          <w:p w14:paraId="1DBA6A34" w14:textId="77777777" w:rsidR="00C8768E" w:rsidRPr="0014655E" w:rsidRDefault="00C8768E" w:rsidP="008B33E8">
            <w:pPr>
              <w:pStyle w:val="TableParagraph"/>
              <w:jc w:val="center"/>
              <w:rPr>
                <w:noProof/>
                <w:sz w:val="20"/>
                <w:szCs w:val="20"/>
                <w:lang w:val="mn-MN"/>
              </w:rPr>
            </w:pPr>
            <w:r w:rsidRPr="0014655E">
              <w:rPr>
                <w:noProof/>
                <w:sz w:val="20"/>
                <w:szCs w:val="20"/>
                <w:lang w:val="mn-MN"/>
              </w:rPr>
              <w:t>2.69%</w:t>
            </w:r>
          </w:p>
        </w:tc>
        <w:tc>
          <w:tcPr>
            <w:tcW w:w="1173" w:type="dxa"/>
            <w:shd w:val="clear" w:color="auto" w:fill="FFFFFF" w:themeFill="background1"/>
            <w:vAlign w:val="center"/>
          </w:tcPr>
          <w:p w14:paraId="13890E4E" w14:textId="77777777" w:rsidR="00C8768E" w:rsidRPr="0014655E" w:rsidRDefault="00C8768E" w:rsidP="008B33E8">
            <w:pPr>
              <w:pStyle w:val="TableParagraph"/>
              <w:jc w:val="center"/>
              <w:rPr>
                <w:noProof/>
                <w:sz w:val="20"/>
                <w:szCs w:val="20"/>
                <w:lang w:val="mn-MN"/>
              </w:rPr>
            </w:pPr>
            <w:r w:rsidRPr="0014655E">
              <w:rPr>
                <w:noProof/>
                <w:sz w:val="20"/>
                <w:szCs w:val="20"/>
                <w:lang w:val="mn-MN"/>
              </w:rPr>
              <w:t>2.61%</w:t>
            </w:r>
          </w:p>
        </w:tc>
        <w:tc>
          <w:tcPr>
            <w:tcW w:w="1042" w:type="dxa"/>
            <w:shd w:val="clear" w:color="auto" w:fill="FFFFFF" w:themeFill="background1"/>
            <w:vAlign w:val="center"/>
          </w:tcPr>
          <w:p w14:paraId="0BF68FC5" w14:textId="77777777" w:rsidR="00C8768E" w:rsidRPr="0014655E" w:rsidRDefault="00C8768E" w:rsidP="008B33E8">
            <w:pPr>
              <w:pStyle w:val="TableParagraph"/>
              <w:jc w:val="center"/>
              <w:rPr>
                <w:noProof/>
                <w:sz w:val="20"/>
                <w:szCs w:val="20"/>
                <w:lang w:val="mn-MN"/>
              </w:rPr>
            </w:pPr>
            <w:r w:rsidRPr="0014655E">
              <w:rPr>
                <w:noProof/>
                <w:sz w:val="20"/>
                <w:szCs w:val="20"/>
                <w:lang w:val="mn-MN"/>
              </w:rPr>
              <w:t>2.28%</w:t>
            </w:r>
          </w:p>
        </w:tc>
        <w:tc>
          <w:tcPr>
            <w:tcW w:w="1042" w:type="dxa"/>
            <w:shd w:val="clear" w:color="auto" w:fill="FFFFFF" w:themeFill="background1"/>
            <w:vAlign w:val="center"/>
          </w:tcPr>
          <w:p w14:paraId="0CF62C58" w14:textId="77777777" w:rsidR="00C8768E" w:rsidRPr="0014655E" w:rsidRDefault="00C8768E" w:rsidP="008B33E8">
            <w:pPr>
              <w:pStyle w:val="TableParagraph"/>
              <w:jc w:val="center"/>
              <w:rPr>
                <w:noProof/>
                <w:sz w:val="20"/>
                <w:szCs w:val="20"/>
                <w:lang w:val="mn-MN"/>
              </w:rPr>
            </w:pPr>
            <w:r w:rsidRPr="0014655E">
              <w:rPr>
                <w:noProof/>
                <w:sz w:val="20"/>
                <w:szCs w:val="20"/>
                <w:lang w:val="mn-MN"/>
              </w:rPr>
              <w:t>0.96%</w:t>
            </w:r>
          </w:p>
        </w:tc>
        <w:tc>
          <w:tcPr>
            <w:tcW w:w="1824" w:type="dxa"/>
            <w:shd w:val="clear" w:color="auto" w:fill="FFFFFF" w:themeFill="background1"/>
            <w:vAlign w:val="center"/>
          </w:tcPr>
          <w:p w14:paraId="5B0FF326" w14:textId="77777777" w:rsidR="00C8768E" w:rsidRPr="0014655E" w:rsidRDefault="00C8768E" w:rsidP="008B33E8">
            <w:pPr>
              <w:pStyle w:val="TableParagraph"/>
              <w:jc w:val="center"/>
              <w:rPr>
                <w:noProof/>
                <w:sz w:val="20"/>
                <w:szCs w:val="20"/>
                <w:lang w:val="mn-MN"/>
              </w:rPr>
            </w:pPr>
            <w:r w:rsidRPr="0014655E">
              <w:rPr>
                <w:noProof/>
                <w:sz w:val="20"/>
                <w:szCs w:val="20"/>
                <w:lang w:val="mn-MN"/>
              </w:rPr>
              <w:t>0.94%</w:t>
            </w:r>
          </w:p>
        </w:tc>
      </w:tr>
      <w:tr w:rsidR="0014655E" w:rsidRPr="0014655E" w14:paraId="1F12AC3C" w14:textId="77777777" w:rsidTr="008B33E8">
        <w:trPr>
          <w:trHeight w:val="59"/>
        </w:trPr>
        <w:tc>
          <w:tcPr>
            <w:tcW w:w="3150" w:type="dxa"/>
            <w:shd w:val="clear" w:color="auto" w:fill="FFFFFF" w:themeFill="background1"/>
            <w:vAlign w:val="center"/>
          </w:tcPr>
          <w:p w14:paraId="47A6F0A0" w14:textId="77777777" w:rsidR="00C8768E" w:rsidRPr="0014655E" w:rsidRDefault="00C8768E" w:rsidP="008B33E8">
            <w:pPr>
              <w:pStyle w:val="TableParagraph"/>
              <w:jc w:val="center"/>
              <w:rPr>
                <w:noProof/>
                <w:sz w:val="20"/>
                <w:szCs w:val="20"/>
                <w:lang w:val="mn-MN"/>
              </w:rPr>
            </w:pPr>
            <w:r w:rsidRPr="0014655E">
              <w:rPr>
                <w:noProof/>
                <w:sz w:val="20"/>
                <w:szCs w:val="20"/>
                <w:lang w:val="mn-MN"/>
              </w:rPr>
              <w:t>Ажиллагсдын тоо</w:t>
            </w:r>
          </w:p>
        </w:tc>
        <w:tc>
          <w:tcPr>
            <w:tcW w:w="1173" w:type="dxa"/>
            <w:shd w:val="clear" w:color="auto" w:fill="FFFFFF" w:themeFill="background1"/>
            <w:vAlign w:val="center"/>
          </w:tcPr>
          <w:p w14:paraId="6A6A0E27" w14:textId="77777777" w:rsidR="00C8768E" w:rsidRPr="0014655E" w:rsidRDefault="00C8768E" w:rsidP="008B33E8">
            <w:pPr>
              <w:pStyle w:val="TableParagraph"/>
              <w:jc w:val="center"/>
              <w:rPr>
                <w:noProof/>
                <w:sz w:val="20"/>
                <w:szCs w:val="20"/>
                <w:lang w:val="mn-MN"/>
              </w:rPr>
            </w:pPr>
            <w:r w:rsidRPr="0014655E">
              <w:rPr>
                <w:noProof/>
                <w:sz w:val="20"/>
                <w:szCs w:val="20"/>
                <w:lang w:val="mn-MN"/>
              </w:rPr>
              <w:t>9074</w:t>
            </w:r>
          </w:p>
        </w:tc>
        <w:tc>
          <w:tcPr>
            <w:tcW w:w="1173" w:type="dxa"/>
            <w:shd w:val="clear" w:color="auto" w:fill="FFFFFF" w:themeFill="background1"/>
            <w:vAlign w:val="center"/>
          </w:tcPr>
          <w:p w14:paraId="01ADDAD1" w14:textId="77777777" w:rsidR="00C8768E" w:rsidRPr="0014655E" w:rsidRDefault="00C8768E" w:rsidP="008B33E8">
            <w:pPr>
              <w:pStyle w:val="TableParagraph"/>
              <w:jc w:val="center"/>
              <w:rPr>
                <w:noProof/>
                <w:sz w:val="20"/>
                <w:szCs w:val="20"/>
                <w:lang w:val="mn-MN"/>
              </w:rPr>
            </w:pPr>
            <w:r w:rsidRPr="0014655E">
              <w:rPr>
                <w:noProof/>
                <w:sz w:val="20"/>
                <w:szCs w:val="20"/>
                <w:lang w:val="mn-MN"/>
              </w:rPr>
              <w:t>9065</w:t>
            </w:r>
          </w:p>
        </w:tc>
        <w:tc>
          <w:tcPr>
            <w:tcW w:w="1042" w:type="dxa"/>
            <w:shd w:val="clear" w:color="auto" w:fill="FFFFFF" w:themeFill="background1"/>
            <w:vAlign w:val="center"/>
          </w:tcPr>
          <w:p w14:paraId="05B045F1" w14:textId="77777777" w:rsidR="00C8768E" w:rsidRPr="0014655E" w:rsidRDefault="00C8768E" w:rsidP="008B33E8">
            <w:pPr>
              <w:pStyle w:val="TableParagraph"/>
              <w:jc w:val="center"/>
              <w:rPr>
                <w:noProof/>
                <w:sz w:val="20"/>
                <w:szCs w:val="20"/>
                <w:lang w:val="mn-MN"/>
              </w:rPr>
            </w:pPr>
            <w:r w:rsidRPr="0014655E">
              <w:rPr>
                <w:noProof/>
                <w:sz w:val="20"/>
                <w:szCs w:val="20"/>
                <w:lang w:val="mn-MN"/>
              </w:rPr>
              <w:t>9076</w:t>
            </w:r>
          </w:p>
        </w:tc>
        <w:tc>
          <w:tcPr>
            <w:tcW w:w="1042" w:type="dxa"/>
            <w:shd w:val="clear" w:color="auto" w:fill="FFFFFF" w:themeFill="background1"/>
            <w:vAlign w:val="center"/>
          </w:tcPr>
          <w:p w14:paraId="5677E300" w14:textId="77777777" w:rsidR="00C8768E" w:rsidRPr="0014655E" w:rsidRDefault="00C8768E" w:rsidP="008B33E8">
            <w:pPr>
              <w:pStyle w:val="TableParagraph"/>
              <w:jc w:val="center"/>
              <w:rPr>
                <w:noProof/>
                <w:sz w:val="20"/>
                <w:szCs w:val="20"/>
                <w:lang w:val="mn-MN"/>
              </w:rPr>
            </w:pPr>
            <w:r w:rsidRPr="0014655E">
              <w:rPr>
                <w:noProof/>
                <w:sz w:val="20"/>
                <w:szCs w:val="20"/>
                <w:lang w:val="mn-MN"/>
              </w:rPr>
              <w:t>9030</w:t>
            </w:r>
          </w:p>
        </w:tc>
        <w:tc>
          <w:tcPr>
            <w:tcW w:w="1824" w:type="dxa"/>
            <w:shd w:val="clear" w:color="auto" w:fill="FFFFFF" w:themeFill="background1"/>
            <w:vAlign w:val="center"/>
          </w:tcPr>
          <w:p w14:paraId="504C6D87" w14:textId="77777777" w:rsidR="00C8768E" w:rsidRPr="0014655E" w:rsidRDefault="00C8768E" w:rsidP="008B33E8">
            <w:pPr>
              <w:pStyle w:val="TableParagraph"/>
              <w:jc w:val="center"/>
              <w:rPr>
                <w:noProof/>
                <w:sz w:val="20"/>
                <w:szCs w:val="20"/>
                <w:lang w:val="mn-MN"/>
              </w:rPr>
            </w:pPr>
            <w:r w:rsidRPr="0014655E">
              <w:rPr>
                <w:noProof/>
                <w:sz w:val="20"/>
                <w:szCs w:val="20"/>
                <w:lang w:val="mn-MN"/>
              </w:rPr>
              <w:t>8979</w:t>
            </w:r>
          </w:p>
        </w:tc>
      </w:tr>
      <w:tr w:rsidR="0014655E" w:rsidRPr="0014655E" w14:paraId="59C852A3" w14:textId="77777777" w:rsidTr="008B33E8">
        <w:trPr>
          <w:trHeight w:val="110"/>
        </w:trPr>
        <w:tc>
          <w:tcPr>
            <w:tcW w:w="3150" w:type="dxa"/>
            <w:shd w:val="clear" w:color="auto" w:fill="FFFFFF" w:themeFill="background1"/>
            <w:vAlign w:val="center"/>
          </w:tcPr>
          <w:p w14:paraId="2A664B9F" w14:textId="77777777" w:rsidR="00C8768E" w:rsidRPr="0014655E" w:rsidRDefault="00C8768E" w:rsidP="008B33E8">
            <w:pPr>
              <w:pStyle w:val="TableParagraph"/>
              <w:jc w:val="center"/>
              <w:rPr>
                <w:noProof/>
                <w:sz w:val="20"/>
                <w:szCs w:val="20"/>
                <w:lang w:val="mn-MN"/>
              </w:rPr>
            </w:pPr>
            <w:r w:rsidRPr="0014655E">
              <w:rPr>
                <w:noProof/>
                <w:sz w:val="20"/>
                <w:szCs w:val="20"/>
                <w:lang w:val="mn-MN"/>
              </w:rPr>
              <w:t>Нийт ажиллах хүчинд эзлэх хувь</w:t>
            </w:r>
          </w:p>
        </w:tc>
        <w:tc>
          <w:tcPr>
            <w:tcW w:w="1173" w:type="dxa"/>
            <w:shd w:val="clear" w:color="auto" w:fill="FFFFFF" w:themeFill="background1"/>
            <w:vAlign w:val="center"/>
          </w:tcPr>
          <w:p w14:paraId="316FD3BA" w14:textId="77777777" w:rsidR="00C8768E" w:rsidRPr="0014655E" w:rsidRDefault="00C8768E" w:rsidP="008B33E8">
            <w:pPr>
              <w:pStyle w:val="TableParagraph"/>
              <w:jc w:val="center"/>
              <w:rPr>
                <w:noProof/>
                <w:sz w:val="20"/>
                <w:szCs w:val="20"/>
                <w:lang w:val="mn-MN"/>
              </w:rPr>
            </w:pPr>
            <w:r w:rsidRPr="0014655E">
              <w:rPr>
                <w:noProof/>
                <w:sz w:val="20"/>
                <w:szCs w:val="20"/>
                <w:lang w:val="mn-MN"/>
              </w:rPr>
              <w:t>0.67%</w:t>
            </w:r>
          </w:p>
        </w:tc>
        <w:tc>
          <w:tcPr>
            <w:tcW w:w="1173" w:type="dxa"/>
            <w:shd w:val="clear" w:color="auto" w:fill="FFFFFF" w:themeFill="background1"/>
            <w:vAlign w:val="center"/>
          </w:tcPr>
          <w:p w14:paraId="2A1A4C8E" w14:textId="77777777" w:rsidR="00C8768E" w:rsidRPr="0014655E" w:rsidRDefault="00C8768E" w:rsidP="008B33E8">
            <w:pPr>
              <w:pStyle w:val="TableParagraph"/>
              <w:jc w:val="center"/>
              <w:rPr>
                <w:noProof/>
                <w:sz w:val="20"/>
                <w:szCs w:val="20"/>
                <w:lang w:val="mn-MN"/>
              </w:rPr>
            </w:pPr>
            <w:r w:rsidRPr="0014655E">
              <w:rPr>
                <w:noProof/>
                <w:sz w:val="20"/>
                <w:szCs w:val="20"/>
                <w:lang w:val="mn-MN"/>
              </w:rPr>
              <w:t>0.67%</w:t>
            </w:r>
          </w:p>
        </w:tc>
        <w:tc>
          <w:tcPr>
            <w:tcW w:w="1042" w:type="dxa"/>
            <w:shd w:val="clear" w:color="auto" w:fill="FFFFFF" w:themeFill="background1"/>
            <w:vAlign w:val="center"/>
          </w:tcPr>
          <w:p w14:paraId="4DF7B016" w14:textId="77777777" w:rsidR="00C8768E" w:rsidRPr="0014655E" w:rsidRDefault="00C8768E" w:rsidP="008B33E8">
            <w:pPr>
              <w:pStyle w:val="TableParagraph"/>
              <w:jc w:val="center"/>
              <w:rPr>
                <w:noProof/>
                <w:sz w:val="20"/>
                <w:szCs w:val="20"/>
                <w:lang w:val="mn-MN"/>
              </w:rPr>
            </w:pPr>
            <w:r w:rsidRPr="0014655E">
              <w:rPr>
                <w:noProof/>
                <w:sz w:val="20"/>
                <w:szCs w:val="20"/>
                <w:lang w:val="mn-MN"/>
              </w:rPr>
              <w:t>0.71%</w:t>
            </w:r>
          </w:p>
        </w:tc>
        <w:tc>
          <w:tcPr>
            <w:tcW w:w="1042" w:type="dxa"/>
            <w:shd w:val="clear" w:color="auto" w:fill="FFFFFF" w:themeFill="background1"/>
            <w:vAlign w:val="center"/>
          </w:tcPr>
          <w:p w14:paraId="322B274A" w14:textId="77777777" w:rsidR="00C8768E" w:rsidRPr="0014655E" w:rsidRDefault="00C8768E" w:rsidP="008B33E8">
            <w:pPr>
              <w:pStyle w:val="TableParagraph"/>
              <w:jc w:val="center"/>
              <w:rPr>
                <w:noProof/>
                <w:sz w:val="20"/>
                <w:szCs w:val="20"/>
                <w:lang w:val="mn-MN"/>
              </w:rPr>
            </w:pPr>
            <w:r w:rsidRPr="0014655E">
              <w:rPr>
                <w:noProof/>
                <w:sz w:val="20"/>
                <w:szCs w:val="20"/>
                <w:lang w:val="mn-MN"/>
              </w:rPr>
              <w:t>0.72%</w:t>
            </w:r>
          </w:p>
        </w:tc>
        <w:tc>
          <w:tcPr>
            <w:tcW w:w="1824" w:type="dxa"/>
            <w:shd w:val="clear" w:color="auto" w:fill="FFFFFF" w:themeFill="background1"/>
            <w:vAlign w:val="center"/>
          </w:tcPr>
          <w:p w14:paraId="3C8F1FEB" w14:textId="77777777" w:rsidR="00C8768E" w:rsidRPr="0014655E" w:rsidRDefault="00C8768E" w:rsidP="008B33E8">
            <w:pPr>
              <w:pStyle w:val="TableParagraph"/>
              <w:jc w:val="center"/>
              <w:rPr>
                <w:noProof/>
                <w:sz w:val="20"/>
                <w:szCs w:val="20"/>
                <w:lang w:val="mn-MN"/>
              </w:rPr>
            </w:pPr>
            <w:r w:rsidRPr="0014655E">
              <w:rPr>
                <w:noProof/>
                <w:sz w:val="20"/>
                <w:szCs w:val="20"/>
                <w:lang w:val="mn-MN"/>
              </w:rPr>
              <w:t>0.71%</w:t>
            </w:r>
          </w:p>
        </w:tc>
      </w:tr>
      <w:tr w:rsidR="0014655E" w:rsidRPr="0014655E" w14:paraId="22129074" w14:textId="77777777" w:rsidTr="008B33E8">
        <w:trPr>
          <w:trHeight w:val="344"/>
        </w:trPr>
        <w:tc>
          <w:tcPr>
            <w:tcW w:w="3150" w:type="dxa"/>
            <w:shd w:val="clear" w:color="auto" w:fill="FFFFFF" w:themeFill="background1"/>
            <w:vAlign w:val="center"/>
          </w:tcPr>
          <w:p w14:paraId="75171001" w14:textId="77777777" w:rsidR="00C8768E" w:rsidRPr="0014655E" w:rsidRDefault="00C8768E" w:rsidP="008B33E8">
            <w:pPr>
              <w:pStyle w:val="TableParagraph"/>
              <w:jc w:val="center"/>
              <w:rPr>
                <w:noProof/>
                <w:sz w:val="20"/>
                <w:szCs w:val="20"/>
                <w:lang w:val="mn-MN"/>
              </w:rPr>
            </w:pPr>
            <w:r w:rsidRPr="0014655E">
              <w:rPr>
                <w:noProof/>
                <w:sz w:val="20"/>
                <w:szCs w:val="20"/>
                <w:lang w:val="mn-MN"/>
              </w:rPr>
              <w:t>Салбарын нийт зарлага**</w:t>
            </w:r>
          </w:p>
        </w:tc>
        <w:tc>
          <w:tcPr>
            <w:tcW w:w="1173" w:type="dxa"/>
            <w:shd w:val="clear" w:color="auto" w:fill="FFFFFF" w:themeFill="background1"/>
            <w:vAlign w:val="center"/>
          </w:tcPr>
          <w:p w14:paraId="10CDD992" w14:textId="67423388" w:rsidR="00C8768E" w:rsidRPr="0014655E" w:rsidRDefault="00C8768E" w:rsidP="008B33E8">
            <w:pPr>
              <w:pStyle w:val="TableParagraph"/>
              <w:jc w:val="center"/>
              <w:rPr>
                <w:noProof/>
                <w:sz w:val="20"/>
                <w:szCs w:val="20"/>
                <w:lang w:val="mn-MN"/>
              </w:rPr>
            </w:pPr>
            <w:r w:rsidRPr="0014655E">
              <w:rPr>
                <w:noProof/>
                <w:sz w:val="20"/>
                <w:szCs w:val="20"/>
                <w:lang w:val="mn-MN"/>
              </w:rPr>
              <w:t>1,008.4 сая ам.доллар</w:t>
            </w:r>
          </w:p>
        </w:tc>
        <w:tc>
          <w:tcPr>
            <w:tcW w:w="1173" w:type="dxa"/>
            <w:shd w:val="clear" w:color="auto" w:fill="FFFFFF" w:themeFill="background1"/>
            <w:vAlign w:val="center"/>
          </w:tcPr>
          <w:p w14:paraId="44207C66" w14:textId="26DC29F4" w:rsidR="00C8768E" w:rsidRPr="0014655E" w:rsidRDefault="00C8768E" w:rsidP="008B33E8">
            <w:pPr>
              <w:pStyle w:val="TableParagraph"/>
              <w:jc w:val="center"/>
              <w:rPr>
                <w:noProof/>
                <w:sz w:val="20"/>
                <w:szCs w:val="20"/>
                <w:lang w:val="mn-MN"/>
              </w:rPr>
            </w:pPr>
            <w:r w:rsidRPr="0014655E">
              <w:rPr>
                <w:noProof/>
                <w:sz w:val="20"/>
                <w:szCs w:val="20"/>
                <w:lang w:val="mn-MN"/>
              </w:rPr>
              <w:t>1,643.0 сая ам.доллар</w:t>
            </w:r>
          </w:p>
        </w:tc>
        <w:tc>
          <w:tcPr>
            <w:tcW w:w="1042" w:type="dxa"/>
            <w:shd w:val="clear" w:color="auto" w:fill="FFFFFF" w:themeFill="background1"/>
            <w:vAlign w:val="center"/>
          </w:tcPr>
          <w:p w14:paraId="2D511E09" w14:textId="77777777" w:rsidR="00C8768E" w:rsidRPr="0014655E" w:rsidRDefault="00C8768E" w:rsidP="008B33E8">
            <w:pPr>
              <w:pStyle w:val="TableParagraph"/>
              <w:jc w:val="center"/>
              <w:rPr>
                <w:noProof/>
                <w:sz w:val="20"/>
                <w:szCs w:val="20"/>
                <w:lang w:val="mn-MN"/>
              </w:rPr>
            </w:pPr>
            <w:r w:rsidRPr="0014655E">
              <w:rPr>
                <w:noProof/>
                <w:sz w:val="20"/>
                <w:szCs w:val="20"/>
                <w:lang w:val="mn-MN"/>
              </w:rPr>
              <w:t>1,632.0 сая ам.доллар</w:t>
            </w:r>
          </w:p>
        </w:tc>
        <w:tc>
          <w:tcPr>
            <w:tcW w:w="1042" w:type="dxa"/>
            <w:shd w:val="clear" w:color="auto" w:fill="FFFFFF" w:themeFill="background1"/>
            <w:vAlign w:val="center"/>
          </w:tcPr>
          <w:p w14:paraId="1BFA15F7" w14:textId="77777777" w:rsidR="00C8768E" w:rsidRPr="0014655E" w:rsidRDefault="00C8768E" w:rsidP="008B33E8">
            <w:pPr>
              <w:pStyle w:val="TableParagraph"/>
              <w:jc w:val="center"/>
              <w:rPr>
                <w:noProof/>
                <w:sz w:val="20"/>
                <w:szCs w:val="20"/>
                <w:lang w:val="mn-MN"/>
              </w:rPr>
            </w:pPr>
            <w:r w:rsidRPr="0014655E">
              <w:rPr>
                <w:noProof/>
                <w:sz w:val="20"/>
                <w:szCs w:val="20"/>
                <w:lang w:val="mn-MN"/>
              </w:rPr>
              <w:t>1,926.2 сая ам.доллар</w:t>
            </w:r>
          </w:p>
        </w:tc>
        <w:tc>
          <w:tcPr>
            <w:tcW w:w="1824" w:type="dxa"/>
            <w:shd w:val="clear" w:color="auto" w:fill="FFFFFF" w:themeFill="background1"/>
            <w:vAlign w:val="center"/>
          </w:tcPr>
          <w:p w14:paraId="64295E46" w14:textId="3BF85058" w:rsidR="00C8768E" w:rsidRPr="0014655E" w:rsidRDefault="00C8768E" w:rsidP="008B33E8">
            <w:pPr>
              <w:pStyle w:val="TableParagraph"/>
              <w:jc w:val="center"/>
              <w:rPr>
                <w:noProof/>
                <w:sz w:val="20"/>
                <w:szCs w:val="20"/>
                <w:lang w:val="mn-MN"/>
              </w:rPr>
            </w:pPr>
            <w:r w:rsidRPr="0014655E">
              <w:rPr>
                <w:noProof/>
                <w:sz w:val="20"/>
                <w:szCs w:val="20"/>
                <w:lang w:val="mn-MN"/>
              </w:rPr>
              <w:t>1,574.4сая ам.доллар</w:t>
            </w:r>
          </w:p>
        </w:tc>
      </w:tr>
      <w:tr w:rsidR="0014655E" w:rsidRPr="0014655E" w14:paraId="1949AB62" w14:textId="77777777" w:rsidTr="008B33E8">
        <w:trPr>
          <w:trHeight w:val="49"/>
        </w:trPr>
        <w:tc>
          <w:tcPr>
            <w:tcW w:w="3150" w:type="dxa"/>
            <w:shd w:val="clear" w:color="auto" w:fill="FFFFFF" w:themeFill="background1"/>
            <w:vAlign w:val="center"/>
          </w:tcPr>
          <w:p w14:paraId="3D3C70A2" w14:textId="77777777" w:rsidR="00C8768E" w:rsidRPr="0014655E" w:rsidRDefault="00C8768E" w:rsidP="008B33E8">
            <w:pPr>
              <w:pStyle w:val="TableParagraph"/>
              <w:jc w:val="center"/>
              <w:rPr>
                <w:noProof/>
                <w:sz w:val="20"/>
                <w:szCs w:val="20"/>
                <w:lang w:val="mn-MN"/>
              </w:rPr>
            </w:pPr>
            <w:r w:rsidRPr="0014655E">
              <w:rPr>
                <w:noProof/>
                <w:sz w:val="20"/>
                <w:szCs w:val="20"/>
                <w:lang w:val="mn-MN"/>
              </w:rPr>
              <w:t>Нийт төсвийн зарлагад эзлэх хувь</w:t>
            </w:r>
          </w:p>
        </w:tc>
        <w:tc>
          <w:tcPr>
            <w:tcW w:w="1173" w:type="dxa"/>
            <w:shd w:val="clear" w:color="auto" w:fill="FFFFFF" w:themeFill="background1"/>
            <w:vAlign w:val="center"/>
          </w:tcPr>
          <w:p w14:paraId="52B9BD0F"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173" w:type="dxa"/>
            <w:shd w:val="clear" w:color="auto" w:fill="FFFFFF" w:themeFill="background1"/>
            <w:vAlign w:val="center"/>
          </w:tcPr>
          <w:p w14:paraId="3A96C9DB"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45CAB57E"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0CA181F0"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824" w:type="dxa"/>
            <w:shd w:val="clear" w:color="auto" w:fill="FFFFFF" w:themeFill="background1"/>
            <w:vAlign w:val="center"/>
          </w:tcPr>
          <w:p w14:paraId="2B027B87"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r>
      <w:tr w:rsidR="0014655E" w:rsidRPr="0014655E" w14:paraId="726A1B3D" w14:textId="77777777" w:rsidTr="008B33E8">
        <w:trPr>
          <w:trHeight w:val="100"/>
        </w:trPr>
        <w:tc>
          <w:tcPr>
            <w:tcW w:w="3150" w:type="dxa"/>
            <w:shd w:val="clear" w:color="auto" w:fill="FFFFFF" w:themeFill="background1"/>
            <w:vAlign w:val="center"/>
          </w:tcPr>
          <w:p w14:paraId="3A409110" w14:textId="77777777" w:rsidR="00C8768E" w:rsidRPr="0014655E" w:rsidRDefault="00C8768E" w:rsidP="008B33E8">
            <w:pPr>
              <w:pStyle w:val="TableParagraph"/>
              <w:jc w:val="center"/>
              <w:rPr>
                <w:noProof/>
                <w:sz w:val="20"/>
                <w:szCs w:val="20"/>
                <w:lang w:val="mn-MN"/>
              </w:rPr>
            </w:pPr>
            <w:r w:rsidRPr="0014655E">
              <w:rPr>
                <w:noProof/>
                <w:sz w:val="20"/>
                <w:szCs w:val="20"/>
                <w:lang w:val="mn-MN"/>
              </w:rPr>
              <w:t>Улсын төсвийн хөрөнгө оруулалт</w:t>
            </w:r>
          </w:p>
        </w:tc>
        <w:tc>
          <w:tcPr>
            <w:tcW w:w="1173" w:type="dxa"/>
            <w:shd w:val="clear" w:color="auto" w:fill="FFFFFF" w:themeFill="background1"/>
            <w:vAlign w:val="center"/>
          </w:tcPr>
          <w:p w14:paraId="5A09F112"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173" w:type="dxa"/>
            <w:shd w:val="clear" w:color="auto" w:fill="FFFFFF" w:themeFill="background1"/>
            <w:vAlign w:val="center"/>
          </w:tcPr>
          <w:p w14:paraId="4A722CB6"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192A0E8C"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7D7CCED2"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824" w:type="dxa"/>
            <w:shd w:val="clear" w:color="auto" w:fill="FFFFFF" w:themeFill="background1"/>
            <w:vAlign w:val="center"/>
          </w:tcPr>
          <w:p w14:paraId="381756CF"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r>
      <w:tr w:rsidR="0014655E" w:rsidRPr="0014655E" w14:paraId="2F9BAFC8" w14:textId="77777777" w:rsidTr="008B33E8">
        <w:trPr>
          <w:trHeight w:val="578"/>
        </w:trPr>
        <w:tc>
          <w:tcPr>
            <w:tcW w:w="3150" w:type="dxa"/>
            <w:shd w:val="clear" w:color="auto" w:fill="FFFFFF" w:themeFill="background1"/>
            <w:vAlign w:val="center"/>
          </w:tcPr>
          <w:p w14:paraId="6BA3DD68" w14:textId="77777777" w:rsidR="00C8768E" w:rsidRPr="0014655E" w:rsidRDefault="00C8768E" w:rsidP="008B33E8">
            <w:pPr>
              <w:pStyle w:val="TableParagraph"/>
              <w:jc w:val="center"/>
              <w:rPr>
                <w:noProof/>
                <w:sz w:val="20"/>
                <w:szCs w:val="20"/>
                <w:lang w:val="mn-MN"/>
              </w:rPr>
            </w:pPr>
            <w:r w:rsidRPr="0014655E">
              <w:rPr>
                <w:noProof/>
                <w:sz w:val="20"/>
                <w:szCs w:val="20"/>
                <w:lang w:val="mn-MN"/>
              </w:rPr>
              <w:t>Нийт улсын төсвийн хөрөнгө оруулалтад</w:t>
            </w:r>
          </w:p>
          <w:p w14:paraId="0871CE81" w14:textId="77777777" w:rsidR="00C8768E" w:rsidRPr="0014655E" w:rsidRDefault="00C8768E" w:rsidP="008B33E8">
            <w:pPr>
              <w:pStyle w:val="TableParagraph"/>
              <w:jc w:val="center"/>
              <w:rPr>
                <w:noProof/>
                <w:sz w:val="20"/>
                <w:szCs w:val="20"/>
                <w:lang w:val="mn-MN"/>
              </w:rPr>
            </w:pPr>
            <w:r w:rsidRPr="0014655E">
              <w:rPr>
                <w:noProof/>
                <w:sz w:val="20"/>
                <w:szCs w:val="20"/>
                <w:lang w:val="mn-MN"/>
              </w:rPr>
              <w:t>эзлэх хувь</w:t>
            </w:r>
          </w:p>
        </w:tc>
        <w:tc>
          <w:tcPr>
            <w:tcW w:w="1173" w:type="dxa"/>
            <w:shd w:val="clear" w:color="auto" w:fill="FFFFFF" w:themeFill="background1"/>
            <w:vAlign w:val="center"/>
          </w:tcPr>
          <w:p w14:paraId="110BD7C0"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173" w:type="dxa"/>
            <w:shd w:val="clear" w:color="auto" w:fill="FFFFFF" w:themeFill="background1"/>
            <w:vAlign w:val="center"/>
          </w:tcPr>
          <w:p w14:paraId="0E608CA9"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2900F3CE"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2495F975"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824" w:type="dxa"/>
            <w:shd w:val="clear" w:color="auto" w:fill="FFFFFF" w:themeFill="background1"/>
            <w:vAlign w:val="center"/>
          </w:tcPr>
          <w:p w14:paraId="288FCC41"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r>
      <w:tr w:rsidR="0014655E" w:rsidRPr="0014655E" w14:paraId="329AC6F1" w14:textId="77777777" w:rsidTr="008B33E8">
        <w:trPr>
          <w:trHeight w:val="169"/>
        </w:trPr>
        <w:tc>
          <w:tcPr>
            <w:tcW w:w="3150" w:type="dxa"/>
            <w:shd w:val="clear" w:color="auto" w:fill="FFFFFF" w:themeFill="background1"/>
            <w:vAlign w:val="center"/>
          </w:tcPr>
          <w:p w14:paraId="02B36127" w14:textId="77777777" w:rsidR="00C8768E" w:rsidRPr="0014655E" w:rsidRDefault="00C8768E" w:rsidP="008B33E8">
            <w:pPr>
              <w:pStyle w:val="TableParagraph"/>
              <w:jc w:val="center"/>
              <w:rPr>
                <w:noProof/>
                <w:sz w:val="20"/>
                <w:szCs w:val="20"/>
                <w:lang w:val="mn-MN"/>
              </w:rPr>
            </w:pPr>
            <w:r w:rsidRPr="0014655E">
              <w:rPr>
                <w:noProof/>
                <w:sz w:val="20"/>
                <w:szCs w:val="20"/>
                <w:lang w:val="mn-MN"/>
              </w:rPr>
              <w:t>Гадаад зээл, тусламж</w:t>
            </w:r>
          </w:p>
        </w:tc>
        <w:tc>
          <w:tcPr>
            <w:tcW w:w="1173" w:type="dxa"/>
            <w:shd w:val="clear" w:color="auto" w:fill="FFFFFF" w:themeFill="background1"/>
            <w:vAlign w:val="center"/>
          </w:tcPr>
          <w:p w14:paraId="36A2D24F"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173" w:type="dxa"/>
            <w:shd w:val="clear" w:color="auto" w:fill="FFFFFF" w:themeFill="background1"/>
            <w:vAlign w:val="center"/>
          </w:tcPr>
          <w:p w14:paraId="1F6B02EF"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675C5A52"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5D01F146"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824" w:type="dxa"/>
            <w:shd w:val="clear" w:color="auto" w:fill="FFFFFF" w:themeFill="background1"/>
            <w:vAlign w:val="center"/>
          </w:tcPr>
          <w:p w14:paraId="2E920371"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r>
      <w:tr w:rsidR="0014655E" w:rsidRPr="0014655E" w14:paraId="21AA07A9" w14:textId="77777777" w:rsidTr="008B33E8">
        <w:trPr>
          <w:trHeight w:val="49"/>
        </w:trPr>
        <w:tc>
          <w:tcPr>
            <w:tcW w:w="3150" w:type="dxa"/>
            <w:shd w:val="clear" w:color="auto" w:fill="FFFFFF" w:themeFill="background1"/>
            <w:vAlign w:val="center"/>
          </w:tcPr>
          <w:p w14:paraId="76CECA90" w14:textId="77777777" w:rsidR="00C8768E" w:rsidRPr="0014655E" w:rsidRDefault="00C8768E" w:rsidP="008B33E8">
            <w:pPr>
              <w:pStyle w:val="TableParagraph"/>
              <w:jc w:val="center"/>
              <w:rPr>
                <w:noProof/>
                <w:sz w:val="20"/>
                <w:szCs w:val="20"/>
                <w:lang w:val="mn-MN"/>
              </w:rPr>
            </w:pPr>
            <w:r w:rsidRPr="0014655E">
              <w:rPr>
                <w:noProof/>
                <w:sz w:val="20"/>
                <w:szCs w:val="20"/>
                <w:lang w:val="mn-MN"/>
              </w:rPr>
              <w:t>Гадаад зээл, тусламжид эзлэх хувь</w:t>
            </w:r>
          </w:p>
        </w:tc>
        <w:tc>
          <w:tcPr>
            <w:tcW w:w="1173" w:type="dxa"/>
            <w:shd w:val="clear" w:color="auto" w:fill="FFFFFF" w:themeFill="background1"/>
            <w:vAlign w:val="center"/>
          </w:tcPr>
          <w:p w14:paraId="763DED4C"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173" w:type="dxa"/>
            <w:shd w:val="clear" w:color="auto" w:fill="FFFFFF" w:themeFill="background1"/>
            <w:vAlign w:val="center"/>
          </w:tcPr>
          <w:p w14:paraId="40C56788"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7021AE09"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571E831C"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824" w:type="dxa"/>
            <w:shd w:val="clear" w:color="auto" w:fill="FFFFFF" w:themeFill="background1"/>
            <w:vAlign w:val="center"/>
          </w:tcPr>
          <w:p w14:paraId="48989C1E"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r>
      <w:tr w:rsidR="0014655E" w:rsidRPr="0014655E" w14:paraId="273C3BEA" w14:textId="77777777" w:rsidTr="008B33E8">
        <w:trPr>
          <w:trHeight w:val="59"/>
        </w:trPr>
        <w:tc>
          <w:tcPr>
            <w:tcW w:w="3150" w:type="dxa"/>
            <w:shd w:val="clear" w:color="auto" w:fill="FFFFFF" w:themeFill="background1"/>
            <w:vAlign w:val="center"/>
          </w:tcPr>
          <w:p w14:paraId="12F4B34B" w14:textId="77777777" w:rsidR="00C8768E" w:rsidRPr="0014655E" w:rsidRDefault="00C8768E" w:rsidP="008B33E8">
            <w:pPr>
              <w:pStyle w:val="TableParagraph"/>
              <w:jc w:val="center"/>
              <w:rPr>
                <w:noProof/>
                <w:sz w:val="20"/>
                <w:szCs w:val="20"/>
                <w:lang w:val="mn-MN"/>
              </w:rPr>
            </w:pPr>
            <w:r w:rsidRPr="0014655E">
              <w:rPr>
                <w:noProof/>
                <w:sz w:val="20"/>
                <w:szCs w:val="20"/>
                <w:lang w:val="mn-MN"/>
              </w:rPr>
              <w:t>Салбарын бусад тоон статистик</w:t>
            </w:r>
          </w:p>
        </w:tc>
        <w:tc>
          <w:tcPr>
            <w:tcW w:w="1173" w:type="dxa"/>
            <w:shd w:val="clear" w:color="auto" w:fill="FFFFFF" w:themeFill="background1"/>
            <w:vAlign w:val="center"/>
          </w:tcPr>
          <w:p w14:paraId="508EF001"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173" w:type="dxa"/>
            <w:shd w:val="clear" w:color="auto" w:fill="FFFFFF" w:themeFill="background1"/>
            <w:vAlign w:val="center"/>
          </w:tcPr>
          <w:p w14:paraId="169A3334"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34AB0764"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042" w:type="dxa"/>
            <w:shd w:val="clear" w:color="auto" w:fill="FFFFFF" w:themeFill="background1"/>
            <w:vAlign w:val="center"/>
          </w:tcPr>
          <w:p w14:paraId="20475555"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c>
          <w:tcPr>
            <w:tcW w:w="1824" w:type="dxa"/>
            <w:shd w:val="clear" w:color="auto" w:fill="FFFFFF" w:themeFill="background1"/>
            <w:vAlign w:val="center"/>
          </w:tcPr>
          <w:p w14:paraId="6BA154B9" w14:textId="77777777" w:rsidR="00C8768E" w:rsidRPr="0014655E" w:rsidRDefault="00C8768E" w:rsidP="008B33E8">
            <w:pPr>
              <w:pStyle w:val="TableParagraph"/>
              <w:jc w:val="center"/>
              <w:rPr>
                <w:noProof/>
                <w:sz w:val="20"/>
                <w:szCs w:val="20"/>
                <w:lang w:val="mn-MN"/>
              </w:rPr>
            </w:pPr>
            <w:r w:rsidRPr="0014655E">
              <w:rPr>
                <w:noProof/>
                <w:sz w:val="20"/>
                <w:szCs w:val="20"/>
                <w:lang w:val="mn-MN"/>
              </w:rPr>
              <w:t>-</w:t>
            </w:r>
          </w:p>
        </w:tc>
      </w:tr>
    </w:tbl>
    <w:p w14:paraId="4CD3397A" w14:textId="27BC1F57" w:rsidR="00C8768E" w:rsidRPr="0014655E" w:rsidRDefault="00C8768E" w:rsidP="008B33E8">
      <w:pPr>
        <w:pStyle w:val="BodyText"/>
        <w:ind w:firstLine="720"/>
        <w:jc w:val="both"/>
        <w:rPr>
          <w:iCs/>
          <w:noProof/>
          <w:lang w:val="mn-MN"/>
        </w:rPr>
      </w:pPr>
      <w:r w:rsidRPr="0014655E">
        <w:rPr>
          <w:iCs/>
          <w:noProof/>
          <w:lang w:val="mn-MN"/>
        </w:rPr>
        <w:t>Тайлбар:</w:t>
      </w:r>
    </w:p>
    <w:p w14:paraId="5E50E35F" w14:textId="7AABFD6A" w:rsidR="00C8768E" w:rsidRPr="0014655E" w:rsidRDefault="00C8768E" w:rsidP="008B33E8">
      <w:pPr>
        <w:pStyle w:val="Heading1"/>
        <w:numPr>
          <w:ilvl w:val="0"/>
          <w:numId w:val="7"/>
        </w:numPr>
        <w:spacing w:before="0"/>
        <w:ind w:left="0" w:firstLine="720"/>
        <w:rPr>
          <w:b w:val="0"/>
          <w:i/>
          <w:noProof/>
          <w:lang w:val="mn-MN"/>
        </w:rPr>
      </w:pPr>
      <w:r w:rsidRPr="0014655E">
        <w:rPr>
          <w:b w:val="0"/>
          <w:bCs w:val="0"/>
          <w:i/>
          <w:noProof/>
          <w:lang w:val="mn-MN"/>
        </w:rPr>
        <w:t>Стратегийн бүтээгдэхүүн (шатахуун)-ий нийт импортын хэмжээ</w:t>
      </w:r>
      <w:r w:rsidRPr="0014655E">
        <w:rPr>
          <w:i/>
          <w:noProof/>
          <w:lang w:val="mn-MN"/>
        </w:rPr>
        <w:t xml:space="preserve"> </w:t>
      </w:r>
    </w:p>
    <w:p w14:paraId="602F9C7C" w14:textId="77777777" w:rsidR="00C8768E" w:rsidRPr="0014655E" w:rsidRDefault="00C8768E" w:rsidP="008B33E8">
      <w:pPr>
        <w:pStyle w:val="Heading1"/>
        <w:spacing w:before="0"/>
        <w:ind w:left="0" w:firstLine="720"/>
        <w:rPr>
          <w:b w:val="0"/>
          <w:i/>
          <w:noProof/>
          <w:lang w:val="mn-MN"/>
        </w:rPr>
      </w:pPr>
      <w:r w:rsidRPr="0014655E">
        <w:rPr>
          <w:b w:val="0"/>
          <w:i/>
          <w:noProof/>
          <w:lang w:val="mn-MN"/>
        </w:rPr>
        <w:t>**Стратегийн бүтээгдэхүүн (шатахуун) худалдан авах нийт зардал</w:t>
      </w:r>
    </w:p>
    <w:p w14:paraId="54224A46" w14:textId="7AD613AB" w:rsidR="002576B3" w:rsidRDefault="002576B3">
      <w:pPr>
        <w:spacing w:line="259" w:lineRule="auto"/>
        <w:rPr>
          <w:rFonts w:ascii="Arial" w:hAnsi="Arial" w:cs="Arial"/>
          <w:b/>
          <w:bCs/>
          <w:noProof/>
          <w:lang w:val="mn-MN"/>
        </w:rPr>
      </w:pPr>
      <w:r>
        <w:rPr>
          <w:rFonts w:ascii="Arial" w:hAnsi="Arial" w:cs="Arial"/>
          <w:b/>
          <w:bCs/>
          <w:noProof/>
          <w:lang w:val="mn-MN"/>
        </w:rPr>
        <w:br w:type="page"/>
      </w:r>
    </w:p>
    <w:p w14:paraId="01BD9111" w14:textId="77777777" w:rsidR="00FC3962" w:rsidRPr="0014655E" w:rsidRDefault="00FC3962" w:rsidP="008B33E8">
      <w:pPr>
        <w:spacing w:after="0" w:line="240" w:lineRule="auto"/>
        <w:ind w:firstLine="720"/>
        <w:jc w:val="both"/>
        <w:rPr>
          <w:rFonts w:ascii="Arial" w:hAnsi="Arial" w:cs="Arial"/>
          <w:b/>
          <w:bCs/>
          <w:noProof/>
          <w:lang w:val="mn-MN"/>
        </w:rPr>
      </w:pPr>
    </w:p>
    <w:p w14:paraId="4AAE3EC7" w14:textId="17B2A25B" w:rsidR="00FC3962" w:rsidRDefault="002576B3" w:rsidP="002576B3">
      <w:pPr>
        <w:spacing w:after="0" w:line="240" w:lineRule="auto"/>
        <w:ind w:firstLine="720"/>
        <w:jc w:val="center"/>
        <w:rPr>
          <w:rFonts w:ascii="Arial" w:hAnsi="Arial" w:cs="Arial"/>
          <w:b/>
          <w:bCs/>
          <w:noProof/>
          <w:lang w:val="mn-MN"/>
        </w:rPr>
      </w:pPr>
      <w:r w:rsidRPr="0014655E">
        <w:rPr>
          <w:rFonts w:ascii="Arial" w:hAnsi="Arial" w:cs="Arial"/>
          <w:b/>
          <w:bCs/>
          <w:noProof/>
          <w:lang w:val="mn-MN"/>
        </w:rPr>
        <w:t>ДҮГНЭЛТ</w:t>
      </w:r>
    </w:p>
    <w:p w14:paraId="363DB9B4" w14:textId="77777777" w:rsidR="002576B3" w:rsidRPr="0014655E" w:rsidRDefault="002576B3" w:rsidP="008B33E8">
      <w:pPr>
        <w:spacing w:after="0" w:line="240" w:lineRule="auto"/>
        <w:ind w:firstLine="720"/>
        <w:jc w:val="both"/>
        <w:rPr>
          <w:rFonts w:ascii="Arial" w:hAnsi="Arial" w:cs="Arial"/>
          <w:b/>
          <w:bCs/>
          <w:noProof/>
          <w:lang w:val="mn-MN"/>
        </w:rPr>
      </w:pPr>
    </w:p>
    <w:p w14:paraId="4B55D9F8" w14:textId="77777777" w:rsidR="00BD1647" w:rsidRDefault="00073583" w:rsidP="008B33E8">
      <w:pPr>
        <w:spacing w:after="0" w:line="240" w:lineRule="auto"/>
        <w:ind w:firstLine="720"/>
        <w:jc w:val="both"/>
        <w:rPr>
          <w:rFonts w:ascii="Arial" w:hAnsi="Arial" w:cs="Arial"/>
          <w:noProof/>
          <w:lang w:val="mn-MN"/>
        </w:rPr>
      </w:pPr>
      <w:r w:rsidRPr="0014655E">
        <w:rPr>
          <w:rFonts w:ascii="Arial" w:hAnsi="Arial" w:cs="Arial"/>
          <w:noProof/>
          <w:lang w:val="mn-MN"/>
        </w:rPr>
        <w:t xml:space="preserve">Энэхүү Стратегийн ач холбогдол бүхий бүтээгдэхүүний хангамж, нийлүүлэлтийг дэмжих тухай хуулийн төслийг хэрэгжүүлэхтэй холбоотойгоор төр, аж ахуйн нэгж, иргэнд үүсэх зардлыг тодорхойлсон бөгөөд хуулийн төсөл нь газрын тосны бүтээгдэхүүний хангамжийн тогтвортой байдлыг хангах, Монгол </w:t>
      </w:r>
      <w:r w:rsidR="00BD1647">
        <w:rPr>
          <w:rFonts w:ascii="Arial" w:hAnsi="Arial" w:cs="Arial"/>
          <w:noProof/>
          <w:lang w:val="mn-MN"/>
        </w:rPr>
        <w:t>У</w:t>
      </w:r>
      <w:r w:rsidRPr="0014655E">
        <w:rPr>
          <w:rFonts w:ascii="Arial" w:hAnsi="Arial" w:cs="Arial"/>
          <w:noProof/>
          <w:lang w:val="mn-MN"/>
        </w:rPr>
        <w:t xml:space="preserve">лсын эдийн засгийн аюулгүй байдлыг хангах зорилготой. </w:t>
      </w:r>
    </w:p>
    <w:p w14:paraId="58CE8A75" w14:textId="77777777" w:rsidR="00BD1647" w:rsidRDefault="00BD1647" w:rsidP="008B33E8">
      <w:pPr>
        <w:spacing w:after="0" w:line="240" w:lineRule="auto"/>
        <w:ind w:firstLine="720"/>
        <w:jc w:val="both"/>
        <w:rPr>
          <w:rFonts w:ascii="Arial" w:hAnsi="Arial" w:cs="Arial"/>
          <w:noProof/>
          <w:lang w:val="mn-MN"/>
        </w:rPr>
      </w:pPr>
    </w:p>
    <w:p w14:paraId="6125A563" w14:textId="77777777" w:rsidR="00BD1647" w:rsidRDefault="00073583" w:rsidP="008B33E8">
      <w:pPr>
        <w:spacing w:after="0" w:line="240" w:lineRule="auto"/>
        <w:ind w:firstLine="720"/>
        <w:jc w:val="both"/>
        <w:rPr>
          <w:rFonts w:ascii="Arial" w:hAnsi="Arial" w:cs="Arial"/>
          <w:noProof/>
          <w:lang w:val="mn-MN"/>
        </w:rPr>
      </w:pPr>
      <w:r w:rsidRPr="0014655E">
        <w:rPr>
          <w:rFonts w:ascii="Arial" w:hAnsi="Arial" w:cs="Arial"/>
          <w:noProof/>
          <w:lang w:val="mn-MN"/>
        </w:rPr>
        <w:t>Үүнтэй холбоотойгоор төр, хувийн хэвшил болон иргэдэд үүсэх зардлыг төрөл тус бүрээр тооцоолсноор, төрийн байгууллагын хувьд хуул</w:t>
      </w:r>
      <w:r w:rsidR="00BD1647">
        <w:rPr>
          <w:rFonts w:ascii="Arial" w:hAnsi="Arial" w:cs="Arial"/>
          <w:noProof/>
          <w:lang w:val="mn-MN"/>
        </w:rPr>
        <w:t>ийн</w:t>
      </w:r>
      <w:r w:rsidRPr="0014655E">
        <w:rPr>
          <w:rFonts w:ascii="Arial" w:hAnsi="Arial" w:cs="Arial"/>
          <w:noProof/>
          <w:lang w:val="mn-MN"/>
        </w:rPr>
        <w:t xml:space="preserve"> хэрэгж</w:t>
      </w:r>
      <w:r w:rsidR="00BD1647">
        <w:rPr>
          <w:rFonts w:ascii="Arial" w:hAnsi="Arial" w:cs="Arial"/>
          <w:noProof/>
          <w:lang w:val="mn-MN"/>
        </w:rPr>
        <w:t>и</w:t>
      </w:r>
      <w:r w:rsidRPr="0014655E">
        <w:rPr>
          <w:rFonts w:ascii="Arial" w:hAnsi="Arial" w:cs="Arial"/>
          <w:noProof/>
          <w:lang w:val="mn-MN"/>
        </w:rPr>
        <w:t>лтийг хангах, мэдээллийн нэгдсэн систем болон хяналт-шинжилгээ хийх, сургалт зохион байгуулах, ил тод байдал, эрсдэлийн “буфер” сан бүрдүүлэх зэрэг зардл</w:t>
      </w:r>
      <w:r w:rsidR="00BD1647">
        <w:rPr>
          <w:rFonts w:ascii="Arial" w:hAnsi="Arial" w:cs="Arial"/>
          <w:noProof/>
          <w:lang w:val="mn-MN"/>
        </w:rPr>
        <w:t>ы</w:t>
      </w:r>
      <w:r w:rsidRPr="0014655E">
        <w:rPr>
          <w:rFonts w:ascii="Arial" w:hAnsi="Arial" w:cs="Arial"/>
          <w:noProof/>
          <w:lang w:val="mn-MN"/>
        </w:rPr>
        <w:t xml:space="preserve">г </w:t>
      </w:r>
      <w:r w:rsidR="00BD1647">
        <w:rPr>
          <w:rFonts w:ascii="Arial" w:hAnsi="Arial" w:cs="Arial"/>
          <w:noProof/>
          <w:lang w:val="mn-MN"/>
        </w:rPr>
        <w:t xml:space="preserve">          </w:t>
      </w:r>
      <w:r w:rsidRPr="0014655E">
        <w:rPr>
          <w:rFonts w:ascii="Arial" w:hAnsi="Arial" w:cs="Arial"/>
          <w:noProof/>
          <w:lang w:val="mn-MN"/>
        </w:rPr>
        <w:t>2025</w:t>
      </w:r>
      <w:r w:rsidR="00BD1647">
        <w:rPr>
          <w:rFonts w:ascii="Arial" w:hAnsi="Arial" w:cs="Arial"/>
          <w:noProof/>
          <w:lang w:val="mn-MN"/>
        </w:rPr>
        <w:t>-</w:t>
      </w:r>
      <w:r w:rsidRPr="0014655E">
        <w:rPr>
          <w:rFonts w:ascii="Arial" w:hAnsi="Arial" w:cs="Arial"/>
          <w:noProof/>
          <w:lang w:val="mn-MN"/>
        </w:rPr>
        <w:t>20</w:t>
      </w:r>
      <w:r w:rsidR="009D766D" w:rsidRPr="0014655E">
        <w:rPr>
          <w:rFonts w:ascii="Arial" w:hAnsi="Arial" w:cs="Arial"/>
          <w:noProof/>
          <w:lang w:val="mn-MN"/>
        </w:rPr>
        <w:t>30</w:t>
      </w:r>
      <w:r w:rsidRPr="0014655E">
        <w:rPr>
          <w:rFonts w:ascii="Arial" w:hAnsi="Arial" w:cs="Arial"/>
          <w:noProof/>
          <w:lang w:val="mn-MN"/>
        </w:rPr>
        <w:t xml:space="preserve"> онд үе шаттайгаар улсын төсөв, Монголбанк болон олон улсын эх үүсвэрээр санхүүжүүлэх боломжтой гэж үзсэн. </w:t>
      </w:r>
    </w:p>
    <w:p w14:paraId="41EC12F3" w14:textId="77777777" w:rsidR="00BD1647" w:rsidRDefault="00BD1647" w:rsidP="008B33E8">
      <w:pPr>
        <w:spacing w:after="0" w:line="240" w:lineRule="auto"/>
        <w:ind w:firstLine="720"/>
        <w:jc w:val="both"/>
        <w:rPr>
          <w:rFonts w:ascii="Arial" w:hAnsi="Arial" w:cs="Arial"/>
          <w:noProof/>
          <w:lang w:val="mn-MN"/>
        </w:rPr>
      </w:pPr>
    </w:p>
    <w:p w14:paraId="71FA58FB" w14:textId="77777777" w:rsidR="0035506C" w:rsidRDefault="00073583" w:rsidP="008B33E8">
      <w:pPr>
        <w:spacing w:after="0" w:line="240" w:lineRule="auto"/>
        <w:ind w:firstLine="720"/>
        <w:jc w:val="both"/>
        <w:rPr>
          <w:rFonts w:ascii="Arial" w:hAnsi="Arial" w:cs="Arial"/>
          <w:noProof/>
          <w:lang w:val="mn-MN"/>
        </w:rPr>
      </w:pPr>
      <w:r w:rsidRPr="0014655E">
        <w:rPr>
          <w:rFonts w:ascii="Arial" w:hAnsi="Arial" w:cs="Arial"/>
          <w:noProof/>
          <w:lang w:val="mn-MN"/>
        </w:rPr>
        <w:t>Мөн хуулийн этгээдэд 30</w:t>
      </w:r>
      <w:r w:rsidR="009A350B">
        <w:rPr>
          <w:rFonts w:ascii="Arial" w:hAnsi="Arial" w:cs="Arial"/>
          <w:noProof/>
          <w:lang w:val="mn-MN"/>
        </w:rPr>
        <w:t>-</w:t>
      </w:r>
      <w:r w:rsidRPr="0014655E">
        <w:rPr>
          <w:rFonts w:ascii="Arial" w:hAnsi="Arial" w:cs="Arial"/>
          <w:noProof/>
          <w:lang w:val="mn-MN"/>
        </w:rPr>
        <w:t xml:space="preserve">45 хоногийн шатахууны нөөц бүрдүүлэх хөрөнгө оруулалт, мэдээллийн системд холбогдох техникийн зардал, стандарт, чанар, аюулгүй ажиллагааны шинэчлэл, сургалт, аудит, даатгалын зардал, зээлийн хүүгийн зардал зэрэг нь урт хугацаанд хангамжийн тогтвортой байдал, чанарын сайжруулалт, санхүүгийн сахилга бий болгох хөрөнгө оруулалтын шинжтэй гэж үзсэн. </w:t>
      </w:r>
    </w:p>
    <w:p w14:paraId="77D82E32" w14:textId="77777777" w:rsidR="0035506C" w:rsidRDefault="0035506C" w:rsidP="008B33E8">
      <w:pPr>
        <w:spacing w:after="0" w:line="240" w:lineRule="auto"/>
        <w:ind w:firstLine="720"/>
        <w:jc w:val="both"/>
        <w:rPr>
          <w:rFonts w:ascii="Arial" w:hAnsi="Arial" w:cs="Arial"/>
          <w:noProof/>
          <w:lang w:val="mn-MN"/>
        </w:rPr>
      </w:pPr>
    </w:p>
    <w:p w14:paraId="13192095" w14:textId="63E7B6BD" w:rsidR="00073583" w:rsidRPr="0014655E" w:rsidRDefault="00073583" w:rsidP="008B33E8">
      <w:pPr>
        <w:spacing w:after="0" w:line="240" w:lineRule="auto"/>
        <w:ind w:firstLine="720"/>
        <w:jc w:val="both"/>
        <w:rPr>
          <w:rFonts w:ascii="Arial" w:hAnsi="Arial" w:cs="Arial"/>
          <w:noProof/>
          <w:lang w:val="mn-MN"/>
        </w:rPr>
      </w:pPr>
      <w:r w:rsidRPr="0014655E">
        <w:rPr>
          <w:rFonts w:ascii="Arial" w:hAnsi="Arial" w:cs="Arial"/>
          <w:noProof/>
          <w:lang w:val="mn-MN"/>
        </w:rPr>
        <w:t>Үүнээс гадна иргэдэд үүсэх нөлөө нь шууд мөнгөн дарамт бага боловч шатахууны үнийн тогтвортой байдал, хомсдол гарах эрсдэл буурах, эдийн засгийн тогтворт</w:t>
      </w:r>
      <w:r w:rsidR="0035506C">
        <w:rPr>
          <w:rFonts w:ascii="Arial" w:hAnsi="Arial" w:cs="Arial"/>
          <w:noProof/>
          <w:lang w:val="mn-MN"/>
        </w:rPr>
        <w:t>ой байдал</w:t>
      </w:r>
      <w:r w:rsidRPr="0014655E">
        <w:rPr>
          <w:rFonts w:ascii="Arial" w:hAnsi="Arial" w:cs="Arial"/>
          <w:noProof/>
          <w:lang w:val="mn-MN"/>
        </w:rPr>
        <w:t xml:space="preserve"> нэмэгдэх эерэг үр нөлөөтэй гэж үзсэн.</w:t>
      </w:r>
    </w:p>
    <w:p w14:paraId="492A7F00" w14:textId="77777777" w:rsidR="00121DB1" w:rsidRPr="0014655E" w:rsidRDefault="00121DB1" w:rsidP="008B33E8">
      <w:pPr>
        <w:spacing w:after="0" w:line="240" w:lineRule="auto"/>
        <w:ind w:firstLine="720"/>
        <w:jc w:val="both"/>
        <w:rPr>
          <w:rFonts w:ascii="Arial" w:hAnsi="Arial" w:cs="Arial"/>
          <w:noProof/>
          <w:lang w:val="mn-MN"/>
        </w:rPr>
      </w:pPr>
    </w:p>
    <w:p w14:paraId="7F5F731D" w14:textId="03E66F8E" w:rsidR="0035506C" w:rsidRDefault="00073583" w:rsidP="008B33E8">
      <w:pPr>
        <w:spacing w:after="0" w:line="240" w:lineRule="auto"/>
        <w:ind w:firstLine="720"/>
        <w:jc w:val="both"/>
        <w:rPr>
          <w:rFonts w:ascii="Arial" w:hAnsi="Arial" w:cs="Arial"/>
          <w:noProof/>
          <w:lang w:val="mn-MN"/>
        </w:rPr>
      </w:pPr>
      <w:r w:rsidRPr="0014655E">
        <w:rPr>
          <w:rFonts w:ascii="Arial" w:hAnsi="Arial" w:cs="Arial"/>
          <w:noProof/>
          <w:lang w:val="mn-MN"/>
        </w:rPr>
        <w:t>Хуулийг хэрэгжүүлснээр шатахууны хангамжийн тасалдал 60</w:t>
      </w:r>
      <w:r w:rsidR="0035506C">
        <w:rPr>
          <w:rFonts w:ascii="Arial" w:hAnsi="Arial" w:cs="Arial"/>
          <w:noProof/>
          <w:lang w:val="mn-MN"/>
        </w:rPr>
        <w:t>-</w:t>
      </w:r>
      <w:r w:rsidRPr="0014655E">
        <w:rPr>
          <w:rFonts w:ascii="Arial" w:hAnsi="Arial" w:cs="Arial"/>
          <w:noProof/>
          <w:lang w:val="mn-MN"/>
        </w:rPr>
        <w:t>70 хувь буур</w:t>
      </w:r>
      <w:r w:rsidR="0035506C">
        <w:rPr>
          <w:rFonts w:ascii="Arial" w:hAnsi="Arial" w:cs="Arial"/>
          <w:noProof/>
          <w:lang w:val="mn-MN"/>
        </w:rPr>
        <w:t>ч</w:t>
      </w:r>
      <w:r w:rsidRPr="0014655E">
        <w:rPr>
          <w:rFonts w:ascii="Arial" w:hAnsi="Arial" w:cs="Arial"/>
          <w:noProof/>
          <w:lang w:val="mn-MN"/>
        </w:rPr>
        <w:t>, шатахууны нөөцийн хоног 30-аас 45 хоног хүртэл нэмэгдэ</w:t>
      </w:r>
      <w:r w:rsidR="0035506C">
        <w:rPr>
          <w:rFonts w:ascii="Arial" w:hAnsi="Arial" w:cs="Arial"/>
          <w:noProof/>
          <w:lang w:val="mn-MN"/>
        </w:rPr>
        <w:t>ж</w:t>
      </w:r>
      <w:r w:rsidRPr="0014655E">
        <w:rPr>
          <w:rFonts w:ascii="Arial" w:hAnsi="Arial" w:cs="Arial"/>
          <w:noProof/>
          <w:lang w:val="mn-MN"/>
        </w:rPr>
        <w:t>, санхүүжилтийн дэмжлэгээр аж ахуйн нэгжүүдийн дарамт, үнийн хэлбэлзэл, нийлүүлэлтийн эрсдэл бодитой буурч, иргэдийн амьжиргаанд эерэг нөлөө үзүүлнэ.</w:t>
      </w:r>
    </w:p>
    <w:p w14:paraId="471CCCE9" w14:textId="77777777" w:rsidR="0035506C" w:rsidRDefault="0035506C" w:rsidP="008B33E8">
      <w:pPr>
        <w:spacing w:after="0" w:line="240" w:lineRule="auto"/>
        <w:ind w:firstLine="720"/>
        <w:jc w:val="both"/>
        <w:rPr>
          <w:rFonts w:ascii="Arial" w:hAnsi="Arial" w:cs="Arial"/>
          <w:noProof/>
          <w:lang w:val="mn-MN"/>
        </w:rPr>
      </w:pPr>
    </w:p>
    <w:p w14:paraId="46039FAA" w14:textId="0BD00A03" w:rsidR="00073583" w:rsidRPr="0014655E" w:rsidRDefault="00073583" w:rsidP="008B33E8">
      <w:pPr>
        <w:spacing w:after="0" w:line="240" w:lineRule="auto"/>
        <w:ind w:firstLine="720"/>
        <w:jc w:val="both"/>
        <w:rPr>
          <w:rFonts w:ascii="Arial" w:hAnsi="Arial" w:cs="Arial"/>
          <w:noProof/>
          <w:lang w:val="mn-MN"/>
        </w:rPr>
      </w:pPr>
      <w:r w:rsidRPr="0014655E">
        <w:rPr>
          <w:rFonts w:ascii="Arial" w:hAnsi="Arial" w:cs="Arial"/>
          <w:noProof/>
          <w:lang w:val="mn-MN"/>
        </w:rPr>
        <w:t>Өөрөөр хэлбэл энэхүү хуулийн хэрэгжилт нь тодорхой хэмжээний эхний хөрөнгө оруулалт шаардах ч дунд болон урт хугацаанд эдийн засгийн аюулгүй байдлыг хангах, шатахууны хангамжийн тогтвортой байдлыг бий болгох стратегийн ач холбогдолтой төсөл гэж дүгнэсэн.</w:t>
      </w:r>
    </w:p>
    <w:p w14:paraId="3A94B5F0" w14:textId="77777777" w:rsidR="00283F6B" w:rsidRDefault="00283F6B" w:rsidP="008B33E8">
      <w:pPr>
        <w:spacing w:after="0" w:line="240" w:lineRule="auto"/>
        <w:ind w:firstLine="720"/>
        <w:jc w:val="both"/>
        <w:rPr>
          <w:rFonts w:ascii="Arial" w:hAnsi="Arial" w:cs="Arial"/>
          <w:b/>
          <w:bCs/>
          <w:noProof/>
          <w:lang w:val="mn-MN"/>
        </w:rPr>
      </w:pPr>
    </w:p>
    <w:p w14:paraId="4E2EF92B" w14:textId="77777777" w:rsidR="0014655E" w:rsidRDefault="0014655E" w:rsidP="008B33E8">
      <w:pPr>
        <w:spacing w:after="0" w:line="240" w:lineRule="auto"/>
        <w:ind w:firstLine="720"/>
        <w:jc w:val="both"/>
        <w:rPr>
          <w:rFonts w:ascii="Arial" w:hAnsi="Arial" w:cs="Arial"/>
          <w:b/>
          <w:bCs/>
          <w:noProof/>
          <w:lang w:val="mn-MN"/>
        </w:rPr>
      </w:pPr>
    </w:p>
    <w:p w14:paraId="27EA8A2B" w14:textId="77777777" w:rsidR="0014655E" w:rsidRDefault="0014655E" w:rsidP="008B33E8">
      <w:pPr>
        <w:spacing w:after="0" w:line="240" w:lineRule="auto"/>
        <w:ind w:firstLine="720"/>
        <w:jc w:val="both"/>
        <w:rPr>
          <w:rFonts w:ascii="Arial" w:hAnsi="Arial" w:cs="Arial"/>
          <w:b/>
          <w:bCs/>
          <w:noProof/>
          <w:lang w:val="mn-MN"/>
        </w:rPr>
      </w:pPr>
    </w:p>
    <w:p w14:paraId="03EB1D95" w14:textId="77777777" w:rsidR="0035506C" w:rsidRDefault="0035506C" w:rsidP="008B33E8">
      <w:pPr>
        <w:spacing w:after="0" w:line="240" w:lineRule="auto"/>
        <w:ind w:firstLine="720"/>
        <w:jc w:val="both"/>
        <w:rPr>
          <w:rFonts w:ascii="Arial" w:hAnsi="Arial" w:cs="Arial"/>
          <w:b/>
          <w:bCs/>
          <w:noProof/>
          <w:lang w:val="mn-MN"/>
        </w:rPr>
      </w:pPr>
    </w:p>
    <w:p w14:paraId="3FE140DB" w14:textId="77777777" w:rsidR="0014655E" w:rsidRDefault="0014655E" w:rsidP="008B33E8">
      <w:pPr>
        <w:spacing w:after="0" w:line="240" w:lineRule="auto"/>
        <w:ind w:firstLine="720"/>
        <w:jc w:val="both"/>
        <w:rPr>
          <w:rFonts w:ascii="Arial" w:hAnsi="Arial" w:cs="Arial"/>
          <w:b/>
          <w:bCs/>
          <w:noProof/>
          <w:lang w:val="mn-MN"/>
        </w:rPr>
      </w:pPr>
    </w:p>
    <w:p w14:paraId="74255143" w14:textId="567D0F7A" w:rsidR="0014655E" w:rsidRPr="0014655E" w:rsidRDefault="0014655E" w:rsidP="0014655E">
      <w:pPr>
        <w:spacing w:after="0" w:line="240" w:lineRule="auto"/>
        <w:ind w:firstLine="720"/>
        <w:jc w:val="center"/>
        <w:rPr>
          <w:rFonts w:ascii="Arial" w:hAnsi="Arial" w:cs="Arial"/>
          <w:noProof/>
          <w:lang w:val="mn-MN"/>
        </w:rPr>
      </w:pPr>
      <w:r w:rsidRPr="0014655E">
        <w:rPr>
          <w:rFonts w:ascii="Arial" w:hAnsi="Arial" w:cs="Arial"/>
          <w:noProof/>
          <w:lang w:val="mn-MN"/>
        </w:rPr>
        <w:t>---оОо---</w:t>
      </w:r>
    </w:p>
    <w:sectPr w:rsidR="0014655E" w:rsidRPr="0014655E" w:rsidSect="008B33E8">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5pt;height:11.55pt" o:bullet="t">
        <v:imagedata r:id="rId1" o:title="mso90CB"/>
      </v:shape>
    </w:pict>
  </w:numPicBullet>
  <w:abstractNum w:abstractNumId="0" w15:restartNumberingAfterBreak="0">
    <w:nsid w:val="02260833"/>
    <w:multiLevelType w:val="multilevel"/>
    <w:tmpl w:val="57C6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23E6"/>
    <w:multiLevelType w:val="hybridMultilevel"/>
    <w:tmpl w:val="D0A031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96B13"/>
    <w:multiLevelType w:val="multilevel"/>
    <w:tmpl w:val="76EE1F7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37E00"/>
    <w:multiLevelType w:val="hybridMultilevel"/>
    <w:tmpl w:val="E2A6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92423"/>
    <w:multiLevelType w:val="hybridMultilevel"/>
    <w:tmpl w:val="3AEA7A7A"/>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ED4219"/>
    <w:multiLevelType w:val="multilevel"/>
    <w:tmpl w:val="FC6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252FC"/>
    <w:multiLevelType w:val="hybridMultilevel"/>
    <w:tmpl w:val="A636CF48"/>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802B3"/>
    <w:multiLevelType w:val="hybridMultilevel"/>
    <w:tmpl w:val="7ACE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5619D"/>
    <w:multiLevelType w:val="hybridMultilevel"/>
    <w:tmpl w:val="E3CC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E3223"/>
    <w:multiLevelType w:val="multilevel"/>
    <w:tmpl w:val="445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B2572"/>
    <w:multiLevelType w:val="multilevel"/>
    <w:tmpl w:val="61C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E5CC2"/>
    <w:multiLevelType w:val="hybridMultilevel"/>
    <w:tmpl w:val="1B4A24E8"/>
    <w:lvl w:ilvl="0" w:tplc="E2847C72">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C6F1E"/>
    <w:multiLevelType w:val="multilevel"/>
    <w:tmpl w:val="4E0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23753"/>
    <w:multiLevelType w:val="hybridMultilevel"/>
    <w:tmpl w:val="427C106C"/>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6850"/>
    <w:multiLevelType w:val="multilevel"/>
    <w:tmpl w:val="304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155E8"/>
    <w:multiLevelType w:val="hybridMultilevel"/>
    <w:tmpl w:val="F746F054"/>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011753">
    <w:abstractNumId w:val="8"/>
  </w:num>
  <w:num w:numId="2" w16cid:durableId="82454721">
    <w:abstractNumId w:val="7"/>
  </w:num>
  <w:num w:numId="3" w16cid:durableId="1396011261">
    <w:abstractNumId w:val="13"/>
  </w:num>
  <w:num w:numId="4" w16cid:durableId="112942225">
    <w:abstractNumId w:val="15"/>
  </w:num>
  <w:num w:numId="5" w16cid:durableId="1658267695">
    <w:abstractNumId w:val="6"/>
  </w:num>
  <w:num w:numId="6" w16cid:durableId="1640844123">
    <w:abstractNumId w:val="4"/>
  </w:num>
  <w:num w:numId="7" w16cid:durableId="1772237656">
    <w:abstractNumId w:val="11"/>
  </w:num>
  <w:num w:numId="8" w16cid:durableId="2050184431">
    <w:abstractNumId w:val="9"/>
  </w:num>
  <w:num w:numId="9" w16cid:durableId="45225568">
    <w:abstractNumId w:val="1"/>
  </w:num>
  <w:num w:numId="10" w16cid:durableId="535972754">
    <w:abstractNumId w:val="3"/>
  </w:num>
  <w:num w:numId="11" w16cid:durableId="821695107">
    <w:abstractNumId w:val="5"/>
  </w:num>
  <w:num w:numId="12" w16cid:durableId="1531526784">
    <w:abstractNumId w:val="0"/>
  </w:num>
  <w:num w:numId="13" w16cid:durableId="1517770598">
    <w:abstractNumId w:val="10"/>
  </w:num>
  <w:num w:numId="14" w16cid:durableId="566261115">
    <w:abstractNumId w:val="12"/>
  </w:num>
  <w:num w:numId="15" w16cid:durableId="1158768732">
    <w:abstractNumId w:val="14"/>
  </w:num>
  <w:num w:numId="16" w16cid:durableId="20829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B9"/>
    <w:rsid w:val="00073583"/>
    <w:rsid w:val="000A379C"/>
    <w:rsid w:val="000C091E"/>
    <w:rsid w:val="00121DB1"/>
    <w:rsid w:val="0013020E"/>
    <w:rsid w:val="0014655E"/>
    <w:rsid w:val="0018421F"/>
    <w:rsid w:val="001E2A69"/>
    <w:rsid w:val="0020390C"/>
    <w:rsid w:val="002425A3"/>
    <w:rsid w:val="002576B3"/>
    <w:rsid w:val="00272F17"/>
    <w:rsid w:val="00283F6B"/>
    <w:rsid w:val="002B40DB"/>
    <w:rsid w:val="0035506C"/>
    <w:rsid w:val="00391B13"/>
    <w:rsid w:val="00406C6D"/>
    <w:rsid w:val="00415BF0"/>
    <w:rsid w:val="0043073A"/>
    <w:rsid w:val="00444FF6"/>
    <w:rsid w:val="00463C46"/>
    <w:rsid w:val="004D6475"/>
    <w:rsid w:val="004F1337"/>
    <w:rsid w:val="00521B16"/>
    <w:rsid w:val="005732EA"/>
    <w:rsid w:val="00574EEA"/>
    <w:rsid w:val="00587C3E"/>
    <w:rsid w:val="005B0D85"/>
    <w:rsid w:val="006A39E8"/>
    <w:rsid w:val="006F5606"/>
    <w:rsid w:val="00742BFF"/>
    <w:rsid w:val="007C662C"/>
    <w:rsid w:val="00887D56"/>
    <w:rsid w:val="00891FE9"/>
    <w:rsid w:val="008B33E8"/>
    <w:rsid w:val="008C3044"/>
    <w:rsid w:val="009613CA"/>
    <w:rsid w:val="009A350B"/>
    <w:rsid w:val="009D766D"/>
    <w:rsid w:val="00A14F91"/>
    <w:rsid w:val="00A35411"/>
    <w:rsid w:val="00A61217"/>
    <w:rsid w:val="00B25FE1"/>
    <w:rsid w:val="00B66058"/>
    <w:rsid w:val="00BD1647"/>
    <w:rsid w:val="00BE17AA"/>
    <w:rsid w:val="00C07FBB"/>
    <w:rsid w:val="00C8768E"/>
    <w:rsid w:val="00CA191D"/>
    <w:rsid w:val="00CA301F"/>
    <w:rsid w:val="00CF190D"/>
    <w:rsid w:val="00D13585"/>
    <w:rsid w:val="00D6389F"/>
    <w:rsid w:val="00D96F1E"/>
    <w:rsid w:val="00DE3A52"/>
    <w:rsid w:val="00E2511A"/>
    <w:rsid w:val="00E66AB9"/>
    <w:rsid w:val="00E96868"/>
    <w:rsid w:val="00EA1204"/>
    <w:rsid w:val="00EB65CA"/>
    <w:rsid w:val="00F029D1"/>
    <w:rsid w:val="00F13ADF"/>
    <w:rsid w:val="00F61A6F"/>
    <w:rsid w:val="00F74410"/>
    <w:rsid w:val="00FC3962"/>
    <w:rsid w:val="00FE4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22E1"/>
  <w15:chartTrackingRefBased/>
  <w15:docId w15:val="{3EDEBDC2-3D33-4D00-AE1E-CF1C70BB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13"/>
    <w:pPr>
      <w:spacing w:line="278" w:lineRule="auto"/>
    </w:pPr>
    <w:rPr>
      <w:sz w:val="24"/>
      <w:szCs w:val="24"/>
    </w:rPr>
  </w:style>
  <w:style w:type="paragraph" w:styleId="Heading1">
    <w:name w:val="heading 1"/>
    <w:basedOn w:val="Normal"/>
    <w:link w:val="Heading1Char"/>
    <w:uiPriority w:val="9"/>
    <w:qFormat/>
    <w:rsid w:val="00C8768E"/>
    <w:pPr>
      <w:widowControl w:val="0"/>
      <w:autoSpaceDE w:val="0"/>
      <w:autoSpaceDN w:val="0"/>
      <w:spacing w:before="1" w:after="0" w:line="240" w:lineRule="auto"/>
      <w:ind w:left="720"/>
      <w:jc w:val="both"/>
      <w:outlineLvl w:val="0"/>
    </w:pPr>
    <w:rPr>
      <w:rFonts w:ascii="Arial" w:eastAsia="Arial" w:hAnsi="Arial" w:cs="Arial"/>
      <w:b/>
      <w:bCs/>
      <w:kern w:val="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13"/>
    <w:pPr>
      <w:ind w:left="720"/>
      <w:contextualSpacing/>
    </w:pPr>
  </w:style>
  <w:style w:type="table" w:styleId="TableGrid">
    <w:name w:val="Table Grid"/>
    <w:basedOn w:val="TableNormal"/>
    <w:uiPriority w:val="39"/>
    <w:rsid w:val="00FC3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6868"/>
    <w:rPr>
      <w:b/>
      <w:bCs/>
    </w:rPr>
  </w:style>
  <w:style w:type="paragraph" w:styleId="NormalWeb">
    <w:name w:val="Normal (Web)"/>
    <w:basedOn w:val="Normal"/>
    <w:uiPriority w:val="99"/>
    <w:semiHidden/>
    <w:unhideWhenUsed/>
    <w:rsid w:val="00E96868"/>
    <w:pPr>
      <w:spacing w:before="100" w:beforeAutospacing="1" w:after="100" w:afterAutospacing="1" w:line="240" w:lineRule="auto"/>
    </w:pPr>
    <w:rPr>
      <w:rFonts w:ascii="Times New Roman" w:eastAsia="Times New Roman" w:hAnsi="Times New Roman" w:cs="Times New Roman"/>
      <w:kern w:val="0"/>
      <w:lang w:eastAsia="zh-CN"/>
    </w:rPr>
  </w:style>
  <w:style w:type="character" w:customStyle="1" w:styleId="Heading1Char">
    <w:name w:val="Heading 1 Char"/>
    <w:basedOn w:val="DefaultParagraphFont"/>
    <w:link w:val="Heading1"/>
    <w:uiPriority w:val="9"/>
    <w:rsid w:val="00C8768E"/>
    <w:rPr>
      <w:rFonts w:ascii="Arial" w:eastAsia="Arial" w:hAnsi="Arial" w:cs="Arial"/>
      <w:b/>
      <w:bCs/>
      <w:kern w:val="0"/>
      <w:sz w:val="24"/>
      <w:szCs w:val="24"/>
      <w:lang w:val="ru-RU"/>
    </w:rPr>
  </w:style>
  <w:style w:type="paragraph" w:styleId="BodyText">
    <w:name w:val="Body Text"/>
    <w:basedOn w:val="Normal"/>
    <w:link w:val="BodyTextChar"/>
    <w:uiPriority w:val="1"/>
    <w:qFormat/>
    <w:rsid w:val="00C8768E"/>
    <w:pPr>
      <w:widowControl w:val="0"/>
      <w:autoSpaceDE w:val="0"/>
      <w:autoSpaceDN w:val="0"/>
      <w:spacing w:after="0" w:line="240" w:lineRule="auto"/>
    </w:pPr>
    <w:rPr>
      <w:rFonts w:ascii="Arial" w:eastAsia="Arial" w:hAnsi="Arial" w:cs="Arial"/>
      <w:kern w:val="0"/>
      <w:lang w:val="ru-RU"/>
    </w:rPr>
  </w:style>
  <w:style w:type="character" w:customStyle="1" w:styleId="BodyTextChar">
    <w:name w:val="Body Text Char"/>
    <w:basedOn w:val="DefaultParagraphFont"/>
    <w:link w:val="BodyText"/>
    <w:uiPriority w:val="1"/>
    <w:rsid w:val="00C8768E"/>
    <w:rPr>
      <w:rFonts w:ascii="Arial" w:eastAsia="Arial" w:hAnsi="Arial" w:cs="Arial"/>
      <w:kern w:val="0"/>
      <w:sz w:val="24"/>
      <w:szCs w:val="24"/>
      <w:lang w:val="ru-RU"/>
    </w:rPr>
  </w:style>
  <w:style w:type="paragraph" w:customStyle="1" w:styleId="TableParagraph">
    <w:name w:val="Table Paragraph"/>
    <w:basedOn w:val="Normal"/>
    <w:uiPriority w:val="1"/>
    <w:qFormat/>
    <w:rsid w:val="00C8768E"/>
    <w:pPr>
      <w:widowControl w:val="0"/>
      <w:autoSpaceDE w:val="0"/>
      <w:autoSpaceDN w:val="0"/>
      <w:spacing w:after="0" w:line="240" w:lineRule="auto"/>
    </w:pPr>
    <w:rPr>
      <w:rFonts w:ascii="Arial" w:eastAsia="Arial" w:hAnsi="Arial" w:cs="Arial"/>
      <w:kern w:val="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263">
      <w:bodyDiv w:val="1"/>
      <w:marLeft w:val="0"/>
      <w:marRight w:val="0"/>
      <w:marTop w:val="0"/>
      <w:marBottom w:val="0"/>
      <w:divBdr>
        <w:top w:val="none" w:sz="0" w:space="0" w:color="auto"/>
        <w:left w:val="none" w:sz="0" w:space="0" w:color="auto"/>
        <w:bottom w:val="none" w:sz="0" w:space="0" w:color="auto"/>
        <w:right w:val="none" w:sz="0" w:space="0" w:color="auto"/>
      </w:divBdr>
    </w:div>
    <w:div w:id="64425142">
      <w:bodyDiv w:val="1"/>
      <w:marLeft w:val="0"/>
      <w:marRight w:val="0"/>
      <w:marTop w:val="0"/>
      <w:marBottom w:val="0"/>
      <w:divBdr>
        <w:top w:val="none" w:sz="0" w:space="0" w:color="auto"/>
        <w:left w:val="none" w:sz="0" w:space="0" w:color="auto"/>
        <w:bottom w:val="none" w:sz="0" w:space="0" w:color="auto"/>
        <w:right w:val="none" w:sz="0" w:space="0" w:color="auto"/>
      </w:divBdr>
    </w:div>
    <w:div w:id="766458843">
      <w:bodyDiv w:val="1"/>
      <w:marLeft w:val="0"/>
      <w:marRight w:val="0"/>
      <w:marTop w:val="0"/>
      <w:marBottom w:val="0"/>
      <w:divBdr>
        <w:top w:val="none" w:sz="0" w:space="0" w:color="auto"/>
        <w:left w:val="none" w:sz="0" w:space="0" w:color="auto"/>
        <w:bottom w:val="none" w:sz="0" w:space="0" w:color="auto"/>
        <w:right w:val="none" w:sz="0" w:space="0" w:color="auto"/>
      </w:divBdr>
    </w:div>
    <w:div w:id="770592817">
      <w:bodyDiv w:val="1"/>
      <w:marLeft w:val="0"/>
      <w:marRight w:val="0"/>
      <w:marTop w:val="0"/>
      <w:marBottom w:val="0"/>
      <w:divBdr>
        <w:top w:val="none" w:sz="0" w:space="0" w:color="auto"/>
        <w:left w:val="none" w:sz="0" w:space="0" w:color="auto"/>
        <w:bottom w:val="none" w:sz="0" w:space="0" w:color="auto"/>
        <w:right w:val="none" w:sz="0" w:space="0" w:color="auto"/>
      </w:divBdr>
    </w:div>
    <w:div w:id="770973903">
      <w:bodyDiv w:val="1"/>
      <w:marLeft w:val="0"/>
      <w:marRight w:val="0"/>
      <w:marTop w:val="0"/>
      <w:marBottom w:val="0"/>
      <w:divBdr>
        <w:top w:val="none" w:sz="0" w:space="0" w:color="auto"/>
        <w:left w:val="none" w:sz="0" w:space="0" w:color="auto"/>
        <w:bottom w:val="none" w:sz="0" w:space="0" w:color="auto"/>
        <w:right w:val="none" w:sz="0" w:space="0" w:color="auto"/>
      </w:divBdr>
    </w:div>
    <w:div w:id="810437788">
      <w:bodyDiv w:val="1"/>
      <w:marLeft w:val="0"/>
      <w:marRight w:val="0"/>
      <w:marTop w:val="0"/>
      <w:marBottom w:val="0"/>
      <w:divBdr>
        <w:top w:val="none" w:sz="0" w:space="0" w:color="auto"/>
        <w:left w:val="none" w:sz="0" w:space="0" w:color="auto"/>
        <w:bottom w:val="none" w:sz="0" w:space="0" w:color="auto"/>
        <w:right w:val="none" w:sz="0" w:space="0" w:color="auto"/>
      </w:divBdr>
    </w:div>
    <w:div w:id="928197768">
      <w:bodyDiv w:val="1"/>
      <w:marLeft w:val="0"/>
      <w:marRight w:val="0"/>
      <w:marTop w:val="0"/>
      <w:marBottom w:val="0"/>
      <w:divBdr>
        <w:top w:val="none" w:sz="0" w:space="0" w:color="auto"/>
        <w:left w:val="none" w:sz="0" w:space="0" w:color="auto"/>
        <w:bottom w:val="none" w:sz="0" w:space="0" w:color="auto"/>
        <w:right w:val="none" w:sz="0" w:space="0" w:color="auto"/>
      </w:divBdr>
    </w:div>
    <w:div w:id="1040546159">
      <w:bodyDiv w:val="1"/>
      <w:marLeft w:val="0"/>
      <w:marRight w:val="0"/>
      <w:marTop w:val="0"/>
      <w:marBottom w:val="0"/>
      <w:divBdr>
        <w:top w:val="none" w:sz="0" w:space="0" w:color="auto"/>
        <w:left w:val="none" w:sz="0" w:space="0" w:color="auto"/>
        <w:bottom w:val="none" w:sz="0" w:space="0" w:color="auto"/>
        <w:right w:val="none" w:sz="0" w:space="0" w:color="auto"/>
      </w:divBdr>
    </w:div>
    <w:div w:id="1147822801">
      <w:bodyDiv w:val="1"/>
      <w:marLeft w:val="0"/>
      <w:marRight w:val="0"/>
      <w:marTop w:val="0"/>
      <w:marBottom w:val="0"/>
      <w:divBdr>
        <w:top w:val="none" w:sz="0" w:space="0" w:color="auto"/>
        <w:left w:val="none" w:sz="0" w:space="0" w:color="auto"/>
        <w:bottom w:val="none" w:sz="0" w:space="0" w:color="auto"/>
        <w:right w:val="none" w:sz="0" w:space="0" w:color="auto"/>
      </w:divBdr>
    </w:div>
    <w:div w:id="1295603052">
      <w:bodyDiv w:val="1"/>
      <w:marLeft w:val="0"/>
      <w:marRight w:val="0"/>
      <w:marTop w:val="0"/>
      <w:marBottom w:val="0"/>
      <w:divBdr>
        <w:top w:val="none" w:sz="0" w:space="0" w:color="auto"/>
        <w:left w:val="none" w:sz="0" w:space="0" w:color="auto"/>
        <w:bottom w:val="none" w:sz="0" w:space="0" w:color="auto"/>
        <w:right w:val="none" w:sz="0" w:space="0" w:color="auto"/>
      </w:divBdr>
    </w:div>
    <w:div w:id="1309047451">
      <w:bodyDiv w:val="1"/>
      <w:marLeft w:val="0"/>
      <w:marRight w:val="0"/>
      <w:marTop w:val="0"/>
      <w:marBottom w:val="0"/>
      <w:divBdr>
        <w:top w:val="none" w:sz="0" w:space="0" w:color="auto"/>
        <w:left w:val="none" w:sz="0" w:space="0" w:color="auto"/>
        <w:bottom w:val="none" w:sz="0" w:space="0" w:color="auto"/>
        <w:right w:val="none" w:sz="0" w:space="0" w:color="auto"/>
      </w:divBdr>
    </w:div>
    <w:div w:id="1309506882">
      <w:bodyDiv w:val="1"/>
      <w:marLeft w:val="0"/>
      <w:marRight w:val="0"/>
      <w:marTop w:val="0"/>
      <w:marBottom w:val="0"/>
      <w:divBdr>
        <w:top w:val="none" w:sz="0" w:space="0" w:color="auto"/>
        <w:left w:val="none" w:sz="0" w:space="0" w:color="auto"/>
        <w:bottom w:val="none" w:sz="0" w:space="0" w:color="auto"/>
        <w:right w:val="none" w:sz="0" w:space="0" w:color="auto"/>
      </w:divBdr>
    </w:div>
    <w:div w:id="1414009697">
      <w:bodyDiv w:val="1"/>
      <w:marLeft w:val="0"/>
      <w:marRight w:val="0"/>
      <w:marTop w:val="0"/>
      <w:marBottom w:val="0"/>
      <w:divBdr>
        <w:top w:val="none" w:sz="0" w:space="0" w:color="auto"/>
        <w:left w:val="none" w:sz="0" w:space="0" w:color="auto"/>
        <w:bottom w:val="none" w:sz="0" w:space="0" w:color="auto"/>
        <w:right w:val="none" w:sz="0" w:space="0" w:color="auto"/>
      </w:divBdr>
    </w:div>
    <w:div w:id="1804152903">
      <w:bodyDiv w:val="1"/>
      <w:marLeft w:val="0"/>
      <w:marRight w:val="0"/>
      <w:marTop w:val="0"/>
      <w:marBottom w:val="0"/>
      <w:divBdr>
        <w:top w:val="none" w:sz="0" w:space="0" w:color="auto"/>
        <w:left w:val="none" w:sz="0" w:space="0" w:color="auto"/>
        <w:bottom w:val="none" w:sz="0" w:space="0" w:color="auto"/>
        <w:right w:val="none" w:sz="0" w:space="0" w:color="auto"/>
      </w:divBdr>
    </w:div>
    <w:div w:id="2005669962">
      <w:bodyDiv w:val="1"/>
      <w:marLeft w:val="0"/>
      <w:marRight w:val="0"/>
      <w:marTop w:val="0"/>
      <w:marBottom w:val="0"/>
      <w:divBdr>
        <w:top w:val="none" w:sz="0" w:space="0" w:color="auto"/>
        <w:left w:val="none" w:sz="0" w:space="0" w:color="auto"/>
        <w:bottom w:val="none" w:sz="0" w:space="0" w:color="auto"/>
        <w:right w:val="none" w:sz="0" w:space="0" w:color="auto"/>
      </w:divBdr>
    </w:div>
    <w:div w:id="207280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Tsend-Auysh Ms. Davaasuren</dc:creator>
  <cp:keywords/>
  <dc:description/>
  <cp:lastModifiedBy>Д.Балжинням</cp:lastModifiedBy>
  <cp:revision>15</cp:revision>
  <dcterms:created xsi:type="dcterms:W3CDTF">2025-11-02T13:51:00Z</dcterms:created>
  <dcterms:modified xsi:type="dcterms:W3CDTF">2025-11-17T03:30:00Z</dcterms:modified>
</cp:coreProperties>
</file>