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B8073">
      <w:pPr>
        <w:spacing w:after="0" w:line="240" w:lineRule="auto"/>
        <w:contextualSpacing/>
        <w:rPr>
          <w:rFonts w:hint="default" w:ascii="Arial" w:hAnsi="Arial" w:cs="Arial"/>
          <w:cs/>
          <w:lang w:val="mn-MN"/>
        </w:rPr>
      </w:pPr>
      <w:r>
        <w:rPr>
          <w:rFonts w:ascii="Arial" w:hAnsi="Arial" w:cs="Arial"/>
          <w:cs/>
          <w:lang w:val="mn-MN"/>
        </w:rPr>
        <w:t>БАТЛАВ</w:t>
      </w:r>
      <w:r>
        <w:rPr>
          <w:rFonts w:hint="default" w:ascii="Arial" w:hAnsi="Arial" w:cs="Arial"/>
          <w:cs/>
          <w:lang w:val="mn-MN"/>
        </w:rPr>
        <w:t>.</w:t>
      </w:r>
    </w:p>
    <w:p w14:paraId="43F933CD">
      <w:pPr>
        <w:spacing w:after="0" w:line="240" w:lineRule="auto"/>
        <w:contextualSpacing/>
        <w:rPr>
          <w:rFonts w:hint="default" w:ascii="Arial" w:hAnsi="Arial" w:cs="Arial"/>
          <w:cs/>
          <w:lang w:val="mn-MN"/>
        </w:rPr>
      </w:pPr>
      <w:r>
        <w:rPr>
          <w:rFonts w:hint="default" w:ascii="Arial" w:hAnsi="Arial" w:cs="Arial"/>
          <w:cs/>
          <w:lang w:val="mn-MN"/>
        </w:rPr>
        <w:t>УЛСЫН ИХ ХУРЛЫН ГИШҮҮН</w:t>
      </w:r>
    </w:p>
    <w:p w14:paraId="77399048">
      <w:pPr>
        <w:spacing w:after="0" w:line="240" w:lineRule="auto"/>
        <w:contextualSpacing/>
        <w:rPr>
          <w:rFonts w:hint="default" w:ascii="Arial" w:hAnsi="Arial" w:cs="Arial"/>
          <w:cs/>
          <w:lang w:val="mn-MN"/>
        </w:rPr>
      </w:pPr>
      <w:r>
        <w:rPr>
          <w:rFonts w:hint="default" w:ascii="Arial" w:hAnsi="Arial" w:cs="Arial"/>
          <w:cs/>
          <w:lang w:val="mn-MN"/>
        </w:rPr>
        <w:t>П.МӨНХТУЛГА</w:t>
      </w:r>
    </w:p>
    <w:p w14:paraId="21BB91F2">
      <w:pPr>
        <w:spacing w:after="0" w:line="240" w:lineRule="auto"/>
        <w:contextualSpacing/>
        <w:jc w:val="center"/>
        <w:rPr>
          <w:rStyle w:val="9"/>
          <w:rFonts w:ascii="Arial" w:hAnsi="Arial" w:cs="Arial"/>
          <w:b/>
          <w:bCs/>
          <w:color w:val="000000"/>
          <w:lang w:val="mn-MN" w:eastAsia="mn-MN"/>
        </w:rPr>
      </w:pPr>
    </w:p>
    <w:p w14:paraId="141D36F3">
      <w:pPr>
        <w:spacing w:after="0" w:line="240" w:lineRule="auto"/>
        <w:contextualSpacing/>
        <w:jc w:val="center"/>
        <w:rPr>
          <w:rStyle w:val="9"/>
          <w:rFonts w:ascii="Arial" w:hAnsi="Arial" w:cs="Arial"/>
          <w:b/>
          <w:bCs/>
          <w:color w:val="000000"/>
          <w:lang w:val="mn-MN" w:eastAsia="mn-MN"/>
        </w:rPr>
      </w:pPr>
      <w:bookmarkStart w:id="0" w:name="_GoBack"/>
      <w:bookmarkEnd w:id="0"/>
    </w:p>
    <w:p w14:paraId="71B2F135">
      <w:pPr>
        <w:spacing w:after="0" w:line="240" w:lineRule="auto"/>
        <w:contextualSpacing/>
        <w:jc w:val="center"/>
        <w:rPr>
          <w:rStyle w:val="9"/>
          <w:rFonts w:ascii="Arial" w:hAnsi="Arial" w:cs="Arial"/>
          <w:b/>
          <w:bCs/>
          <w:color w:val="000000"/>
          <w:lang w:val="mn-MN" w:eastAsia="mn-MN"/>
        </w:rPr>
      </w:pPr>
    </w:p>
    <w:p w14:paraId="36F5D0B3">
      <w:pPr>
        <w:spacing w:after="0" w:line="240" w:lineRule="auto"/>
        <w:contextualSpacing/>
        <w:jc w:val="center"/>
        <w:rPr>
          <w:rStyle w:val="9"/>
          <w:rFonts w:ascii="Arial" w:hAnsi="Arial" w:cs="Arial"/>
          <w:b/>
          <w:bCs/>
          <w:color w:val="000000"/>
          <w:lang w:val="mn-MN" w:eastAsia="mn-MN"/>
        </w:rPr>
      </w:pPr>
    </w:p>
    <w:p w14:paraId="6AFA6749">
      <w:pPr>
        <w:spacing w:after="0" w:line="240" w:lineRule="auto"/>
        <w:ind w:firstLine="360" w:firstLineChars="150"/>
        <w:contextualSpacing/>
        <w:jc w:val="both"/>
        <w:rPr>
          <w:rStyle w:val="9"/>
          <w:rFonts w:ascii="Arial" w:hAnsi="Arial" w:cs="Arial"/>
          <w:b/>
          <w:bCs/>
          <w:color w:val="000000"/>
          <w:sz w:val="24"/>
          <w:szCs w:val="24"/>
          <w:lang w:val="mn-MN" w:eastAsia="mn-MN"/>
        </w:rPr>
      </w:pPr>
      <w:r>
        <w:rPr>
          <w:rStyle w:val="9"/>
          <w:rFonts w:ascii="Arial" w:hAnsi="Arial" w:cs="Arial"/>
          <w:b/>
          <w:bCs/>
          <w:color w:val="000000"/>
          <w:sz w:val="24"/>
          <w:szCs w:val="24"/>
          <w:lang w:val="mn-MN" w:eastAsia="mn-MN"/>
        </w:rPr>
        <w:t xml:space="preserve">БАНКНЫ ТУХАЙ ХУУЛЬД НЭМЭЛТ, ӨӨРЧЛӨЛТ ОРУУЛАХ ТУХАЙ ХУУЛИЙН </w:t>
      </w:r>
    </w:p>
    <w:p w14:paraId="23593DC1">
      <w:pPr>
        <w:spacing w:after="0" w:line="240" w:lineRule="auto"/>
        <w:contextualSpacing/>
        <w:jc w:val="center"/>
        <w:rPr>
          <w:rFonts w:ascii="Arial" w:hAnsi="Arial" w:cs="Arial"/>
          <w:b/>
          <w:bCs/>
          <w:lang w:val="mn-MN"/>
        </w:rPr>
      </w:pPr>
      <w:r>
        <w:rPr>
          <w:rStyle w:val="9"/>
          <w:rFonts w:ascii="Arial" w:hAnsi="Arial" w:cs="Arial"/>
          <w:b/>
          <w:bCs/>
          <w:color w:val="000000"/>
          <w:sz w:val="24"/>
          <w:szCs w:val="24"/>
          <w:lang w:val="mn-MN" w:eastAsia="mn-MN"/>
        </w:rPr>
        <w:t>ТӨСЛИЙН ҮЗЭЛ БАРИМТЛАЛ</w:t>
      </w:r>
    </w:p>
    <w:p w14:paraId="31A2CDAF">
      <w:pPr>
        <w:spacing w:after="0" w:line="240" w:lineRule="auto"/>
        <w:contextualSpacing/>
        <w:rPr>
          <w:rFonts w:ascii="Arial" w:hAnsi="Arial" w:cs="Arial"/>
          <w:lang w:val="mn-MN"/>
        </w:rPr>
      </w:pPr>
    </w:p>
    <w:p w14:paraId="4DB991BC">
      <w:pPr>
        <w:spacing w:after="0" w:line="240" w:lineRule="auto"/>
        <w:ind w:firstLine="720"/>
        <w:contextualSpacing/>
        <w:jc w:val="both"/>
        <w:rPr>
          <w:rStyle w:val="9"/>
          <w:rFonts w:ascii="Arial" w:hAnsi="Arial" w:cs="Arial"/>
          <w:b/>
          <w:color w:val="000000"/>
          <w:sz w:val="24"/>
          <w:szCs w:val="24"/>
          <w:lang w:val="mn-MN" w:eastAsia="mn-MN"/>
        </w:rPr>
      </w:pPr>
      <w:r>
        <w:rPr>
          <w:rStyle w:val="9"/>
          <w:rFonts w:ascii="Arial" w:hAnsi="Arial" w:cs="Arial"/>
          <w:b/>
          <w:color w:val="000000"/>
          <w:sz w:val="24"/>
          <w:szCs w:val="24"/>
          <w:lang w:val="mn-MN" w:eastAsia="mn-MN"/>
        </w:rPr>
        <w:t>Нэг.Хуулийн төсөл боловсруулах үндэслэл, шаардлага</w:t>
      </w:r>
    </w:p>
    <w:p w14:paraId="6318A6FF">
      <w:pPr>
        <w:spacing w:after="0" w:line="240" w:lineRule="auto"/>
        <w:contextualSpacing/>
        <w:jc w:val="both"/>
        <w:rPr>
          <w:rStyle w:val="9"/>
          <w:rFonts w:ascii="Arial" w:hAnsi="Arial" w:cs="Arial"/>
          <w:b/>
          <w:color w:val="000000"/>
          <w:sz w:val="24"/>
          <w:szCs w:val="24"/>
          <w:lang w:val="mn-MN" w:eastAsia="mn-MN"/>
        </w:rPr>
      </w:pPr>
    </w:p>
    <w:p w14:paraId="43CB6C56">
      <w:pPr>
        <w:spacing w:after="0" w:line="240" w:lineRule="auto"/>
        <w:contextualSpacing/>
        <w:jc w:val="both"/>
        <w:rPr>
          <w:rStyle w:val="9"/>
          <w:rFonts w:ascii="Arial" w:hAnsi="Arial" w:cs="Arial"/>
          <w:bCs/>
          <w:color w:val="000000"/>
          <w:sz w:val="24"/>
          <w:szCs w:val="24"/>
          <w:lang w:val="mn-MN" w:eastAsia="mn-MN"/>
        </w:rPr>
      </w:pPr>
      <w:r>
        <w:rPr>
          <w:rStyle w:val="9"/>
          <w:rFonts w:ascii="Arial" w:hAnsi="Arial" w:cs="Arial"/>
          <w:bCs/>
          <w:color w:val="000000"/>
          <w:sz w:val="24"/>
          <w:szCs w:val="24"/>
          <w:lang w:val="mn-MN" w:eastAsia="mn-MN"/>
        </w:rPr>
        <w:tab/>
      </w:r>
      <w:r>
        <w:rPr>
          <w:rStyle w:val="9"/>
          <w:rFonts w:ascii="Arial" w:hAnsi="Arial" w:cs="Arial"/>
          <w:bCs/>
          <w:color w:val="000000"/>
          <w:sz w:val="24"/>
          <w:szCs w:val="24"/>
          <w:lang w:val="mn-MN" w:eastAsia="mn-MN"/>
        </w:rPr>
        <w:t>Нийгмийн даатгалын сангаас олгох тэтгэврийн тухай хуульд нэмэлт, өөрчлөлт оруулах тухай хуулийн төслийг боловсруулах дараах хууль зүйн үндэслэл болон практик шаардлага байна. Үүнд:</w:t>
      </w:r>
    </w:p>
    <w:p w14:paraId="6E080810">
      <w:pPr>
        <w:spacing w:after="0" w:line="240" w:lineRule="auto"/>
        <w:contextualSpacing/>
        <w:jc w:val="both"/>
        <w:rPr>
          <w:rFonts w:ascii="Arial" w:hAnsi="Arial" w:cs="Arial"/>
          <w:lang w:val="mn-MN"/>
        </w:rPr>
      </w:pPr>
    </w:p>
    <w:p w14:paraId="452A5270">
      <w:pPr>
        <w:pStyle w:val="6"/>
        <w:spacing w:after="0" w:line="240" w:lineRule="auto"/>
        <w:jc w:val="both"/>
        <w:rPr>
          <w:rFonts w:ascii="Arial" w:hAnsi="Arial" w:cs="Arial"/>
          <w:b/>
          <w:color w:val="000000"/>
          <w:kern w:val="0"/>
          <w:lang w:val="mn-MN"/>
        </w:rPr>
      </w:pPr>
      <w:r>
        <w:rPr>
          <w:rFonts w:ascii="Arial" w:hAnsi="Arial" w:eastAsia="Times New Roman" w:cs="Arial"/>
          <w:b/>
          <w:bCs/>
          <w:color w:val="000000"/>
          <w:kern w:val="0"/>
          <w:lang w:val="mn-MN"/>
        </w:rPr>
        <w:t>1.1.</w:t>
      </w:r>
      <w:r>
        <w:rPr>
          <w:rFonts w:ascii="Arial" w:hAnsi="Arial" w:cs="Arial"/>
          <w:b/>
          <w:color w:val="000000"/>
          <w:kern w:val="0"/>
          <w:lang w:val="mn-MN"/>
        </w:rPr>
        <w:t xml:space="preserve">Хууль зүйн </w:t>
      </w:r>
      <w:r>
        <w:rPr>
          <w:rFonts w:ascii="Arial" w:hAnsi="Arial" w:eastAsia="Times New Roman" w:cs="Arial"/>
          <w:b/>
          <w:bCs/>
          <w:color w:val="000000"/>
          <w:kern w:val="0"/>
          <w:lang w:val="mn-MN"/>
        </w:rPr>
        <w:t xml:space="preserve">үндэслэл, </w:t>
      </w:r>
      <w:r>
        <w:rPr>
          <w:rFonts w:ascii="Arial" w:hAnsi="Arial" w:cs="Arial"/>
          <w:b/>
          <w:color w:val="000000"/>
          <w:kern w:val="0"/>
          <w:lang w:val="mn-MN"/>
        </w:rPr>
        <w:t>шаардлага</w:t>
      </w:r>
      <w:r>
        <w:rPr>
          <w:rFonts w:ascii="Arial" w:hAnsi="Arial" w:eastAsia="Times New Roman" w:cs="Arial"/>
          <w:b/>
          <w:bCs/>
          <w:color w:val="000000"/>
          <w:kern w:val="0"/>
          <w:lang w:val="mn-MN"/>
        </w:rPr>
        <w:t> </w:t>
      </w:r>
    </w:p>
    <w:p w14:paraId="03A959A6">
      <w:pPr>
        <w:pStyle w:val="6"/>
        <w:spacing w:after="0" w:line="240" w:lineRule="auto"/>
        <w:jc w:val="both"/>
        <w:rPr>
          <w:rFonts w:ascii="Arial" w:hAnsi="Arial" w:eastAsia="MS Gothic" w:cs="Arial"/>
          <w:b/>
          <w:lang w:val="mn-MN" w:eastAsia="zh-CN"/>
        </w:rPr>
      </w:pPr>
    </w:p>
    <w:p w14:paraId="12E0E94F">
      <w:pPr>
        <w:spacing w:after="0" w:line="240" w:lineRule="auto"/>
        <w:ind w:firstLine="720"/>
        <w:contextualSpacing/>
        <w:jc w:val="both"/>
        <w:rPr>
          <w:rFonts w:ascii="Arial" w:hAnsi="Arial" w:cs="Arial"/>
          <w:lang w:val="mn-MN"/>
        </w:rPr>
      </w:pPr>
      <w:r>
        <w:rPr>
          <w:rFonts w:ascii="Arial" w:hAnsi="Arial" w:cs="Arial"/>
          <w:lang w:val="mn-MN"/>
        </w:rPr>
        <w:t>Монгол Улсын Их Хурлын 2020 оны 52 дугаар тогтоолын 1 дүгээр хавсралтаар баталсан ““Алсын хараа-2050” Монгол Улсын урт хугацааны хөгжлийн бодлого”-ын 3.1-д “</w:t>
      </w:r>
      <w:r>
        <w:rPr>
          <w:rFonts w:ascii="Arial" w:hAnsi="Arial" w:cs="Arial"/>
          <w:shd w:val="clear" w:color="auto" w:fill="FFFFFF"/>
        </w:rPr>
        <w:t>Нийгмийн халамжийн тусламж, үйлчилгээг өрх, иргэдийн эрэлт, хэрэгцээ, шаардлагад нийцүүлэн хөгжүүлн</w:t>
      </w:r>
      <w:r>
        <w:rPr>
          <w:rFonts w:ascii="Arial" w:hAnsi="Arial" w:cs="Arial"/>
          <w:shd w:val="clear" w:color="auto" w:fill="FFFFFF"/>
          <w:lang w:val="mn-MN"/>
        </w:rPr>
        <w:t xml:space="preserve">э” гэж тодорхой </w:t>
      </w:r>
      <w:r>
        <w:rPr>
          <w:rFonts w:ascii="Arial" w:hAnsi="Arial" w:cs="Arial"/>
          <w:lang w:val="mn-MN"/>
        </w:rPr>
        <w:t>арга хэмжээнүүдийг хэрэгжүүлэхээр заажээ.</w:t>
      </w:r>
    </w:p>
    <w:p w14:paraId="5963316C">
      <w:pPr>
        <w:spacing w:after="0" w:line="240" w:lineRule="auto"/>
        <w:ind w:firstLine="720"/>
        <w:contextualSpacing/>
        <w:jc w:val="both"/>
        <w:rPr>
          <w:rFonts w:ascii="Arial" w:hAnsi="Arial" w:cs="Arial"/>
          <w:lang w:val="mn-MN"/>
        </w:rPr>
      </w:pPr>
    </w:p>
    <w:p w14:paraId="4D6BDF24">
      <w:pPr>
        <w:spacing w:after="0" w:line="240" w:lineRule="auto"/>
        <w:ind w:firstLine="720"/>
        <w:contextualSpacing/>
        <w:jc w:val="both"/>
        <w:rPr>
          <w:rFonts w:ascii="Arial" w:hAnsi="Arial" w:cs="Arial"/>
          <w:lang w:val="mn-MN"/>
        </w:rPr>
      </w:pPr>
      <w:r>
        <w:rPr>
          <w:rFonts w:ascii="Arial" w:hAnsi="Arial" w:cs="Arial"/>
          <w:lang w:val="mn-MN"/>
        </w:rPr>
        <w:t xml:space="preserve">Мөн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3.1.18-д” Ахмад </w:t>
      </w:r>
      <w:r>
        <w:rPr>
          <w:rFonts w:ascii="Arial" w:hAnsi="Arial" w:cs="Arial"/>
          <w:shd w:val="clear" w:color="auto" w:fill="FFFFFF"/>
        </w:rPr>
        <w:t>настан, хөгжлийн бэрхшээлтэй хүнд үзүүлэх урт хугацааны тусламж үйлчилгээний нэгдсэн, цогц тогтолцоог бүрдүүлнэ</w:t>
      </w:r>
      <w:r>
        <w:rPr>
          <w:rFonts w:ascii="Arial" w:hAnsi="Arial" w:cs="Arial"/>
          <w:shd w:val="clear" w:color="auto" w:fill="FFFFFF"/>
          <w:lang w:val="mn-MN"/>
        </w:rPr>
        <w:t xml:space="preserve">” гэж </w:t>
      </w:r>
      <w:r>
        <w:rPr>
          <w:rFonts w:ascii="Arial" w:hAnsi="Arial" w:cs="Arial"/>
          <w:lang w:val="mn-MN"/>
        </w:rPr>
        <w:t>тус тус заасан байна.</w:t>
      </w:r>
    </w:p>
    <w:p w14:paraId="47A99838">
      <w:pPr>
        <w:spacing w:after="0" w:line="240" w:lineRule="auto"/>
        <w:contextualSpacing/>
        <w:jc w:val="both"/>
        <w:rPr>
          <w:rFonts w:ascii="Arial" w:hAnsi="Arial" w:cs="Arial"/>
          <w:sz w:val="18"/>
          <w:szCs w:val="18"/>
          <w:lang w:val="mn-MN"/>
        </w:rPr>
      </w:pPr>
    </w:p>
    <w:p w14:paraId="042AB4C6">
      <w:pPr>
        <w:ind w:firstLine="720"/>
        <w:jc w:val="both"/>
        <w:rPr>
          <w:rFonts w:ascii="Arial" w:hAnsi="Arial" w:cs="Arial" w:eastAsiaTheme="minorHAnsi"/>
          <w:kern w:val="0"/>
          <w:shd w:val="clear" w:color="auto" w:fill="FFFFFF"/>
          <w:lang w:val="mn-MN"/>
        </w:rPr>
      </w:pPr>
      <w:r>
        <w:rPr>
          <w:rFonts w:ascii="Arial" w:hAnsi="Arial" w:cs="Arial"/>
          <w:lang w:val="mn-MN"/>
        </w:rPr>
        <w:t xml:space="preserve">Мөн </w:t>
      </w:r>
      <w:r>
        <w:rPr>
          <w:rFonts w:ascii="Arial" w:hAnsi="Arial" w:cs="Arial" w:eastAsiaTheme="minorHAnsi"/>
          <w:kern w:val="0"/>
          <w:lang w:val="mn-MN"/>
        </w:rPr>
        <w:t xml:space="preserve">Нийгмийн даатгалын ерөнхий хуулийн 4 дүгээр зүйлийн 4.1.13 дах хэсэгт зааснаар </w:t>
      </w:r>
      <w:r>
        <w:rPr>
          <w:rFonts w:ascii="Arial" w:hAnsi="Arial" w:cs="Arial" w:eastAsiaTheme="minorHAnsi"/>
          <w:b/>
          <w:bCs/>
          <w:kern w:val="0"/>
          <w:lang w:val="mn-MN"/>
        </w:rPr>
        <w:t>“</w:t>
      </w:r>
      <w:r>
        <w:rPr>
          <w:rFonts w:ascii="Arial" w:hAnsi="Arial" w:cs="Arial" w:eastAsiaTheme="minorHAnsi"/>
          <w:b/>
          <w:bCs/>
          <w:kern w:val="0"/>
          <w:shd w:val="clear" w:color="auto" w:fill="FFFFFF"/>
        </w:rPr>
        <w:t>тэтгэвэр"</w:t>
      </w:r>
      <w:r>
        <w:rPr>
          <w:rFonts w:ascii="Arial" w:hAnsi="Arial" w:cs="Arial" w:eastAsiaTheme="minorHAnsi"/>
          <w:kern w:val="0"/>
          <w:shd w:val="clear" w:color="auto" w:fill="FFFFFF"/>
        </w:rPr>
        <w:t xml:space="preserve"> гэж нийгмийн даатгалын хууль тогтоомжид заасны дагуу өндөр насны, хөдөлмөрийн чадвар алдсаны, тэжээгчээ алдсаны тэтгэвэр авах эрх үүссэн даатгуулагч, хүнд сар бүр олгох мөнгөн хөрөнгийг</w:t>
      </w:r>
      <w:r>
        <w:rPr>
          <w:rFonts w:ascii="Arial" w:hAnsi="Arial" w:cs="Arial" w:eastAsiaTheme="minorHAnsi"/>
          <w:kern w:val="0"/>
          <w:shd w:val="clear" w:color="auto" w:fill="FFFFFF"/>
          <w:lang w:val="mn-MN"/>
        </w:rPr>
        <w:t xml:space="preserve"> хэлнэ гэж зааж өгсөн байна.</w:t>
      </w:r>
    </w:p>
    <w:p w14:paraId="7565BA09">
      <w:pPr>
        <w:spacing w:line="259" w:lineRule="auto"/>
        <w:ind w:firstLine="720"/>
        <w:jc w:val="both"/>
        <w:rPr>
          <w:rFonts w:ascii="Arial" w:hAnsi="Arial" w:cs="Arial" w:eastAsiaTheme="minorHAnsi"/>
          <w:kern w:val="0"/>
          <w:shd w:val="clear" w:color="auto" w:fill="FFFFFF"/>
          <w:lang w:val="mn-MN"/>
        </w:rPr>
      </w:pPr>
      <w:r>
        <w:rPr>
          <w:rFonts w:ascii="Arial" w:hAnsi="Arial" w:cs="Arial" w:eastAsiaTheme="minorHAnsi"/>
          <w:kern w:val="0"/>
          <w:lang w:val="mn-MN"/>
        </w:rPr>
        <w:t>“</w:t>
      </w:r>
      <w:r>
        <w:rPr>
          <w:rFonts w:ascii="Arial" w:hAnsi="Arial" w:cs="Arial" w:eastAsiaTheme="minorHAnsi"/>
          <w:kern w:val="0"/>
          <w:shd w:val="clear" w:color="auto" w:fill="FFFFFF"/>
          <w:lang w:val="mn-MN"/>
        </w:rPr>
        <w:t>Н</w:t>
      </w:r>
      <w:r>
        <w:rPr>
          <w:rFonts w:ascii="Arial" w:hAnsi="Arial" w:cs="Arial" w:eastAsiaTheme="minorHAnsi"/>
          <w:kern w:val="0"/>
          <w:shd w:val="clear" w:color="auto" w:fill="FFFFFF"/>
        </w:rPr>
        <w:t>ийгмийн даатгалын сангаас олгох тэтгэврийн тухай</w:t>
      </w:r>
      <w:r>
        <w:rPr>
          <w:rFonts w:ascii="Arial" w:hAnsi="Arial" w:cs="Arial" w:eastAsiaTheme="minorHAnsi"/>
          <w:kern w:val="0"/>
          <w:shd w:val="clear" w:color="auto" w:fill="FFFFFF"/>
          <w:lang w:val="mn-MN"/>
        </w:rPr>
        <w:t>”-ийн 3 дугаар зүйлийн 3.1 дэх хэсэгт зааснаар тэтгэвэрийг :</w:t>
      </w:r>
    </w:p>
    <w:p w14:paraId="5A9EEE9E">
      <w:pPr>
        <w:numPr>
          <w:ilvl w:val="0"/>
          <w:numId w:val="1"/>
        </w:numPr>
        <w:spacing w:line="259" w:lineRule="auto"/>
        <w:contextualSpacing/>
        <w:jc w:val="both"/>
        <w:rPr>
          <w:rFonts w:ascii="Arial" w:hAnsi="Arial" w:cs="Arial" w:eastAsiaTheme="minorHAnsi"/>
          <w:kern w:val="0"/>
          <w:lang w:val="mn-MN"/>
        </w:rPr>
      </w:pPr>
      <w:r>
        <w:rPr>
          <w:rFonts w:ascii="Arial" w:hAnsi="Arial" w:cs="Arial" w:eastAsiaTheme="minorHAnsi"/>
          <w:kern w:val="0"/>
          <w:shd w:val="clear" w:color="auto" w:fill="FFFFFF"/>
        </w:rPr>
        <w:t>өндөр насны;</w:t>
      </w:r>
    </w:p>
    <w:p w14:paraId="1E350D46">
      <w:pPr>
        <w:numPr>
          <w:ilvl w:val="0"/>
          <w:numId w:val="1"/>
        </w:numPr>
        <w:spacing w:line="259" w:lineRule="auto"/>
        <w:contextualSpacing/>
        <w:jc w:val="both"/>
        <w:rPr>
          <w:rFonts w:ascii="Arial" w:hAnsi="Arial" w:cs="Arial" w:eastAsiaTheme="minorHAnsi"/>
          <w:kern w:val="0"/>
          <w:lang w:val="mn-MN"/>
        </w:rPr>
      </w:pPr>
      <w:r>
        <w:rPr>
          <w:rFonts w:ascii="Arial" w:hAnsi="Arial" w:cs="Arial" w:eastAsiaTheme="minorHAnsi"/>
          <w:kern w:val="0"/>
          <w:shd w:val="clear" w:color="auto" w:fill="FFFFFF"/>
        </w:rPr>
        <w:t>хөдөлмөрийн чадвар алдсаны;</w:t>
      </w:r>
    </w:p>
    <w:p w14:paraId="744B0327">
      <w:pPr>
        <w:numPr>
          <w:ilvl w:val="0"/>
          <w:numId w:val="1"/>
        </w:numPr>
        <w:spacing w:line="259" w:lineRule="auto"/>
        <w:contextualSpacing/>
        <w:jc w:val="both"/>
        <w:rPr>
          <w:rFonts w:ascii="Arial" w:hAnsi="Arial" w:cs="Arial" w:eastAsiaTheme="minorHAnsi"/>
          <w:kern w:val="0"/>
          <w:lang w:val="mn-MN"/>
        </w:rPr>
      </w:pPr>
      <w:r>
        <w:rPr>
          <w:rFonts w:ascii="Arial" w:hAnsi="Arial" w:cs="Arial" w:eastAsiaTheme="minorHAnsi"/>
          <w:kern w:val="0"/>
          <w:shd w:val="clear" w:color="auto" w:fill="FFFFFF"/>
        </w:rPr>
        <w:t>тэжээгчээ алдсаны</w:t>
      </w:r>
      <w:r>
        <w:rPr>
          <w:rFonts w:ascii="Arial" w:hAnsi="Arial" w:cs="Arial" w:eastAsiaTheme="minorHAnsi"/>
          <w:kern w:val="0"/>
          <w:shd w:val="clear" w:color="auto" w:fill="FFFFFF"/>
          <w:lang w:val="mn-MN"/>
        </w:rPr>
        <w:t xml:space="preserve"> гэсэн төрлүүдтэй байхаар хуульчилжээ. </w:t>
      </w:r>
    </w:p>
    <w:p w14:paraId="7CC4EF5E">
      <w:pPr>
        <w:spacing w:line="259" w:lineRule="auto"/>
        <w:ind w:firstLine="720"/>
        <w:jc w:val="both"/>
        <w:rPr>
          <w:rFonts w:ascii="Arial" w:hAnsi="Arial" w:cs="Arial" w:eastAsiaTheme="minorHAnsi"/>
          <w:kern w:val="0"/>
          <w:shd w:val="clear" w:color="auto" w:fill="FFFFFF"/>
          <w:lang w:val="mn-MN"/>
        </w:rPr>
      </w:pPr>
      <w:r>
        <w:rPr>
          <w:rFonts w:ascii="Arial" w:hAnsi="Arial" w:cs="Arial" w:eastAsiaTheme="minorHAnsi"/>
          <w:kern w:val="0"/>
          <w:lang w:val="mn-MN"/>
        </w:rPr>
        <w:t>Дээрх тэтгэвэр авагч иргэдийн орлогын эх үүсвэр нь  “Нийгмийн даатгалын сангаас олгох тэтгэврийн тухай хууль”-д заасны дагуу үүсч байгаа билээ. Нэгэнт байнгын тогтвортой орлоготой байх тул “</w:t>
      </w:r>
      <w:r>
        <w:rPr>
          <w:rFonts w:ascii="Arial" w:hAnsi="Arial" w:cs="Arial" w:eastAsiaTheme="minorHAnsi"/>
          <w:kern w:val="0"/>
          <w:shd w:val="clear" w:color="auto" w:fill="FFFFFF"/>
          <w:lang w:val="mn-MN"/>
        </w:rPr>
        <w:t>Б</w:t>
      </w:r>
      <w:r>
        <w:rPr>
          <w:rFonts w:ascii="Arial" w:hAnsi="Arial" w:cs="Arial" w:eastAsiaTheme="minorHAnsi"/>
          <w:kern w:val="0"/>
          <w:shd w:val="clear" w:color="auto" w:fill="FFFFFF"/>
        </w:rPr>
        <w:t>анк, эрх бүхий хуулийн этгээдийн мөнгөн хадгаламж, мөнгөн хөрөнгийн шилжүүлэг, зээлийн үйл ажиллагааны тухай</w:t>
      </w:r>
      <w:r>
        <w:rPr>
          <w:rFonts w:ascii="Arial" w:hAnsi="Arial" w:cs="Arial" w:eastAsiaTheme="minorHAnsi"/>
          <w:kern w:val="0"/>
          <w:shd w:val="clear" w:color="auto" w:fill="FFFFFF"/>
          <w:lang w:val="mn-MN"/>
        </w:rPr>
        <w:t>”</w:t>
      </w:r>
      <w:r>
        <w:rPr>
          <w:rFonts w:ascii="Arial" w:hAnsi="Arial" w:cs="Arial" w:eastAsiaTheme="minorHAnsi"/>
          <w:b/>
          <w:bCs/>
          <w:kern w:val="0"/>
          <w:shd w:val="clear" w:color="auto" w:fill="FFFFFF"/>
          <w:lang w:val="mn-MN"/>
        </w:rPr>
        <w:t xml:space="preserve"> </w:t>
      </w:r>
      <w:r>
        <w:rPr>
          <w:rFonts w:ascii="Arial" w:hAnsi="Arial" w:cs="Arial" w:eastAsiaTheme="minorHAnsi"/>
          <w:kern w:val="0"/>
          <w:shd w:val="clear" w:color="auto" w:fill="FFFFFF"/>
          <w:lang w:val="mn-MN"/>
        </w:rPr>
        <w:t xml:space="preserve">хуулийн 5 дугаар зүйлийн 5.1.1 дэх хэсэг, мөн хуулийн 20 дугаар зүйл, Иргэний хуулийн 451 дүгээр зүйлд тус тус заасны дагуу зээлийн гэрээ байгуулах эрх үүсэж байгаа болно. </w:t>
      </w:r>
    </w:p>
    <w:p w14:paraId="24118169">
      <w:pPr>
        <w:spacing w:line="259" w:lineRule="auto"/>
        <w:ind w:firstLine="720"/>
        <w:jc w:val="both"/>
        <w:rPr>
          <w:rFonts w:ascii="Arial" w:hAnsi="Arial" w:cs="Arial" w:eastAsiaTheme="minorHAnsi"/>
          <w:kern w:val="0"/>
          <w:shd w:val="clear" w:color="auto" w:fill="FFFFFF"/>
          <w:lang w:val="mn-MN"/>
        </w:rPr>
      </w:pPr>
      <w:r>
        <w:rPr>
          <w:rFonts w:ascii="Arial" w:hAnsi="Arial" w:cs="Arial"/>
          <w:color w:val="000000"/>
          <w:shd w:val="clear" w:color="auto" w:fill="FFFFFF"/>
          <w:lang w:val="mn-MN"/>
        </w:rPr>
        <w:t>Тэтгэврийн</w:t>
      </w:r>
      <w:r>
        <w:rPr>
          <w:rFonts w:ascii="Arial" w:hAnsi="Arial" w:cs="Arial"/>
          <w:shd w:val="clear" w:color="auto" w:fill="FFFFFF"/>
          <w:lang w:val="mn-MN"/>
        </w:rPr>
        <w:t xml:space="preserve"> зээлийн гол зорилго нь </w:t>
      </w:r>
      <w:r>
        <w:rPr>
          <w:rFonts w:ascii="Arial" w:hAnsi="Arial" w:cs="Arial"/>
          <w:lang w:val="mn-MN"/>
        </w:rPr>
        <w:t>ө</w:t>
      </w:r>
      <w:r>
        <w:rPr>
          <w:rFonts w:ascii="Arial" w:hAnsi="Arial" w:cs="Arial"/>
        </w:rPr>
        <w:t>ндөр настай иргэдийн нийгмийн баталгааг хангах</w:t>
      </w:r>
      <w:r>
        <w:rPr>
          <w:rFonts w:ascii="Arial" w:hAnsi="Arial" w:cs="Arial"/>
          <w:lang w:val="mn-MN"/>
        </w:rPr>
        <w:t>ад чиглэсэн байдаг билээ. Энэхүү зорилгыг баталгаажуулж хууль тогтоогчийн зүгээс “Ахмад настны тухай хууль”-ийн 8 дугаар зүйлийн 8.3-т “</w:t>
      </w:r>
      <w:r>
        <w:rPr>
          <w:rFonts w:ascii="Arial" w:hAnsi="Arial" w:cs="Arial"/>
          <w:i/>
          <w:iCs/>
          <w:shd w:val="clear" w:color="auto" w:fill="FFFFFF"/>
        </w:rPr>
        <w:t>Ахмад настны орлогын баталгааг хангах зорилгоор тэтгэврийн хэмжээг хүн амын амьжиргааны доод түвшин, хөдөлмөрийн хөлсний доод хэмжээ болон инфляцийн өөрчлөлтийг харгалзан Засгийн газар тухай бүр нэмэгдүүлнэ</w:t>
      </w:r>
      <w:r>
        <w:rPr>
          <w:rFonts w:ascii="Arial" w:hAnsi="Arial" w:cs="Arial"/>
          <w:i/>
          <w:iCs/>
          <w:shd w:val="clear" w:color="auto" w:fill="FFFFFF"/>
          <w:lang w:val="mn-MN"/>
        </w:rPr>
        <w:t xml:space="preserve">” </w:t>
      </w:r>
      <w:r>
        <w:rPr>
          <w:rFonts w:ascii="Arial" w:hAnsi="Arial" w:cs="Arial"/>
          <w:shd w:val="clear" w:color="auto" w:fill="FFFFFF"/>
          <w:lang w:val="mn-MN"/>
        </w:rPr>
        <w:t>гэж хуульчилж өгсөн.</w:t>
      </w:r>
    </w:p>
    <w:p w14:paraId="7B56EF9F">
      <w:pPr>
        <w:spacing w:after="0" w:line="240" w:lineRule="auto"/>
        <w:contextualSpacing/>
        <w:jc w:val="both"/>
        <w:rPr>
          <w:rFonts w:ascii="Arial" w:hAnsi="Arial" w:cs="Arial"/>
          <w:sz w:val="20"/>
          <w:szCs w:val="20"/>
          <w:lang w:val="mn-MN"/>
        </w:rPr>
      </w:pPr>
    </w:p>
    <w:p w14:paraId="51339D5F">
      <w:pPr>
        <w:spacing w:after="0" w:line="240" w:lineRule="auto"/>
        <w:ind w:firstLine="720"/>
        <w:contextualSpacing/>
        <w:jc w:val="both"/>
        <w:rPr>
          <w:rFonts w:ascii="Arial" w:hAnsi="Arial" w:cs="Arial"/>
          <w:lang w:val="mn-MN"/>
        </w:rPr>
      </w:pPr>
      <w:r>
        <w:rPr>
          <w:rFonts w:ascii="Arial" w:hAnsi="Arial" w:cs="Arial"/>
          <w:lang w:val="mn-MN"/>
        </w:rPr>
        <w:t>Иймд дээрх хууль эрх зүйн баримт бичигт тусгасан зорилго, зорилт нь хуулийн төслийг боловсруулах үндэслэл болж байна.</w:t>
      </w:r>
    </w:p>
    <w:p w14:paraId="44293408">
      <w:pPr>
        <w:spacing w:after="0" w:line="240" w:lineRule="auto"/>
        <w:ind w:firstLine="720"/>
        <w:contextualSpacing/>
        <w:jc w:val="both"/>
        <w:rPr>
          <w:rFonts w:ascii="Arial" w:hAnsi="Arial" w:cs="Arial"/>
          <w:sz w:val="20"/>
          <w:szCs w:val="20"/>
          <w:lang w:val="mn-MN"/>
        </w:rPr>
      </w:pPr>
    </w:p>
    <w:p w14:paraId="7BBDEDAB">
      <w:pPr>
        <w:pStyle w:val="6"/>
        <w:spacing w:after="0" w:line="240" w:lineRule="auto"/>
        <w:jc w:val="both"/>
        <w:rPr>
          <w:rFonts w:ascii="Arial" w:hAnsi="Arial" w:eastAsia="MS Gothic" w:cs="Arial"/>
          <w:b/>
          <w:lang w:val="mn-MN" w:eastAsia="zh-CN"/>
        </w:rPr>
      </w:pPr>
      <w:r>
        <w:rPr>
          <w:rFonts w:ascii="Arial" w:hAnsi="Arial" w:eastAsia="MS Gothic" w:cs="Arial"/>
          <w:b/>
          <w:lang w:val="mn-MN" w:eastAsia="zh-CN"/>
        </w:rPr>
        <w:t>1.2.Практик үндэслэл, шаардлага</w:t>
      </w:r>
    </w:p>
    <w:p w14:paraId="4053C65C">
      <w:pPr>
        <w:pStyle w:val="6"/>
        <w:spacing w:after="0" w:line="240" w:lineRule="auto"/>
        <w:jc w:val="both"/>
        <w:rPr>
          <w:rFonts w:ascii="Arial" w:hAnsi="Arial" w:eastAsia="MS Gothic" w:cs="Arial"/>
          <w:b/>
          <w:sz w:val="16"/>
          <w:szCs w:val="16"/>
          <w:lang w:val="mn-MN" w:eastAsia="zh-CN"/>
        </w:rPr>
      </w:pPr>
    </w:p>
    <w:p w14:paraId="68EDA065">
      <w:pPr>
        <w:spacing w:after="0" w:line="240" w:lineRule="auto"/>
        <w:ind w:firstLine="720"/>
        <w:contextualSpacing/>
        <w:jc w:val="both"/>
        <w:rPr>
          <w:rFonts w:ascii="Arial" w:hAnsi="Arial" w:cs="Arial"/>
          <w:lang w:val="mn-MN"/>
        </w:rPr>
      </w:pPr>
      <w:r>
        <w:rPr>
          <w:rFonts w:ascii="Arial" w:hAnsi="Arial" w:cs="Arial"/>
          <w:lang w:val="mn-MN"/>
        </w:rPr>
        <w:t>Манай улс зах 2010 онд банкны туха хууль, 2023 онд “Нийгмийн даатгалын сангаас олгох тэтгэвэрийн тухай хууль”-ийг тус тус  баталаж хэрэгжүү</w:t>
      </w:r>
      <w:r>
        <w:rPr>
          <w:rFonts w:ascii="Arial" w:hAnsi="Arial" w:cs="Arial"/>
          <w:szCs w:val="30"/>
          <w:lang w:val="mn-MN" w:bidi="mn-Mong-CN"/>
        </w:rPr>
        <w:t xml:space="preserve">лээд байгаа билээ.  </w:t>
      </w:r>
    </w:p>
    <w:p w14:paraId="7F2F2EE2">
      <w:pPr>
        <w:spacing w:after="0" w:line="240" w:lineRule="auto"/>
        <w:ind w:firstLine="720"/>
        <w:contextualSpacing/>
        <w:jc w:val="both"/>
        <w:rPr>
          <w:rFonts w:ascii="Arial" w:hAnsi="Arial" w:cs="Arial"/>
          <w:sz w:val="16"/>
          <w:szCs w:val="16"/>
          <w:lang w:val="mn-MN"/>
        </w:rPr>
      </w:pPr>
    </w:p>
    <w:p w14:paraId="4579D92C">
      <w:pPr>
        <w:spacing w:after="0" w:line="240" w:lineRule="auto"/>
        <w:ind w:firstLine="720"/>
        <w:contextualSpacing/>
        <w:jc w:val="both"/>
        <w:rPr>
          <w:rFonts w:ascii="Arial" w:hAnsi="Arial" w:cs="Arial"/>
          <w:sz w:val="16"/>
          <w:szCs w:val="16"/>
          <w:lang w:val="mn-MN"/>
        </w:rPr>
      </w:pPr>
    </w:p>
    <w:p w14:paraId="6E8D56EE">
      <w:pPr>
        <w:spacing w:after="0" w:line="240" w:lineRule="auto"/>
        <w:ind w:firstLine="720"/>
        <w:contextualSpacing/>
        <w:jc w:val="both"/>
        <w:rPr>
          <w:rFonts w:ascii="Arial" w:hAnsi="Arial" w:cs="Arial"/>
          <w:lang w:val="mn-MN"/>
        </w:rPr>
      </w:pPr>
      <w:r>
        <w:rPr>
          <w:rFonts w:ascii="Arial" w:hAnsi="Arial" w:cs="Arial"/>
          <w:lang w:val="mn-MN"/>
        </w:rPr>
        <w:t>Нийгмийн даатгалын санд 2024 онд 5.6 их наяд төгрөгийн орлого төвлөрүүлснээс давхардсан тоогоор 761.9 мянган хүний тэтгэвэр, тэтгэмж, төлбөрт 5.1 их наяд төгрөг зарцуулсан байна.</w:t>
      </w:r>
    </w:p>
    <w:p w14:paraId="3F4CE285">
      <w:pPr>
        <w:spacing w:after="0" w:line="240" w:lineRule="auto"/>
        <w:ind w:firstLine="720"/>
        <w:contextualSpacing/>
        <w:jc w:val="both"/>
        <w:rPr>
          <w:rFonts w:ascii="Arial" w:hAnsi="Arial" w:cs="Arial"/>
          <w:sz w:val="18"/>
          <w:szCs w:val="18"/>
          <w:lang w:val="mn-MN"/>
        </w:rPr>
      </w:pPr>
    </w:p>
    <w:p w14:paraId="4465502F">
      <w:pPr>
        <w:spacing w:after="0" w:line="240" w:lineRule="auto"/>
        <w:ind w:firstLine="720"/>
        <w:contextualSpacing/>
        <w:jc w:val="both"/>
        <w:rPr>
          <w:rFonts w:ascii="Arial" w:hAnsi="Arial" w:cs="Arial"/>
          <w:lang w:val="mn-MN"/>
        </w:rPr>
      </w:pPr>
      <w:r>
        <w:rPr>
          <w:rFonts w:ascii="Arial" w:hAnsi="Arial" w:cs="Arial"/>
          <w:lang w:val="mn-MN"/>
        </w:rPr>
        <w:t xml:space="preserve">Тэтгэврийн тогтолцоо нь санхүүгийн хувьд тогтвортой бөгөөд хүртээмжтэй байх тэнцвэрийг хадгалахын зэрэгцээ ахмад настны амьжиргаанд хүрэлцэхүйц зохистой байх шаардлагыг хангасан байх ёстой. </w:t>
      </w:r>
    </w:p>
    <w:p w14:paraId="7DC1FB6E">
      <w:pPr>
        <w:spacing w:after="0" w:line="240" w:lineRule="auto"/>
        <w:ind w:firstLine="720"/>
        <w:contextualSpacing/>
        <w:jc w:val="both"/>
        <w:rPr>
          <w:rFonts w:ascii="Arial" w:hAnsi="Arial" w:cs="Arial"/>
          <w:sz w:val="18"/>
          <w:szCs w:val="18"/>
          <w:lang w:val="mn-MN"/>
        </w:rPr>
      </w:pPr>
    </w:p>
    <w:p w14:paraId="15D79B6E">
      <w:pPr>
        <w:spacing w:after="0" w:line="240" w:lineRule="auto"/>
        <w:ind w:firstLine="720"/>
        <w:contextualSpacing/>
        <w:jc w:val="both"/>
        <w:rPr>
          <w:rFonts w:ascii="Arial" w:hAnsi="Arial" w:cs="Arial"/>
          <w:lang w:val="mn-MN"/>
        </w:rPr>
      </w:pPr>
      <w:r>
        <w:rPr>
          <w:rFonts w:ascii="Arial" w:hAnsi="Arial" w:cs="Arial"/>
          <w:lang w:val="mn-MN"/>
        </w:rPr>
        <w:t>Манай улсын 60 ба түүнээс дээш насны ахмад настны тоо 2010 байдлаар 5.8 хувь, 2021 оны байдлаар 7.9 хувь, 2024 онд 9.3 хувь байгаа бол 2030 онд 11.9 хувь, 2050 он гэхэд 5 хүн тутмын нэг нь 60 ба түүнээс дээш настай болох тооцоолол байна. Хүн амын дундаж наслалт (0 наснаас тооцоолсон) 2024 онд 71.7 жил болж 2000 оны дундаж наслалттай харьцуулахад 8.6 жилээр өссөн. Харин эрэгтэйчүүдийн дундаж наслалт мөн онтой харьцуулахад 7.5 жилээр нэмэгдэж 67.9 жил, эмэгтэйчүүдийн дундаж наслалт 11.0 жилээр нэмэгдэж 77.1 жил болж жилээс жилд өсөх хандлагатай байна.</w:t>
      </w:r>
    </w:p>
    <w:p w14:paraId="0B72972B">
      <w:pPr>
        <w:spacing w:after="0" w:line="240" w:lineRule="auto"/>
        <w:ind w:firstLine="720"/>
        <w:contextualSpacing/>
        <w:jc w:val="both"/>
        <w:rPr>
          <w:rFonts w:ascii="Arial" w:hAnsi="Arial" w:cs="Arial"/>
          <w:sz w:val="18"/>
          <w:szCs w:val="18"/>
          <w:lang w:val="mn-MN"/>
        </w:rPr>
      </w:pPr>
    </w:p>
    <w:p w14:paraId="461DF5AF">
      <w:pPr>
        <w:spacing w:after="0" w:line="240" w:lineRule="auto"/>
        <w:ind w:firstLine="720"/>
        <w:contextualSpacing/>
        <w:jc w:val="both"/>
        <w:rPr>
          <w:rFonts w:ascii="Arial" w:hAnsi="Arial" w:cs="Arial"/>
          <w:lang w:val="mn-MN"/>
        </w:rPr>
      </w:pPr>
      <w:r>
        <w:rPr>
          <w:rFonts w:ascii="Arial" w:hAnsi="Arial" w:cs="Arial"/>
          <w:lang w:val="mn-MN"/>
        </w:rPr>
        <w:t xml:space="preserve">Дэлхийн банкнаас хийсэн судалгаагаар Монгол Улсад нийгмийн даатгалын сангаас болон цэргийн тэтгэвэр авагч 2024 онд 531.8 мянга байсан бол 2030 онд 605.0 мянга, 2040 онд 728.0 мянга, 2050 онд 1,100.0 мянгад хүрэхээр байна. </w:t>
      </w:r>
    </w:p>
    <w:p w14:paraId="066702BC">
      <w:pPr>
        <w:spacing w:after="0" w:line="240" w:lineRule="auto"/>
        <w:ind w:firstLine="720"/>
        <w:contextualSpacing/>
        <w:jc w:val="both"/>
        <w:rPr>
          <w:rFonts w:ascii="Arial" w:hAnsi="Arial" w:cs="Arial"/>
          <w:sz w:val="18"/>
          <w:szCs w:val="18"/>
          <w:lang w:val="mn-MN"/>
        </w:rPr>
      </w:pPr>
    </w:p>
    <w:p w14:paraId="38E096B4">
      <w:pPr>
        <w:spacing w:after="0" w:line="240" w:lineRule="auto"/>
        <w:ind w:firstLine="720"/>
        <w:contextualSpacing/>
        <w:jc w:val="both"/>
        <w:rPr>
          <w:rFonts w:ascii="Arial" w:hAnsi="Arial" w:cs="Arial"/>
          <w:lang w:val="mn-MN"/>
        </w:rPr>
      </w:pPr>
      <w:r>
        <w:rPr>
          <w:rFonts w:ascii="Arial" w:hAnsi="Arial" w:cs="Arial"/>
          <w:lang w:val="mn-MN"/>
        </w:rPr>
        <w:t>Нэгдсэн Үндэстний Байгууллагаас Монгол Улсын хүн амын хэтийн тооцооллыг 2024 оны байдлаар эмэгтэй хүн 55 наснаас хойш 25 жил, эрэгтэй хүн 60 наснаас хойш 16 жил амьдарч байна гэж тооцсон. Ирээдүйд буюу 2050 онд уг хугацаа эмэгтэй хүний хувьд 28.4 жил, эрэгтэй хүний хувьд 19.6 жил болж өсөхөөр байна.</w:t>
      </w:r>
    </w:p>
    <w:p w14:paraId="1B0237E8">
      <w:pPr>
        <w:spacing w:after="0" w:line="240" w:lineRule="auto"/>
        <w:ind w:firstLine="720"/>
        <w:contextualSpacing/>
        <w:jc w:val="both"/>
        <w:rPr>
          <w:rFonts w:ascii="Arial" w:hAnsi="Arial" w:cs="Arial"/>
          <w:sz w:val="18"/>
          <w:szCs w:val="18"/>
          <w:lang w:val="mn-MN"/>
        </w:rPr>
      </w:pPr>
    </w:p>
    <w:p w14:paraId="3F2781D1">
      <w:pPr>
        <w:spacing w:after="0" w:line="240" w:lineRule="auto"/>
        <w:ind w:firstLine="720"/>
        <w:contextualSpacing/>
        <w:jc w:val="both"/>
        <w:rPr>
          <w:rFonts w:ascii="Arial" w:hAnsi="Arial" w:cs="Arial"/>
          <w:lang w:val="mn-MN"/>
        </w:rPr>
      </w:pPr>
      <w:r>
        <w:rPr>
          <w:rFonts w:ascii="Arial" w:hAnsi="Arial" w:cs="Arial"/>
          <w:lang w:val="mn-MN"/>
        </w:rPr>
        <w:t xml:space="preserve">Монгол Улсын тэтгэврийн даатгалын сангаас 2024 онд 4.4 их наяд төгрөгийг 509.1 мянган тэтгэвэр авагч </w:t>
      </w:r>
      <w:r>
        <w:rPr>
          <w:rFonts w:ascii="Arial" w:hAnsi="Arial" w:cs="Arial"/>
        </w:rPr>
        <w:t>(</w:t>
      </w:r>
      <w:r>
        <w:rPr>
          <w:rFonts w:ascii="Arial" w:hAnsi="Arial" w:cs="Arial"/>
          <w:lang w:val="mn-MN"/>
        </w:rPr>
        <w:t>үүнээс 81 хувь буюу 414.3 мянга нь өндөр насны тэтгэвэр авагч</w:t>
      </w:r>
      <w:r>
        <w:rPr>
          <w:rFonts w:ascii="Arial" w:hAnsi="Arial" w:cs="Arial"/>
        </w:rPr>
        <w:t>)-ийн</w:t>
      </w:r>
      <w:r>
        <w:rPr>
          <w:rFonts w:ascii="Arial" w:hAnsi="Arial" w:cs="Arial"/>
          <w:lang w:val="mn-MN"/>
        </w:rPr>
        <w:t xml:space="preserve"> тэтгэвэрт зарцуулсан. </w:t>
      </w:r>
    </w:p>
    <w:p w14:paraId="69AC1427">
      <w:pPr>
        <w:spacing w:after="0" w:line="240" w:lineRule="auto"/>
        <w:ind w:firstLine="720"/>
        <w:contextualSpacing/>
        <w:jc w:val="both"/>
        <w:rPr>
          <w:rFonts w:ascii="Arial" w:hAnsi="Arial" w:cs="Arial"/>
          <w:sz w:val="18"/>
          <w:szCs w:val="18"/>
          <w:lang w:val="mn-MN"/>
        </w:rPr>
      </w:pPr>
    </w:p>
    <w:p w14:paraId="098E0539">
      <w:pPr>
        <w:spacing w:after="0" w:line="240" w:lineRule="auto"/>
        <w:ind w:firstLine="720"/>
        <w:contextualSpacing/>
        <w:jc w:val="both"/>
        <w:rPr>
          <w:rFonts w:ascii="Arial" w:hAnsi="Arial" w:cs="Arial"/>
        </w:rPr>
      </w:pPr>
      <w:r>
        <w:rPr>
          <w:rFonts w:ascii="Arial" w:hAnsi="Arial" w:cs="Arial"/>
          <w:lang w:val="mn-MN"/>
        </w:rPr>
        <w:t xml:space="preserve">Улсын төсвөөс тэтгэврийн даатгалын санд 2022 онд 840 тэрбум төгрөг, 2023 онд 760 тэрбум, 2024 онд 1.2 их наяд төгрөг олгосон бол 2025 онд 1.45 их наяд төгрөг олгоно. Цаашид 2030 онд 3.7, 2035 онд 5.7 их наяд төгрөгт хүрэх төлөвтэй байна. </w:t>
      </w:r>
      <w:r>
        <w:rPr>
          <w:rFonts w:ascii="Arial" w:hAnsi="Arial" w:cs="Arial"/>
        </w:rPr>
        <w:t>(</w:t>
      </w:r>
      <w:r>
        <w:rPr>
          <w:rFonts w:ascii="Arial" w:hAnsi="Arial" w:cs="Arial"/>
          <w:lang w:val="mn-MN"/>
        </w:rPr>
        <w:t>Үүнд 1995 оноос өмнө тэтгэвэр тогтоолгосон иргэдийн болон цэргийн албан хаагчдын тэтгэврийн зардлыг багтсан болно.</w:t>
      </w:r>
      <w:r>
        <w:rPr>
          <w:rFonts w:ascii="Arial" w:hAnsi="Arial" w:cs="Arial"/>
        </w:rPr>
        <w:t>)</w:t>
      </w:r>
    </w:p>
    <w:p w14:paraId="674E32CC">
      <w:pPr>
        <w:spacing w:after="0" w:line="240" w:lineRule="auto"/>
        <w:contextualSpacing/>
        <w:jc w:val="both"/>
        <w:rPr>
          <w:rFonts w:ascii="Arial" w:hAnsi="Arial" w:cs="Arial"/>
          <w:lang w:val="mn-MN"/>
        </w:rPr>
      </w:pPr>
    </w:p>
    <w:p w14:paraId="4404C10F">
      <w:pPr>
        <w:spacing w:after="0" w:line="240" w:lineRule="auto"/>
        <w:ind w:firstLine="720"/>
        <w:contextualSpacing/>
        <w:jc w:val="both"/>
        <w:rPr>
          <w:rFonts w:ascii="Arial" w:hAnsi="Arial" w:cs="Arial"/>
          <w:shd w:val="clear" w:color="auto" w:fill="FFFFFF"/>
          <w:lang w:val="mn-MN"/>
        </w:rPr>
      </w:pPr>
      <w:r>
        <w:rPr>
          <w:rFonts w:ascii="Arial" w:hAnsi="Arial" w:cs="Arial"/>
          <w:lang w:val="mn-MN"/>
        </w:rPr>
        <w:t>Тэтгэвэр авагчдын 45 орчим хувь нь бүрэн тэтгэврийн доод хэмжээ, 16 орчим хувь нь хувь тэнцүүлсэн тэтгэврийн доод хэмжээ авч байна. Тэтгэврийн доод хэмжээг тэтгэврийн хэмжээтэй зэрэгцүүлэн удаа дараа нэмсэн нь Монгол Улсын Үндсэн хуулийн 19 дүгээр зүйлд “...</w:t>
      </w:r>
      <w:r>
        <w:rPr>
          <w:rFonts w:ascii="Arial" w:hAnsi="Arial" w:cs="Arial"/>
          <w:shd w:val="clear" w:color="auto" w:fill="FFFFFF"/>
        </w:rPr>
        <w:t>Төрөөс хүний эрх, эрх чөлөөг хангахуйц эдийн засаг, нийгэм, хууль зүйн болон бусад баталгааг бүрдүүл</w:t>
      </w:r>
      <w:r>
        <w:rPr>
          <w:rFonts w:ascii="Arial" w:hAnsi="Arial" w:cs="Arial"/>
          <w:shd w:val="clear" w:color="auto" w:fill="FFFFFF"/>
          <w:lang w:val="mn-MN"/>
        </w:rPr>
        <w:t xml:space="preserve">эх...үүргийг иргэнийхээ өмнө хариуцна” гэж зааж өгсөнтэй нийцэж байгаа болно. </w:t>
      </w:r>
    </w:p>
    <w:p w14:paraId="058C4797">
      <w:pPr>
        <w:spacing w:after="0" w:line="240" w:lineRule="auto"/>
        <w:ind w:firstLine="720"/>
        <w:contextualSpacing/>
        <w:jc w:val="both"/>
        <w:rPr>
          <w:rFonts w:ascii="Arial" w:hAnsi="Arial" w:cs="Arial"/>
          <w:lang w:val="mn-MN"/>
        </w:rPr>
      </w:pPr>
      <w:r>
        <w:rPr>
          <w:rFonts w:ascii="Arial" w:hAnsi="Arial" w:cs="Arial"/>
          <w:shd w:val="clear" w:color="auto" w:fill="FFFFFF"/>
          <w:lang w:val="mn-MN"/>
        </w:rPr>
        <w:t xml:space="preserve">Тэтгэвэр авагч иргэд нь амьдралын хэрэгцээ шаардлагаар банкны үйлчилгээ эрхлэгч хуулийн этгээдүүдээс тэтгэвэр барьцаалсан зээл авч байгаа болно. Уг тэтгэвэр барьцаалсан зээлийн хүү нь өндөр байгаа шалтгаан нөхцлийн улмаас тухайн төрлийн харилцаанд оролцогч иргэд нь зээл, зээлийн хүүгийн дарамтад орох нөхцөл байдал үүсч байна. Энэ нь </w:t>
      </w:r>
      <w:r>
        <w:rPr>
          <w:rFonts w:ascii="Arial" w:hAnsi="Arial" w:cs="Arial" w:eastAsiaTheme="minorHAnsi"/>
          <w:kern w:val="0"/>
          <w:lang w:val="mn-MN"/>
        </w:rPr>
        <w:t xml:space="preserve">тэтгэвэр авагч иргэдийн орлогын эх үүсвэр алдагдах нөхцөл шаардлага бий болгож байх тул банкны тухай хуульд нэмэлт өөрчлөлт оруулах зайлшгүй шаардлагыг бий болгож байна. </w:t>
      </w:r>
    </w:p>
    <w:p w14:paraId="0056C3D1">
      <w:pPr>
        <w:spacing w:after="0" w:line="240" w:lineRule="auto"/>
        <w:ind w:firstLine="720"/>
        <w:contextualSpacing/>
        <w:jc w:val="both"/>
        <w:rPr>
          <w:rFonts w:ascii="Arial" w:hAnsi="Arial" w:cs="Arial"/>
          <w:lang w:val="mn-MN"/>
        </w:rPr>
      </w:pPr>
    </w:p>
    <w:p w14:paraId="4F9B27DC">
      <w:pPr>
        <w:spacing w:after="0" w:line="240" w:lineRule="auto"/>
        <w:ind w:firstLine="720"/>
        <w:contextualSpacing/>
        <w:jc w:val="both"/>
        <w:rPr>
          <w:rFonts w:ascii="Arial" w:hAnsi="Arial" w:cs="Arial"/>
          <w:lang w:val="mn-MN"/>
        </w:rPr>
      </w:pPr>
    </w:p>
    <w:p w14:paraId="52C82FE3">
      <w:pPr>
        <w:spacing w:after="0" w:line="240" w:lineRule="auto"/>
        <w:ind w:firstLine="720"/>
        <w:contextualSpacing/>
        <w:jc w:val="both"/>
        <w:rPr>
          <w:rFonts w:ascii="Arial" w:hAnsi="Arial" w:cs="Arial"/>
          <w:lang w:val="mn-MN"/>
        </w:rPr>
      </w:pPr>
    </w:p>
    <w:p w14:paraId="528FD7A6">
      <w:pPr>
        <w:spacing w:after="0" w:line="240" w:lineRule="auto"/>
        <w:contextualSpacing/>
        <w:jc w:val="both"/>
        <w:rPr>
          <w:rStyle w:val="9"/>
          <w:rFonts w:ascii="Arial" w:hAnsi="Arial" w:cs="Arial"/>
          <w:b/>
          <w:sz w:val="24"/>
          <w:szCs w:val="24"/>
          <w:lang w:val="mn-MN" w:eastAsia="mn-MN"/>
        </w:rPr>
      </w:pPr>
      <w:r>
        <w:rPr>
          <w:rFonts w:ascii="Arial" w:hAnsi="Arial" w:cs="Arial"/>
          <w:lang w:val="mn-MN"/>
        </w:rPr>
        <w:tab/>
      </w:r>
      <w:r>
        <w:rPr>
          <w:rStyle w:val="9"/>
          <w:rFonts w:ascii="Arial" w:hAnsi="Arial" w:cs="Arial"/>
          <w:b/>
          <w:sz w:val="24"/>
          <w:szCs w:val="24"/>
          <w:lang w:val="mn-MN" w:eastAsia="mn-MN"/>
        </w:rPr>
        <w:t>Хоёр.Хуулийн төслийн зорилго, бүтэц, зохицуулах харилцаа, хамрах хүрээ</w:t>
      </w:r>
    </w:p>
    <w:p w14:paraId="7350D7FD">
      <w:pPr>
        <w:spacing w:after="0" w:line="240" w:lineRule="auto"/>
        <w:contextualSpacing/>
        <w:jc w:val="both"/>
        <w:rPr>
          <w:rStyle w:val="9"/>
          <w:rFonts w:ascii="Arial" w:hAnsi="Arial" w:cs="Arial"/>
          <w:b/>
          <w:color w:val="000000"/>
          <w:sz w:val="24"/>
          <w:szCs w:val="24"/>
          <w:lang w:val="mn-MN" w:eastAsia="mn-MN"/>
        </w:rPr>
      </w:pPr>
    </w:p>
    <w:p w14:paraId="7F7AF932">
      <w:pPr>
        <w:spacing w:after="0" w:line="240" w:lineRule="auto"/>
        <w:ind w:firstLine="720"/>
        <w:contextualSpacing/>
        <w:jc w:val="both"/>
        <w:rPr>
          <w:rFonts w:ascii="Arial" w:hAnsi="Arial" w:cs="Arial"/>
          <w:lang w:val="mn-MN"/>
        </w:rPr>
      </w:pPr>
      <w:r>
        <w:rPr>
          <w:rFonts w:ascii="Arial" w:hAnsi="Arial" w:cs="Arial"/>
          <w:lang w:val="mn-MN"/>
        </w:rPr>
        <w:t>Хуулийн төслийг Хууль тогтоомжийн тухай хуулийн 22 дугаар зүйлийн 22.1.2-т заасны дагуу хуульд нэмэлт, өөрчлөлт оруулах хэлбэрээр дараах асуудлыг тусган боловсруулна. Үүнд:</w:t>
      </w:r>
    </w:p>
    <w:p w14:paraId="2BB6EFC5">
      <w:pPr>
        <w:spacing w:after="0" w:line="240" w:lineRule="auto"/>
        <w:ind w:firstLine="720"/>
        <w:contextualSpacing/>
        <w:jc w:val="both"/>
        <w:rPr>
          <w:rFonts w:ascii="Arial" w:hAnsi="Arial" w:cs="Arial"/>
          <w:lang w:val="mn-MN"/>
        </w:rPr>
      </w:pPr>
    </w:p>
    <w:p w14:paraId="2419351B">
      <w:pPr>
        <w:pStyle w:val="6"/>
        <w:tabs>
          <w:tab w:val="left" w:pos="709"/>
        </w:tabs>
        <w:spacing w:after="0" w:line="240" w:lineRule="auto"/>
        <w:ind w:left="0"/>
        <w:jc w:val="both"/>
        <w:rPr>
          <w:rFonts w:ascii="Arial" w:hAnsi="Arial" w:cs="Arial"/>
          <w:lang w:val="mn-MN"/>
        </w:rPr>
      </w:pPr>
      <w:r>
        <w:rPr>
          <w:rFonts w:ascii="Arial" w:hAnsi="Arial" w:cs="Arial"/>
          <w:lang w:val="mn-MN"/>
        </w:rPr>
        <w:tab/>
      </w:r>
      <w:r>
        <w:rPr>
          <w:rFonts w:ascii="Arial" w:hAnsi="Arial" w:cs="Arial"/>
          <w:lang w:val="mn-MN"/>
        </w:rPr>
        <w:t>Банкны тухай хуульд нэмэлт, өөрчлөлт оруулах тухай хуулийн төсөлд тогтоолгож буй нөхцөлийн тэтгэврийн насыг аажмаар нэмэгдүүлэх зэрэг зохицуулалтыг тусгана.</w:t>
      </w:r>
    </w:p>
    <w:p w14:paraId="76170CCB">
      <w:pPr>
        <w:pStyle w:val="6"/>
        <w:tabs>
          <w:tab w:val="left" w:pos="993"/>
        </w:tabs>
        <w:spacing w:after="0" w:line="240" w:lineRule="auto"/>
        <w:ind w:left="0"/>
        <w:jc w:val="both"/>
        <w:rPr>
          <w:rFonts w:ascii="Arial" w:hAnsi="Arial" w:cs="Arial"/>
          <w:lang w:val="mn-MN"/>
        </w:rPr>
      </w:pPr>
    </w:p>
    <w:p w14:paraId="6D52CC97">
      <w:pPr>
        <w:pStyle w:val="6"/>
        <w:tabs>
          <w:tab w:val="left" w:pos="993"/>
        </w:tabs>
        <w:spacing w:after="0" w:line="240" w:lineRule="auto"/>
        <w:ind w:left="0"/>
        <w:jc w:val="both"/>
        <w:rPr>
          <w:rFonts w:ascii="Arial" w:hAnsi="Arial" w:cs="Arial"/>
          <w:b/>
          <w:bCs/>
          <w:iCs/>
          <w:lang w:val="mn-MN"/>
        </w:rPr>
      </w:pPr>
      <w:r>
        <w:rPr>
          <w:rFonts w:ascii="Arial" w:hAnsi="Arial" w:cs="Arial"/>
          <w:lang w:val="mn-MN"/>
        </w:rPr>
        <w:tab/>
      </w:r>
      <w:r>
        <w:rPr>
          <w:rFonts w:ascii="Arial" w:hAnsi="Arial" w:cs="Arial"/>
          <w:b/>
          <w:bCs/>
          <w:iCs/>
          <w:lang w:val="mn-MN"/>
        </w:rPr>
        <w:t>Гурав.Хуулийн төсөл батлагдсаны дараа үүсэж болох</w:t>
      </w:r>
      <w:r>
        <w:rPr>
          <w:rFonts w:ascii="Arial" w:hAnsi="Arial" w:eastAsia="Arial" w:cs="Arial"/>
          <w:b/>
          <w:bCs/>
          <w:iCs/>
          <w:lang w:val="mn-MN"/>
        </w:rPr>
        <w:t xml:space="preserve"> </w:t>
      </w:r>
      <w:r>
        <w:rPr>
          <w:rFonts w:ascii="Arial" w:hAnsi="Arial" w:cs="Arial"/>
          <w:b/>
          <w:bCs/>
          <w:iCs/>
          <w:lang w:val="mn-MN"/>
        </w:rPr>
        <w:t>эдийн засаг, нийгэм, хууль зүйн үр дагавар</w:t>
      </w:r>
    </w:p>
    <w:p w14:paraId="1C7FBF02">
      <w:pPr>
        <w:spacing w:after="0" w:line="240" w:lineRule="auto"/>
        <w:contextualSpacing/>
        <w:jc w:val="both"/>
        <w:rPr>
          <w:rFonts w:ascii="Arial" w:hAnsi="Arial" w:eastAsia="MS Gothic" w:cs="Arial"/>
          <w:bCs/>
          <w:lang w:val="mn-MN" w:eastAsia="zh-CN"/>
        </w:rPr>
      </w:pPr>
    </w:p>
    <w:p w14:paraId="6BCF76D5">
      <w:pPr>
        <w:spacing w:after="0" w:line="240" w:lineRule="auto"/>
        <w:ind w:firstLine="720"/>
        <w:contextualSpacing/>
        <w:jc w:val="both"/>
        <w:rPr>
          <w:rFonts w:ascii="Arial" w:hAnsi="Arial" w:cs="Arial"/>
          <w:color w:val="000000"/>
          <w:lang w:val="mn-MN"/>
        </w:rPr>
      </w:pPr>
      <w:r>
        <w:rPr>
          <w:rFonts w:ascii="Arial" w:hAnsi="Arial" w:cs="Arial"/>
          <w:lang w:val="mn-MN"/>
        </w:rPr>
        <w:t xml:space="preserve">Хуулийн төсөл батлагдсанаар </w:t>
      </w:r>
      <w:r>
        <w:rPr>
          <w:rFonts w:ascii="Arial" w:hAnsi="Arial" w:cs="Arial"/>
          <w:color w:val="000000"/>
          <w:lang w:val="mn-MN"/>
        </w:rPr>
        <w:t>дараах эерэг үр дагавар бий болно. Үүнд:</w:t>
      </w:r>
    </w:p>
    <w:p w14:paraId="110EB1AF">
      <w:pPr>
        <w:spacing w:after="0" w:line="240" w:lineRule="auto"/>
        <w:ind w:firstLine="720"/>
        <w:contextualSpacing/>
        <w:jc w:val="both"/>
        <w:rPr>
          <w:rFonts w:ascii="Arial" w:hAnsi="Arial" w:eastAsia="MS Gothic" w:cs="Arial"/>
          <w:bCs/>
          <w:color w:val="EE0000"/>
          <w:lang w:val="mn-MN" w:eastAsia="zh-CN"/>
        </w:rPr>
      </w:pPr>
    </w:p>
    <w:p w14:paraId="7BC3340D">
      <w:pPr>
        <w:pStyle w:val="6"/>
        <w:numPr>
          <w:ilvl w:val="0"/>
          <w:numId w:val="2"/>
        </w:numPr>
        <w:tabs>
          <w:tab w:val="left" w:pos="284"/>
          <w:tab w:val="left" w:pos="709"/>
        </w:tabs>
        <w:spacing w:after="0" w:line="240" w:lineRule="auto"/>
        <w:jc w:val="both"/>
        <w:rPr>
          <w:rFonts w:ascii="Arial" w:hAnsi="Arial" w:cs="Arial"/>
        </w:rPr>
      </w:pPr>
      <w:r>
        <w:rPr>
          <w:rFonts w:ascii="Arial" w:hAnsi="Arial" w:cs="Arial"/>
          <w:lang w:val="mn-MN"/>
        </w:rPr>
        <w:t>Ахмад настны тэтгэврийн зээлийн хүү буурна</w:t>
      </w:r>
    </w:p>
    <w:p w14:paraId="0AB0E0BF">
      <w:pPr>
        <w:pStyle w:val="6"/>
        <w:tabs>
          <w:tab w:val="left" w:pos="284"/>
          <w:tab w:val="left" w:pos="709"/>
        </w:tabs>
        <w:spacing w:after="0" w:line="240" w:lineRule="auto"/>
        <w:ind w:left="0"/>
        <w:jc w:val="both"/>
        <w:rPr>
          <w:rFonts w:ascii="Arial" w:hAnsi="Arial" w:cs="Arial"/>
          <w:lang w:val="mn-MN"/>
        </w:rPr>
      </w:pPr>
    </w:p>
    <w:p w14:paraId="3EAAA2FA">
      <w:pPr>
        <w:pStyle w:val="6"/>
        <w:numPr>
          <w:ilvl w:val="0"/>
          <w:numId w:val="2"/>
        </w:numPr>
        <w:tabs>
          <w:tab w:val="left" w:pos="284"/>
          <w:tab w:val="left" w:pos="709"/>
        </w:tabs>
        <w:spacing w:after="0" w:line="240" w:lineRule="auto"/>
        <w:jc w:val="both"/>
        <w:rPr>
          <w:rFonts w:ascii="Arial" w:hAnsi="Arial" w:cs="Arial"/>
          <w:lang w:val="mn-MN"/>
        </w:rPr>
      </w:pPr>
      <w:r>
        <w:rPr>
          <w:rFonts w:ascii="Arial" w:hAnsi="Arial" w:cs="Arial"/>
          <w:lang w:val="mn-MN"/>
        </w:rPr>
        <w:t xml:space="preserve">Ахмад настны нийгмийн баталгааг хангахад чухал ач холбогдолтой. </w:t>
      </w:r>
    </w:p>
    <w:p w14:paraId="001A3AF8">
      <w:pPr>
        <w:tabs>
          <w:tab w:val="left" w:pos="284"/>
          <w:tab w:val="left" w:pos="709"/>
        </w:tabs>
        <w:spacing w:after="0" w:line="240" w:lineRule="auto"/>
        <w:jc w:val="both"/>
        <w:rPr>
          <w:rFonts w:ascii="Arial" w:hAnsi="Arial" w:cs="Arial"/>
          <w:lang w:val="mn-MN"/>
        </w:rPr>
      </w:pPr>
    </w:p>
    <w:p w14:paraId="333B3560">
      <w:pPr>
        <w:pStyle w:val="6"/>
        <w:tabs>
          <w:tab w:val="left" w:pos="284"/>
          <w:tab w:val="left" w:pos="709"/>
        </w:tabs>
        <w:spacing w:after="0" w:line="240" w:lineRule="auto"/>
        <w:ind w:left="0"/>
        <w:rPr>
          <w:rFonts w:ascii="Arial" w:hAnsi="Arial" w:cs="Arial"/>
          <w:lang w:val="mn-MN"/>
        </w:rPr>
      </w:pPr>
    </w:p>
    <w:p w14:paraId="017B7494">
      <w:pPr>
        <w:pStyle w:val="6"/>
        <w:tabs>
          <w:tab w:val="left" w:pos="284"/>
          <w:tab w:val="left" w:pos="709"/>
        </w:tabs>
        <w:spacing w:after="0" w:line="240" w:lineRule="auto"/>
        <w:ind w:left="0"/>
        <w:jc w:val="both"/>
        <w:rPr>
          <w:rFonts w:ascii="Arial" w:hAnsi="Arial" w:cs="Arial"/>
          <w:kern w:val="0"/>
          <w:lang w:val="mn-MN"/>
        </w:rPr>
      </w:pPr>
      <w:r>
        <w:rPr>
          <w:rFonts w:ascii="Arial" w:hAnsi="Arial" w:cs="Arial"/>
          <w:lang w:val="mn-MN"/>
        </w:rPr>
        <w:tab/>
      </w:r>
      <w:r>
        <w:rPr>
          <w:rFonts w:ascii="Arial" w:hAnsi="Arial" w:cs="Arial"/>
          <w:lang w:val="mn-MN"/>
        </w:rPr>
        <w:tab/>
      </w:r>
      <w:r>
        <w:rPr>
          <w:rFonts w:ascii="Arial" w:hAnsi="Arial" w:cs="Arial"/>
          <w:b/>
          <w:color w:val="000000"/>
          <w:kern w:val="0"/>
          <w:lang w:val="mn-MN"/>
        </w:rPr>
        <w:t xml:space="preserve">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w:t>
      </w:r>
      <w:r>
        <w:rPr>
          <w:rFonts w:ascii="Arial" w:hAnsi="Arial" w:eastAsia="Times New Roman" w:cs="Arial"/>
          <w:b/>
          <w:bCs/>
          <w:color w:val="000000"/>
          <w:kern w:val="0"/>
          <w:lang w:val="mn-MN"/>
        </w:rPr>
        <w:t>хуульд</w:t>
      </w:r>
      <w:r>
        <w:rPr>
          <w:rFonts w:ascii="Arial" w:hAnsi="Arial" w:cs="Arial"/>
          <w:b/>
          <w:color w:val="000000"/>
          <w:kern w:val="0"/>
          <w:lang w:val="mn-MN"/>
        </w:rPr>
        <w:t xml:space="preserve"> нэмэлт, өөрчлөлт оруулах, хүчингүй </w:t>
      </w:r>
      <w:r>
        <w:rPr>
          <w:rFonts w:ascii="Arial" w:hAnsi="Arial" w:eastAsia="Times New Roman" w:cs="Arial"/>
          <w:b/>
          <w:bCs/>
          <w:color w:val="000000"/>
          <w:kern w:val="0"/>
          <w:lang w:val="mn-MN"/>
        </w:rPr>
        <w:t>болсонд тооцох тухай хууль тогтоомжийн талаарх санал</w:t>
      </w:r>
    </w:p>
    <w:p w14:paraId="7833F6ED">
      <w:pPr>
        <w:spacing w:after="0" w:line="240" w:lineRule="auto"/>
        <w:contextualSpacing/>
        <w:jc w:val="both"/>
        <w:rPr>
          <w:rFonts w:ascii="Arial" w:hAnsi="Arial" w:cs="Arial"/>
          <w:lang w:val="mn-MN"/>
        </w:rPr>
      </w:pPr>
      <w:r>
        <w:rPr>
          <w:rFonts w:ascii="Arial" w:hAnsi="Arial" w:cs="Arial"/>
          <w:lang w:val="mn-MN"/>
        </w:rPr>
        <w:tab/>
      </w:r>
    </w:p>
    <w:p w14:paraId="7C94E5E5">
      <w:pPr>
        <w:spacing w:after="0" w:line="240" w:lineRule="auto"/>
        <w:ind w:firstLine="720"/>
        <w:contextualSpacing/>
        <w:jc w:val="both"/>
        <w:rPr>
          <w:rFonts w:ascii="Arial" w:hAnsi="Arial" w:cs="Arial"/>
          <w:lang w:val="mn-MN"/>
        </w:rPr>
      </w:pPr>
      <w:r>
        <w:rPr>
          <w:rFonts w:ascii="Arial" w:hAnsi="Arial" w:cs="Arial"/>
          <w:lang w:val="mn-MN"/>
        </w:rPr>
        <w:t>.............................................................................</w:t>
      </w:r>
    </w:p>
    <w:p w14:paraId="77447B0C">
      <w:pPr>
        <w:spacing w:after="0" w:line="240" w:lineRule="auto"/>
        <w:ind w:firstLine="720"/>
        <w:contextualSpacing/>
        <w:jc w:val="both"/>
        <w:rPr>
          <w:rFonts w:ascii="Arial" w:hAnsi="Arial" w:cs="Arial"/>
          <w:lang w:val="mn-MN"/>
        </w:rPr>
      </w:pPr>
    </w:p>
    <w:p w14:paraId="19317B1D">
      <w:pPr>
        <w:spacing w:after="0" w:line="240" w:lineRule="auto"/>
        <w:contextualSpacing/>
        <w:jc w:val="center"/>
        <w:rPr>
          <w:rFonts w:ascii="Arial" w:hAnsi="Arial" w:cs="Arial"/>
          <w:bCs/>
          <w:lang w:val="mn-MN"/>
        </w:rPr>
      </w:pPr>
      <w:r>
        <w:rPr>
          <w:rFonts w:ascii="Arial" w:hAnsi="Arial" w:cs="Arial"/>
          <w:bCs/>
          <w:lang w:val="mn-MN"/>
        </w:rPr>
        <w:t>--- оОо ---</w:t>
      </w:r>
    </w:p>
    <w:p w14:paraId="7A37116A">
      <w:pPr>
        <w:rPr>
          <w:rFonts w:ascii="Arial" w:hAnsi="Arial" w:cs="Arial"/>
        </w:rPr>
      </w:pPr>
    </w:p>
    <w:sectPr>
      <w:headerReference r:id="rId5" w:type="default"/>
      <w:footerReference r:id="rId6" w:type="default"/>
      <w:pgSz w:w="11894" w:h="16834"/>
      <w:pgMar w:top="993" w:right="837" w:bottom="709" w:left="1418" w:header="720" w:footer="285"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AE16">
    <w:pPr>
      <w:pStyle w:val="4"/>
      <w:jc w:val="center"/>
      <w:rPr>
        <w:rFonts w:ascii="Arial" w:hAnsi="Arial" w:cs="Arial"/>
        <w:sz w:val="20"/>
      </w:rPr>
    </w:pP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Pr>
        <w:rFonts w:ascii="Arial" w:hAnsi="Arial" w:cs="Arial"/>
        <w:sz w:val="22"/>
      </w:rPr>
      <w:t>2</w:t>
    </w:r>
    <w:r>
      <w:rPr>
        <w:rFonts w:ascii="Arial" w:hAnsi="Arial" w:cs="Arial"/>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CD5D6">
    <w:pPr>
      <w:pStyle w:val="5"/>
      <w:jc w:val="right"/>
      <w:rPr>
        <w:rFonts w:ascii="Arial" w:hAnsi="Arial" w:cs="Arial"/>
        <w:sz w:val="22"/>
        <w:szCs w:val="22"/>
        <w:lang w:val="mn-M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B7F34"/>
    <w:multiLevelType w:val="multilevel"/>
    <w:tmpl w:val="360B7F34"/>
    <w:lvl w:ilvl="0" w:tentative="0">
      <w:start w:val="1"/>
      <w:numFmt w:val="decimal"/>
      <w:lvlText w:val="%1."/>
      <w:lvlJc w:val="left"/>
      <w:pPr>
        <w:ind w:left="1065" w:hanging="360"/>
      </w:pPr>
      <w:rPr>
        <w:rFonts w:hint="default"/>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1">
    <w:nsid w:val="7EC51839"/>
    <w:multiLevelType w:val="multilevel"/>
    <w:tmpl w:val="7EC51839"/>
    <w:lvl w:ilvl="0" w:tentative="0">
      <w:start w:val="1"/>
      <w:numFmt w:val="decimal"/>
      <w:lvlText w:val="%1."/>
      <w:lvlJc w:val="left"/>
      <w:pPr>
        <w:ind w:left="1080" w:hanging="360"/>
      </w:pPr>
      <w:rPr>
        <w:rFonts w:hint="default"/>
        <w:color w:val="000000"/>
        <w:sz w:val="21"/>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46"/>
    <w:rsid w:val="000809F6"/>
    <w:rsid w:val="001035CC"/>
    <w:rsid w:val="00130EBC"/>
    <w:rsid w:val="001E289C"/>
    <w:rsid w:val="002059DD"/>
    <w:rsid w:val="002101ED"/>
    <w:rsid w:val="00286D8D"/>
    <w:rsid w:val="00420A2F"/>
    <w:rsid w:val="00735318"/>
    <w:rsid w:val="007927E2"/>
    <w:rsid w:val="00967CCE"/>
    <w:rsid w:val="00971B46"/>
    <w:rsid w:val="00B22780"/>
    <w:rsid w:val="00BE1A8C"/>
    <w:rsid w:val="00C331B1"/>
    <w:rsid w:val="00DB199C"/>
    <w:rsid w:val="00F24A65"/>
    <w:rsid w:val="00FC2C37"/>
    <w:rsid w:val="571A529B"/>
    <w:rsid w:val="6DAE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Calibri" w:hAnsi="Calibri" w:eastAsia="Calibri" w:cs="Mongolian Baiti"/>
      <w:kern w:val="2"/>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paragraph" w:styleId="6">
    <w:name w:val="List Paragraph"/>
    <w:basedOn w:val="1"/>
    <w:link w:val="10"/>
    <w:qFormat/>
    <w:uiPriority w:val="34"/>
    <w:pPr>
      <w:ind w:left="720"/>
      <w:contextualSpacing/>
    </w:pPr>
  </w:style>
  <w:style w:type="character" w:customStyle="1" w:styleId="7">
    <w:name w:val="Header Char"/>
    <w:basedOn w:val="2"/>
    <w:link w:val="5"/>
    <w:qFormat/>
    <w:uiPriority w:val="99"/>
    <w:rPr>
      <w:rFonts w:ascii="Calibri" w:hAnsi="Calibri" w:eastAsia="Calibri" w:cs="Mongolian Baiti"/>
      <w:kern w:val="2"/>
      <w:sz w:val="24"/>
      <w:szCs w:val="24"/>
    </w:rPr>
  </w:style>
  <w:style w:type="character" w:customStyle="1" w:styleId="8">
    <w:name w:val="Footer Char"/>
    <w:basedOn w:val="2"/>
    <w:link w:val="4"/>
    <w:uiPriority w:val="99"/>
    <w:rPr>
      <w:rFonts w:ascii="Calibri" w:hAnsi="Calibri" w:eastAsia="Calibri" w:cs="Mongolian Baiti"/>
      <w:kern w:val="2"/>
      <w:sz w:val="24"/>
      <w:szCs w:val="24"/>
    </w:rPr>
  </w:style>
  <w:style w:type="character" w:customStyle="1" w:styleId="9">
    <w:name w:val="Body Text1"/>
    <w:uiPriority w:val="99"/>
    <w:rPr>
      <w:rFonts w:ascii="Arial Unicode MS" w:hAnsi="Arial Unicode MS" w:eastAsia="Arial Unicode MS" w:cs="Arial Unicode MS"/>
      <w:sz w:val="17"/>
      <w:szCs w:val="17"/>
      <w:shd w:val="clear" w:color="auto" w:fill="FFFFFF"/>
    </w:rPr>
  </w:style>
  <w:style w:type="character" w:customStyle="1" w:styleId="10">
    <w:name w:val="List Paragraph Char"/>
    <w:basedOn w:val="2"/>
    <w:link w:val="6"/>
    <w:qFormat/>
    <w:locked/>
    <w:uiPriority w:val="34"/>
    <w:rPr>
      <w:rFonts w:ascii="Calibri" w:hAnsi="Calibri" w:eastAsia="Calibri" w:cs="Mongolian Bait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1004</Words>
  <Characters>5726</Characters>
  <Lines>47</Lines>
  <Paragraphs>13</Paragraphs>
  <TotalTime>19</TotalTime>
  <ScaleCrop>false</ScaleCrop>
  <LinksUpToDate>false</LinksUpToDate>
  <CharactersWithSpaces>6717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2025-12-02T06:25:00Z</dcterms:created>
  <dc:creator>Owner</dc:creator>
  <cp:lastModifiedBy>Khishigee 625</cp:lastModifiedBy>
  <cp:lastPrinted>2025-12-02T08:18:15Z</cp:lastPrinted>
  <dcterms:modified xsi:type="dcterms:W3CDTF">2025-12-02T08:24:37Z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3A0C8128220248DD89A9BF4F9F8639C7_13</vt:lpwstr>
  </property>
</Properties>
</file>