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E17C5" w14:textId="77777777" w:rsidR="00095662" w:rsidRPr="006E4C68" w:rsidRDefault="00095662" w:rsidP="00095662">
      <w:pPr>
        <w:jc w:val="center"/>
        <w:rPr>
          <w:rStyle w:val="IntenseEmphasis"/>
          <w:rFonts w:ascii="Arial" w:hAnsi="Arial" w:cs="Arial"/>
          <w:b/>
          <w:bCs/>
          <w:i w:val="0"/>
          <w:iCs w:val="0"/>
          <w:color w:val="000000" w:themeColor="text1"/>
          <w:lang w:val="mn-MN"/>
        </w:rPr>
      </w:pPr>
      <w:r w:rsidRPr="006E4C68">
        <w:rPr>
          <w:rStyle w:val="IntenseEmphasis"/>
          <w:rFonts w:ascii="Arial" w:hAnsi="Arial" w:cs="Arial"/>
          <w:b/>
          <w:bCs/>
          <w:i w:val="0"/>
          <w:iCs w:val="0"/>
          <w:color w:val="000000" w:themeColor="text1"/>
          <w:lang w:val="mn-MN"/>
        </w:rPr>
        <w:t xml:space="preserve">"ТӨРИЙН БОЛОН АЛБАНЫ НУУЦЫН ТУХАЙ ХУУЛЬД НЭМЭЛТ, ӨӨРЧЛӨЛТ ОРУУЛАХ ТУХАЙ” ХУУЛИЙН ТӨСЛИЙН ЗАРДЛЫН ТООЦООНЫ ТАЙЛАН </w:t>
      </w:r>
    </w:p>
    <w:p w14:paraId="3062D7EE" w14:textId="77777777" w:rsidR="00095662" w:rsidRPr="006E4C68" w:rsidRDefault="00095662" w:rsidP="00095662">
      <w:pPr>
        <w:rPr>
          <w:rStyle w:val="IntenseEmphasis"/>
          <w:rFonts w:ascii="Arial" w:hAnsi="Arial" w:cs="Arial"/>
          <w:i w:val="0"/>
          <w:iCs w:val="0"/>
          <w:color w:val="000000" w:themeColor="text1"/>
          <w:lang w:val="mn-MN"/>
        </w:rPr>
      </w:pPr>
    </w:p>
    <w:p w14:paraId="5B028693" w14:textId="77777777" w:rsidR="00095662" w:rsidRPr="006E4C68" w:rsidRDefault="00095662" w:rsidP="00095662">
      <w:pPr>
        <w:rPr>
          <w:rStyle w:val="IntenseEmphasis"/>
          <w:rFonts w:ascii="Arial" w:hAnsi="Arial" w:cs="Arial"/>
          <w:i w:val="0"/>
          <w:iCs w:val="0"/>
          <w:color w:val="000000" w:themeColor="text1"/>
          <w:lang w:val="mn-MN"/>
        </w:rPr>
      </w:pPr>
    </w:p>
    <w:p w14:paraId="0AF18953" w14:textId="77777777" w:rsidR="006E2DD7" w:rsidRPr="006E4C68" w:rsidRDefault="006E2DD7" w:rsidP="006E2DD7">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Монгол Улсын "Төрийн болон албаны нууцын тухай хууль" (2016 онд батлагдсан) нь төрийн болон албаны нууцыг хамгаалах эрх зүйн үндсийг тодорхойлж, хамгаалах үйл ажиллагааны санхүүжилтийг улсын төсөвт тусгахыг заажээ. Тодруулбал, тус хуулийн 8.1.2-т Засгийн газар "төрийн болон албаны нууцыг хамгаалахад чиглэсэн хөтөлбөр, төсөл, үйл ажиллагааг хэрэгжүүлэхэд зарцуулах хөрөнгийг улсын төсөвт тусгаж батлах" үүрэгтэй байна. Мөн хуулийн 11.1.3-т иргэн, хуулийн этгээдийг нууц хамгаалахад урамшуулах мөнгөн урамшууллыг жил бүрийн төсөвт тусгахыг шаарддаг. 2025 оны улсын төсвийн тухай хууль (УИХ-аас 2024 оны 12 дугаар сард батлагдсан) нь нийт зардал 33.5 их наяд төгрөгийг (ДНБ-ий 35.2%) төлөвлөсөн ч, энэ хуультай шууд холбоотой тусгайлсан зардал тооцоог ил тод зарласан баримт байхгүй. Төсөвт нууц хамгаалалтын зардал нь ихэвчлэн Үндэсний аюулгүй байдал, батлан хамгаалах, тагнуулын байгууллагын (жишээ нь, Тагнуулын ерөнхий газар) урсгал зардалд (албан хаагчийн цалин, тоног төхөөрөмж, сургалт г.м.) багтдаг бөгөөд энэ нь улсын төсвийн 6 дугаар зүйлд заасан ерөнхийлөн захирагчдын зардалд нэгдэн ордог. Тодорхой тооцоог дараах байдлаар үзүүлнэ:</w:t>
      </w:r>
      <w:r w:rsidR="00DC741B" w:rsidRPr="006E4C68">
        <w:rPr>
          <w:rStyle w:val="IntenseEmphasis"/>
          <w:rFonts w:ascii="Arial" w:hAnsi="Arial" w:cs="Arial"/>
          <w:i w:val="0"/>
          <w:iCs w:val="0"/>
          <w:color w:val="000000" w:themeColor="text1"/>
          <w:lang w:val="mn-MN"/>
        </w:rPr>
        <w:t xml:space="preserve"> </w:t>
      </w:r>
      <w:r w:rsidRPr="006E4C68">
        <w:rPr>
          <w:rStyle w:val="IntenseEmphasis"/>
          <w:rFonts w:ascii="Arial" w:hAnsi="Arial" w:cs="Arial"/>
          <w:i w:val="0"/>
          <w:iCs w:val="0"/>
          <w:color w:val="000000" w:themeColor="text1"/>
          <w:lang w:val="mn-MN"/>
        </w:rPr>
        <w:t>Төсвийн ерөнхий бүтэц (2025 он)</w:t>
      </w:r>
    </w:p>
    <w:p w14:paraId="6F2DF969" w14:textId="77777777" w:rsidR="006E2DD7" w:rsidRPr="006E4C68" w:rsidRDefault="006E2DD7" w:rsidP="006E2DD7">
      <w:pPr>
        <w:numPr>
          <w:ilvl w:val="0"/>
          <w:numId w:val="2"/>
        </w:numPr>
        <w:spacing w:afterAutospacing="1"/>
        <w:ind w:left="0"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Нийт зардал: 33.5 их наяд төгрөг (алдагдалгүй, суурь тэнцэл ДНБ-ий 3.3% ашигтай).</w:t>
      </w:r>
    </w:p>
    <w:p w14:paraId="51C61D31" w14:textId="77777777" w:rsidR="006E2DD7" w:rsidRPr="006E4C68" w:rsidRDefault="006E2DD7" w:rsidP="006E2DD7">
      <w:pPr>
        <w:numPr>
          <w:ilvl w:val="0"/>
          <w:numId w:val="2"/>
        </w:numPr>
        <w:spacing w:afterAutospacing="1"/>
        <w:ind w:left="0"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Урсгал зардал: Төсвийн ихэнх хэсэг (ойролцоогоор 80-85%) урсгалд (ажиллах хүч, үйл ажиллагаа) зарцуулагдана. Нууц хамгаалалт нь энэ ангилалд орно.</w:t>
      </w:r>
    </w:p>
    <w:p w14:paraId="385AB7F1" w14:textId="77777777" w:rsidR="006E2DD7" w:rsidRPr="006E4C68" w:rsidRDefault="006E2DD7" w:rsidP="006E2DD7">
      <w:pPr>
        <w:numPr>
          <w:ilvl w:val="0"/>
          <w:numId w:val="2"/>
        </w:numPr>
        <w:spacing w:afterAutospacing="1"/>
        <w:ind w:left="0"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Хөрөнгө оруулалт: 4-5 их наяд төгрөг (техник, тоног төхөөрөмж худалдан авахад ашиглагдаж болно).</w:t>
      </w:r>
    </w:p>
    <w:tbl>
      <w:tblPr>
        <w:tblStyle w:val="TableGrid"/>
        <w:tblW w:w="9348" w:type="dxa"/>
        <w:tblLook w:val="04A0" w:firstRow="1" w:lastRow="0" w:firstColumn="1" w:lastColumn="0" w:noHBand="0" w:noVBand="1"/>
      </w:tblPr>
      <w:tblGrid>
        <w:gridCol w:w="1696"/>
        <w:gridCol w:w="4536"/>
        <w:gridCol w:w="3116"/>
      </w:tblGrid>
      <w:tr w:rsidR="006E2DD7" w:rsidRPr="006E4C68" w14:paraId="3B60614F" w14:textId="77777777" w:rsidTr="006E2DD7">
        <w:tc>
          <w:tcPr>
            <w:tcW w:w="1696" w:type="dxa"/>
            <w:vAlign w:val="center"/>
          </w:tcPr>
          <w:p w14:paraId="0B4F7BE9" w14:textId="77777777" w:rsidR="006E2DD7" w:rsidRPr="006E4C68" w:rsidRDefault="006E2DD7" w:rsidP="006E2DD7">
            <w:pPr>
              <w:jc w:val="both"/>
              <w:rPr>
                <w:rStyle w:val="IntenseEmphasis"/>
                <w:rFonts w:ascii="Arial" w:hAnsi="Arial" w:cs="Arial"/>
                <w:b/>
                <w:bCs/>
                <w:i w:val="0"/>
                <w:iCs w:val="0"/>
                <w:color w:val="000000" w:themeColor="text1"/>
                <w:lang w:val="mn-MN"/>
              </w:rPr>
            </w:pPr>
            <w:r w:rsidRPr="006E4C68">
              <w:rPr>
                <w:rStyle w:val="IntenseEmphasis"/>
                <w:rFonts w:ascii="Arial" w:hAnsi="Arial" w:cs="Arial"/>
                <w:b/>
                <w:bCs/>
                <w:i w:val="0"/>
                <w:iCs w:val="0"/>
                <w:color w:val="000000" w:themeColor="text1"/>
                <w:lang w:val="mn-MN"/>
              </w:rPr>
              <w:t>Төсвийн ерөнхийлөн захирагч</w:t>
            </w:r>
          </w:p>
        </w:tc>
        <w:tc>
          <w:tcPr>
            <w:tcW w:w="4536" w:type="dxa"/>
            <w:vAlign w:val="center"/>
          </w:tcPr>
          <w:p w14:paraId="03514794" w14:textId="77777777" w:rsidR="006E2DD7" w:rsidRPr="006E4C68" w:rsidRDefault="006E2DD7" w:rsidP="006E2DD7">
            <w:pPr>
              <w:ind w:firstLine="567"/>
              <w:jc w:val="both"/>
              <w:rPr>
                <w:rStyle w:val="IntenseEmphasis"/>
                <w:rFonts w:ascii="Arial" w:hAnsi="Arial" w:cs="Arial"/>
                <w:b/>
                <w:bCs/>
                <w:i w:val="0"/>
                <w:iCs w:val="0"/>
                <w:color w:val="000000" w:themeColor="text1"/>
                <w:lang w:val="mn-MN"/>
              </w:rPr>
            </w:pPr>
            <w:r w:rsidRPr="006E4C68">
              <w:rPr>
                <w:rStyle w:val="IntenseEmphasis"/>
                <w:rFonts w:ascii="Arial" w:hAnsi="Arial" w:cs="Arial"/>
                <w:b/>
                <w:bCs/>
                <w:i w:val="0"/>
                <w:iCs w:val="0"/>
                <w:color w:val="000000" w:themeColor="text1"/>
                <w:lang w:val="mn-MN"/>
              </w:rPr>
              <w:t>Нийт зардал (сая төгрөгөөр)</w:t>
            </w:r>
          </w:p>
        </w:tc>
        <w:tc>
          <w:tcPr>
            <w:tcW w:w="3116" w:type="dxa"/>
            <w:vAlign w:val="center"/>
          </w:tcPr>
          <w:p w14:paraId="6033B981" w14:textId="77777777" w:rsidR="006E2DD7" w:rsidRPr="006E4C68" w:rsidRDefault="006E2DD7" w:rsidP="006E2DD7">
            <w:pPr>
              <w:ind w:firstLine="567"/>
              <w:jc w:val="both"/>
              <w:rPr>
                <w:rStyle w:val="IntenseEmphasis"/>
                <w:rFonts w:ascii="Arial" w:hAnsi="Arial" w:cs="Arial"/>
                <w:b/>
                <w:bCs/>
                <w:i w:val="0"/>
                <w:iCs w:val="0"/>
                <w:color w:val="000000" w:themeColor="text1"/>
                <w:lang w:val="mn-MN"/>
              </w:rPr>
            </w:pPr>
            <w:r w:rsidRPr="006E4C68">
              <w:rPr>
                <w:rStyle w:val="IntenseEmphasis"/>
                <w:rFonts w:ascii="Arial" w:hAnsi="Arial" w:cs="Arial"/>
                <w:b/>
                <w:bCs/>
                <w:i w:val="0"/>
                <w:iCs w:val="0"/>
                <w:color w:val="000000" w:themeColor="text1"/>
                <w:lang w:val="mn-MN"/>
              </w:rPr>
              <w:t>Холбоотой байгууллага/зардал</w:t>
            </w:r>
          </w:p>
        </w:tc>
      </w:tr>
      <w:tr w:rsidR="006E2DD7" w:rsidRPr="006E4C68" w14:paraId="330C6318" w14:textId="77777777" w:rsidTr="006E2DD7">
        <w:tc>
          <w:tcPr>
            <w:tcW w:w="1696" w:type="dxa"/>
            <w:vAlign w:val="center"/>
          </w:tcPr>
          <w:p w14:paraId="7B81DD33" w14:textId="77777777" w:rsidR="006E2DD7" w:rsidRPr="006E4C68" w:rsidRDefault="006E2DD7" w:rsidP="006E2DD7">
            <w:pPr>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Ерөнхий сайд (Засгийн газар)</w:t>
            </w:r>
          </w:p>
        </w:tc>
        <w:tc>
          <w:tcPr>
            <w:tcW w:w="4536" w:type="dxa"/>
            <w:vAlign w:val="center"/>
          </w:tcPr>
          <w:p w14:paraId="400FF4FF" w14:textId="77777777" w:rsidR="006E2DD7" w:rsidRPr="006E4C68" w:rsidRDefault="006E2DD7" w:rsidP="006E2DD7">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106,372.5</w:t>
            </w:r>
          </w:p>
        </w:tc>
        <w:tc>
          <w:tcPr>
            <w:tcW w:w="3116" w:type="dxa"/>
            <w:vAlign w:val="center"/>
          </w:tcPr>
          <w:p w14:paraId="3F36C410" w14:textId="77777777" w:rsidR="006E2DD7" w:rsidRPr="006E4C68" w:rsidRDefault="006E2DD7" w:rsidP="006E2DD7">
            <w:pPr>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Нууц хамгаалах нийтлэг журам, хяналт шалгалт (ЗГ-ын 2023 оны 246, 247 дугаар тогтоол)-аар удирдлага хийгдэнэ.</w:t>
            </w:r>
          </w:p>
        </w:tc>
      </w:tr>
      <w:tr w:rsidR="006E2DD7" w:rsidRPr="006E4C68" w14:paraId="078CFE91" w14:textId="77777777" w:rsidTr="006E2DD7">
        <w:tc>
          <w:tcPr>
            <w:tcW w:w="1696" w:type="dxa"/>
            <w:vAlign w:val="center"/>
          </w:tcPr>
          <w:p w14:paraId="7D425BEB" w14:textId="77777777" w:rsidR="006E2DD7" w:rsidRPr="006E4C68" w:rsidRDefault="006E2DD7" w:rsidP="006E2DD7">
            <w:pPr>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Батлан хамгаалахын сайд</w:t>
            </w:r>
          </w:p>
        </w:tc>
        <w:tc>
          <w:tcPr>
            <w:tcW w:w="4536" w:type="dxa"/>
            <w:vAlign w:val="center"/>
          </w:tcPr>
          <w:p w14:paraId="75CD3C28" w14:textId="77777777" w:rsidR="006E2DD7" w:rsidRPr="006E4C68" w:rsidRDefault="006E2DD7" w:rsidP="006E2DD7">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Тодорхойгүй (урсгалд багтана)</w:t>
            </w:r>
          </w:p>
        </w:tc>
        <w:tc>
          <w:tcPr>
            <w:tcW w:w="3116" w:type="dxa"/>
            <w:vAlign w:val="center"/>
          </w:tcPr>
          <w:p w14:paraId="5D89B90D" w14:textId="77777777" w:rsidR="006E2DD7" w:rsidRPr="006E4C68" w:rsidRDefault="006E2DD7" w:rsidP="006E2DD7">
            <w:pPr>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Цэргийн нууц, хамгаалалтын тоног төхөөрөмж.</w:t>
            </w:r>
          </w:p>
        </w:tc>
      </w:tr>
      <w:tr w:rsidR="006E2DD7" w:rsidRPr="006E4C68" w14:paraId="76F1DE7F" w14:textId="77777777" w:rsidTr="006E2DD7">
        <w:tc>
          <w:tcPr>
            <w:tcW w:w="1696" w:type="dxa"/>
            <w:vAlign w:val="center"/>
          </w:tcPr>
          <w:p w14:paraId="470EC828" w14:textId="77777777" w:rsidR="006E2DD7" w:rsidRPr="006E4C68" w:rsidRDefault="006E2DD7" w:rsidP="006E2DD7">
            <w:pPr>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Тагнуулын ерөнхий газар</w:t>
            </w:r>
          </w:p>
        </w:tc>
        <w:tc>
          <w:tcPr>
            <w:tcW w:w="4536" w:type="dxa"/>
            <w:vAlign w:val="center"/>
          </w:tcPr>
          <w:p w14:paraId="1D218B50" w14:textId="77777777" w:rsidR="006E2DD7" w:rsidRPr="006E4C68" w:rsidRDefault="006E2DD7" w:rsidP="006E2DD7">
            <w:pPr>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Тусгайлсан тооцоо байхгүй (нууц)</w:t>
            </w:r>
          </w:p>
        </w:tc>
        <w:tc>
          <w:tcPr>
            <w:tcW w:w="3116" w:type="dxa"/>
            <w:vAlign w:val="center"/>
          </w:tcPr>
          <w:p w14:paraId="2AEA3B4E" w14:textId="77777777" w:rsidR="006E2DD7" w:rsidRPr="006E4C68" w:rsidRDefault="006E2DD7" w:rsidP="006E2DD7">
            <w:pPr>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Хамгаалах арга хэрэгсэл, сургалт, урамшуулал.</w:t>
            </w:r>
          </w:p>
        </w:tc>
      </w:tr>
    </w:tbl>
    <w:p w14:paraId="37F1B30F" w14:textId="77777777" w:rsidR="006E2DD7" w:rsidRPr="006E4C68" w:rsidRDefault="006E2DD7" w:rsidP="006E2DD7">
      <w:pPr>
        <w:spacing w:afterAutospacing="1"/>
        <w:jc w:val="both"/>
        <w:rPr>
          <w:rStyle w:val="IntenseEmphasis"/>
          <w:rFonts w:ascii="Arial" w:hAnsi="Arial" w:cs="Arial"/>
          <w:i w:val="0"/>
          <w:iCs w:val="0"/>
          <w:color w:val="000000" w:themeColor="text1"/>
          <w:lang w:val="mn-MN"/>
        </w:rPr>
      </w:pPr>
    </w:p>
    <w:p w14:paraId="4E6F2947" w14:textId="77777777" w:rsidR="006E2DD7" w:rsidRPr="006E4C68" w:rsidRDefault="006E2DD7" w:rsidP="006E2DD7">
      <w:pPr>
        <w:ind w:firstLine="567"/>
        <w:jc w:val="both"/>
        <w:rPr>
          <w:rStyle w:val="IntenseEmphasis"/>
          <w:rFonts w:ascii="Arial" w:hAnsi="Arial" w:cs="Arial"/>
          <w:b/>
          <w:bCs/>
          <w:i w:val="0"/>
          <w:iCs w:val="0"/>
          <w:color w:val="000000" w:themeColor="text1"/>
          <w:lang w:val="mn-MN"/>
        </w:rPr>
      </w:pPr>
      <w:r w:rsidRPr="006E4C68">
        <w:rPr>
          <w:rStyle w:val="IntenseEmphasis"/>
          <w:rFonts w:ascii="Arial" w:hAnsi="Arial" w:cs="Arial"/>
          <w:b/>
          <w:bCs/>
          <w:i w:val="0"/>
          <w:iCs w:val="0"/>
          <w:color w:val="000000" w:themeColor="text1"/>
          <w:lang w:val="mn-MN"/>
        </w:rPr>
        <w:t>Тооцооны үндэслэл ба таамаглал</w:t>
      </w:r>
    </w:p>
    <w:p w14:paraId="198F790A" w14:textId="77777777" w:rsidR="006E2DD7" w:rsidRPr="006E4C68" w:rsidRDefault="006E2DD7" w:rsidP="006E2DD7">
      <w:pPr>
        <w:ind w:firstLine="567"/>
        <w:jc w:val="both"/>
        <w:rPr>
          <w:rStyle w:val="IntenseEmphasis"/>
          <w:rFonts w:ascii="Arial" w:hAnsi="Arial" w:cs="Arial"/>
          <w:b/>
          <w:bCs/>
          <w:color w:val="000000" w:themeColor="text1"/>
          <w:lang w:val="mn-MN"/>
        </w:rPr>
      </w:pPr>
    </w:p>
    <w:p w14:paraId="30232BDB" w14:textId="77777777" w:rsidR="006E2DD7" w:rsidRPr="006E4C68" w:rsidRDefault="006E2DD7" w:rsidP="006E2DD7">
      <w:pPr>
        <w:numPr>
          <w:ilvl w:val="0"/>
          <w:numId w:val="3"/>
        </w:numPr>
        <w:spacing w:afterAutospacing="1"/>
        <w:ind w:left="0"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lastRenderedPageBreak/>
        <w:t>Шууд зардал: Хуульд заасан урамшуулал, хөтөлбөрийн хөрөнгө нь жилд хэдэн зуун сая төгрөгийн хэмжээнд байх магадлалтай (өмнөх жилүүдийн төсөвт адил төстэй зардал 50-200 сая төгрөгийн хүрээнд байсан). Гэвч 2025 оны төсөвт тусгайлан заагаагүй тул улсын нийт урсгал зардлын 0.1-0.5% (ойролцоогоор 33-165 тэрбум төгрөг) байж болно – энэ нь батлан хамгаалах, аюулгүй байдлын салбарын хуваарилалтаас хамаарна.</w:t>
      </w:r>
    </w:p>
    <w:p w14:paraId="50564560" w14:textId="77777777" w:rsidR="006E2DD7" w:rsidRPr="006E4C68" w:rsidRDefault="006E2DD7" w:rsidP="006E2DD7">
      <w:pPr>
        <w:numPr>
          <w:ilvl w:val="0"/>
          <w:numId w:val="3"/>
        </w:numPr>
        <w:spacing w:afterAutospacing="1"/>
        <w:ind w:left="0"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Хэрэгжүүлэх журам: Засгийн газрын 2023 оны 246 дугаар тогтоолоор батлагдсан "Төрийн болон албаны нууцыг хамгаалах нийтлэг журам" болон 247 дугаар тогтоолд хөрөнгө оруулалтыг төсөвт тусгахыг шаарддаг. 2025 онд энэ нь тоног төхөөрөмж (шифрлэлт, хадгалалт) худалдан авахад 10-50 тэрбум төгрөгийн хөрөнгө оруулалт шаардсан байх магадлалтай.</w:t>
      </w:r>
    </w:p>
    <w:p w14:paraId="18B06565" w14:textId="77777777" w:rsidR="00D95F39" w:rsidRPr="006E4C68" w:rsidRDefault="00D95F39" w:rsidP="00D95F39">
      <w:pPr>
        <w:spacing w:afterAutospacing="1"/>
        <w:jc w:val="center"/>
        <w:rPr>
          <w:rStyle w:val="IntenseEmphasis"/>
          <w:rFonts w:ascii="Arial" w:hAnsi="Arial" w:cs="Arial"/>
          <w:b/>
          <w:bCs/>
          <w:i w:val="0"/>
          <w:iCs w:val="0"/>
          <w:color w:val="000000" w:themeColor="text1"/>
          <w:lang w:val="mn-MN"/>
        </w:rPr>
      </w:pPr>
      <w:r w:rsidRPr="006E4C68">
        <w:rPr>
          <w:rStyle w:val="IntenseEmphasis"/>
          <w:rFonts w:ascii="Arial" w:hAnsi="Arial" w:cs="Arial"/>
          <w:b/>
          <w:bCs/>
          <w:i w:val="0"/>
          <w:iCs w:val="0"/>
          <w:color w:val="000000" w:themeColor="text1"/>
          <w:lang w:val="mn-MN"/>
        </w:rPr>
        <w:t>Өмнөх жилүүдийн харьцуулалт</w:t>
      </w:r>
    </w:p>
    <w:tbl>
      <w:tblPr>
        <w:tblStyle w:val="TableGrid"/>
        <w:tblW w:w="8075" w:type="dxa"/>
        <w:tblInd w:w="567" w:type="dxa"/>
        <w:tblLook w:val="04A0" w:firstRow="1" w:lastRow="0" w:firstColumn="1" w:lastColumn="0" w:noHBand="0" w:noVBand="1"/>
      </w:tblPr>
      <w:tblGrid>
        <w:gridCol w:w="1317"/>
        <w:gridCol w:w="1797"/>
        <w:gridCol w:w="4961"/>
      </w:tblGrid>
      <w:tr w:rsidR="006E2DD7" w:rsidRPr="006E4C68" w14:paraId="20723AB4" w14:textId="77777777" w:rsidTr="006E2DD7">
        <w:tc>
          <w:tcPr>
            <w:tcW w:w="1317" w:type="dxa"/>
            <w:vAlign w:val="center"/>
          </w:tcPr>
          <w:p w14:paraId="422E8E49" w14:textId="77777777" w:rsidR="006E2DD7" w:rsidRPr="006E4C68" w:rsidRDefault="006E2DD7" w:rsidP="006E2DD7">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Жил</w:t>
            </w:r>
          </w:p>
        </w:tc>
        <w:tc>
          <w:tcPr>
            <w:tcW w:w="1797" w:type="dxa"/>
            <w:vAlign w:val="center"/>
          </w:tcPr>
          <w:p w14:paraId="0F156203" w14:textId="77777777" w:rsidR="006E2DD7" w:rsidRPr="006E4C68" w:rsidRDefault="006E2DD7" w:rsidP="006E2DD7">
            <w:pPr>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Нийт төсвийн зардал (их наяд төгрөг)</w:t>
            </w:r>
          </w:p>
        </w:tc>
        <w:tc>
          <w:tcPr>
            <w:tcW w:w="4961" w:type="dxa"/>
            <w:vAlign w:val="center"/>
          </w:tcPr>
          <w:p w14:paraId="425DB840" w14:textId="77777777" w:rsidR="006E2DD7" w:rsidRPr="006E4C68" w:rsidRDefault="006E2DD7" w:rsidP="006E2DD7">
            <w:pPr>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Нууц хамгаалалтын ойролцоо зардал (сая төгрөг)</w:t>
            </w:r>
          </w:p>
        </w:tc>
      </w:tr>
      <w:tr w:rsidR="006E2DD7" w:rsidRPr="006E4C68" w14:paraId="76C8B4A0" w14:textId="77777777" w:rsidTr="006E2DD7">
        <w:tc>
          <w:tcPr>
            <w:tcW w:w="1317" w:type="dxa"/>
            <w:vAlign w:val="center"/>
          </w:tcPr>
          <w:p w14:paraId="5942E1DB" w14:textId="77777777" w:rsidR="006E2DD7" w:rsidRPr="006E4C68" w:rsidRDefault="006E2DD7" w:rsidP="006E2DD7">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2022</w:t>
            </w:r>
          </w:p>
        </w:tc>
        <w:tc>
          <w:tcPr>
            <w:tcW w:w="1797" w:type="dxa"/>
            <w:vAlign w:val="center"/>
          </w:tcPr>
          <w:p w14:paraId="75DF7FEC" w14:textId="77777777" w:rsidR="006E2DD7" w:rsidRPr="006E4C68" w:rsidRDefault="006E2DD7" w:rsidP="006E2DD7">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w:t>
            </w:r>
            <w:r w:rsidR="00D95F39" w:rsidRPr="006E4C68">
              <w:rPr>
                <w:rStyle w:val="IntenseEmphasis"/>
                <w:rFonts w:ascii="Arial" w:hAnsi="Arial" w:cs="Arial"/>
                <w:i w:val="0"/>
                <w:iCs w:val="0"/>
                <w:color w:val="000000" w:themeColor="text1"/>
                <w:lang w:val="mn-MN"/>
              </w:rPr>
              <w:t>18</w:t>
            </w:r>
          </w:p>
        </w:tc>
        <w:tc>
          <w:tcPr>
            <w:tcW w:w="4961" w:type="dxa"/>
            <w:vAlign w:val="center"/>
          </w:tcPr>
          <w:p w14:paraId="1A3B7A1F" w14:textId="77777777" w:rsidR="006E2DD7" w:rsidRPr="006E4C68" w:rsidRDefault="006E2DD7" w:rsidP="006E2DD7">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~100-200 (батлан хамгаалах урсгал)</w:t>
            </w:r>
          </w:p>
        </w:tc>
      </w:tr>
      <w:tr w:rsidR="006E2DD7" w:rsidRPr="006E4C68" w14:paraId="0C759E7E" w14:textId="77777777" w:rsidTr="006E2DD7">
        <w:tc>
          <w:tcPr>
            <w:tcW w:w="1317" w:type="dxa"/>
            <w:vAlign w:val="center"/>
          </w:tcPr>
          <w:p w14:paraId="0CC65544" w14:textId="77777777" w:rsidR="006E2DD7" w:rsidRPr="006E4C68" w:rsidRDefault="006E2DD7" w:rsidP="006E2DD7">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2023</w:t>
            </w:r>
          </w:p>
        </w:tc>
        <w:tc>
          <w:tcPr>
            <w:tcW w:w="1797" w:type="dxa"/>
            <w:vAlign w:val="center"/>
          </w:tcPr>
          <w:p w14:paraId="2FC1BDFD" w14:textId="77777777" w:rsidR="006E2DD7" w:rsidRPr="006E4C68" w:rsidRDefault="006E2DD7" w:rsidP="006E2DD7">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w:t>
            </w:r>
            <w:r w:rsidR="00D95F39" w:rsidRPr="006E4C68">
              <w:rPr>
                <w:rStyle w:val="IntenseEmphasis"/>
                <w:rFonts w:ascii="Arial" w:hAnsi="Arial" w:cs="Arial"/>
                <w:i w:val="0"/>
                <w:iCs w:val="0"/>
                <w:color w:val="000000" w:themeColor="text1"/>
                <w:lang w:val="mn-MN"/>
              </w:rPr>
              <w:t>22</w:t>
            </w:r>
          </w:p>
        </w:tc>
        <w:tc>
          <w:tcPr>
            <w:tcW w:w="4961" w:type="dxa"/>
            <w:vAlign w:val="center"/>
          </w:tcPr>
          <w:p w14:paraId="36A253CD" w14:textId="77777777" w:rsidR="006E2DD7" w:rsidRPr="006E4C68" w:rsidRDefault="006E2DD7" w:rsidP="006E2DD7">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~150-250 (хөтөлбөрийн санхүүжилт)</w:t>
            </w:r>
          </w:p>
        </w:tc>
      </w:tr>
      <w:tr w:rsidR="006E2DD7" w:rsidRPr="006E4C68" w14:paraId="37129AE9" w14:textId="77777777" w:rsidTr="006E2DD7">
        <w:tc>
          <w:tcPr>
            <w:tcW w:w="1317" w:type="dxa"/>
            <w:vAlign w:val="center"/>
          </w:tcPr>
          <w:p w14:paraId="174DF209" w14:textId="77777777" w:rsidR="006E2DD7" w:rsidRPr="006E4C68" w:rsidRDefault="006E2DD7" w:rsidP="006E2DD7">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2024</w:t>
            </w:r>
          </w:p>
        </w:tc>
        <w:tc>
          <w:tcPr>
            <w:tcW w:w="1797" w:type="dxa"/>
            <w:vAlign w:val="center"/>
          </w:tcPr>
          <w:p w14:paraId="244B07D5" w14:textId="77777777" w:rsidR="006E2DD7" w:rsidRPr="006E4C68" w:rsidRDefault="006E2DD7" w:rsidP="006E2DD7">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~3</w:t>
            </w:r>
            <w:r w:rsidR="00D95F39" w:rsidRPr="006E4C68">
              <w:rPr>
                <w:rStyle w:val="IntenseEmphasis"/>
                <w:rFonts w:ascii="Arial" w:hAnsi="Arial" w:cs="Arial"/>
                <w:i w:val="0"/>
                <w:iCs w:val="0"/>
                <w:color w:val="000000" w:themeColor="text1"/>
                <w:lang w:val="mn-MN"/>
              </w:rPr>
              <w:t>0</w:t>
            </w:r>
          </w:p>
        </w:tc>
        <w:tc>
          <w:tcPr>
            <w:tcW w:w="4961" w:type="dxa"/>
            <w:vAlign w:val="center"/>
          </w:tcPr>
          <w:p w14:paraId="6D783192" w14:textId="77777777" w:rsidR="006E2DD7" w:rsidRPr="006E4C68" w:rsidRDefault="006E2DD7" w:rsidP="006E2DD7">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~200-300 (аюулгүй байдлын салбар)</w:t>
            </w:r>
          </w:p>
        </w:tc>
      </w:tr>
      <w:tr w:rsidR="006E2DD7" w:rsidRPr="006E4C68" w14:paraId="26A2C465" w14:textId="77777777" w:rsidTr="006E2DD7">
        <w:tc>
          <w:tcPr>
            <w:tcW w:w="1317" w:type="dxa"/>
            <w:vAlign w:val="center"/>
          </w:tcPr>
          <w:p w14:paraId="5FCDB3A2" w14:textId="77777777" w:rsidR="006E2DD7" w:rsidRPr="006E4C68" w:rsidRDefault="006E2DD7" w:rsidP="006E2DD7">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2025</w:t>
            </w:r>
          </w:p>
        </w:tc>
        <w:tc>
          <w:tcPr>
            <w:tcW w:w="1797" w:type="dxa"/>
            <w:vAlign w:val="center"/>
          </w:tcPr>
          <w:p w14:paraId="717149A1" w14:textId="77777777" w:rsidR="006E2DD7" w:rsidRPr="006E4C68" w:rsidRDefault="006E2DD7" w:rsidP="006E2DD7">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33.5</w:t>
            </w:r>
          </w:p>
        </w:tc>
        <w:tc>
          <w:tcPr>
            <w:tcW w:w="4961" w:type="dxa"/>
            <w:vAlign w:val="center"/>
          </w:tcPr>
          <w:p w14:paraId="2222A864" w14:textId="77777777" w:rsidR="006E2DD7" w:rsidRPr="006E4C68" w:rsidRDefault="006E2DD7" w:rsidP="006E2DD7">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Тооцоо: ~250-400 (урсгал + хөрөнгө)</w:t>
            </w:r>
          </w:p>
        </w:tc>
      </w:tr>
    </w:tbl>
    <w:p w14:paraId="4D5515C8" w14:textId="77777777" w:rsidR="006E2DD7" w:rsidRPr="006E4C68" w:rsidRDefault="006E2DD7" w:rsidP="006E2DD7">
      <w:pPr>
        <w:spacing w:afterAutospacing="1"/>
        <w:ind w:left="567"/>
        <w:jc w:val="both"/>
        <w:rPr>
          <w:rStyle w:val="IntenseEmphasis"/>
          <w:rFonts w:ascii="Arial" w:hAnsi="Arial" w:cs="Arial"/>
          <w:i w:val="0"/>
          <w:iCs w:val="0"/>
          <w:color w:val="000000" w:themeColor="text1"/>
          <w:lang w:val="mn-MN"/>
        </w:rPr>
      </w:pPr>
    </w:p>
    <w:p w14:paraId="5431713F" w14:textId="77777777" w:rsidR="006E2DD7" w:rsidRPr="006E4C68" w:rsidRDefault="006E2DD7" w:rsidP="00D95F39">
      <w:pPr>
        <w:ind w:firstLine="567"/>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 xml:space="preserve">Энэ тооцоо нь хууль тогтоомж, өмнөх чиг хандлагад үндэслэсэн таамаглал юм. Тодорхой </w:t>
      </w:r>
      <w:r w:rsidR="00D95F39" w:rsidRPr="006E4C68">
        <w:rPr>
          <w:rStyle w:val="IntenseEmphasis"/>
          <w:rFonts w:ascii="Arial" w:hAnsi="Arial" w:cs="Arial"/>
          <w:i w:val="0"/>
          <w:iCs w:val="0"/>
          <w:color w:val="000000" w:themeColor="text1"/>
          <w:lang w:val="mn-MN"/>
        </w:rPr>
        <w:t>тоон хэмжээг</w:t>
      </w:r>
      <w:r w:rsidRPr="006E4C68">
        <w:rPr>
          <w:rStyle w:val="IntenseEmphasis"/>
          <w:rFonts w:ascii="Arial" w:hAnsi="Arial" w:cs="Arial"/>
          <w:i w:val="0"/>
          <w:iCs w:val="0"/>
          <w:color w:val="000000" w:themeColor="text1"/>
          <w:lang w:val="mn-MN"/>
        </w:rPr>
        <w:t xml:space="preserve"> Тагнуулын ерөнхий газраас </w:t>
      </w:r>
      <w:r w:rsidR="00D95F39" w:rsidRPr="006E4C68">
        <w:rPr>
          <w:rStyle w:val="IntenseEmphasis"/>
          <w:rFonts w:ascii="Arial" w:hAnsi="Arial" w:cs="Arial"/>
          <w:i w:val="0"/>
          <w:iCs w:val="0"/>
          <w:color w:val="000000" w:themeColor="text1"/>
          <w:lang w:val="mn-MN"/>
        </w:rPr>
        <w:t>авах боломжтой.</w:t>
      </w:r>
    </w:p>
    <w:p w14:paraId="07D264B1" w14:textId="5C76E3BA" w:rsidR="00095662" w:rsidRPr="006E4C68" w:rsidRDefault="00095662" w:rsidP="00095662">
      <w:pPr>
        <w:spacing w:line="276" w:lineRule="auto"/>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 xml:space="preserve">Хуулийн төслийг баталснаар төсвөөс нэмэлт зардал гарахгүй бөгөөд </w:t>
      </w:r>
      <w:r w:rsidR="00D95F39" w:rsidRPr="006E4C68">
        <w:rPr>
          <w:rStyle w:val="IntenseEmphasis"/>
          <w:rFonts w:ascii="Arial" w:hAnsi="Arial" w:cs="Arial"/>
          <w:i w:val="0"/>
          <w:iCs w:val="0"/>
          <w:color w:val="000000" w:themeColor="text1"/>
          <w:lang w:val="mn-MN"/>
        </w:rPr>
        <w:t xml:space="preserve">дээрх </w:t>
      </w:r>
      <w:r w:rsidR="006E4C68" w:rsidRPr="006E4C68">
        <w:rPr>
          <w:rStyle w:val="IntenseEmphasis"/>
          <w:rFonts w:ascii="Arial" w:hAnsi="Arial" w:cs="Arial"/>
          <w:i w:val="0"/>
          <w:iCs w:val="0"/>
          <w:color w:val="000000" w:themeColor="text1"/>
          <w:lang w:val="mn-MN"/>
        </w:rPr>
        <w:t>тооцооллоос</w:t>
      </w:r>
      <w:r w:rsidR="00D95F39" w:rsidRPr="006E4C68">
        <w:rPr>
          <w:rStyle w:val="IntenseEmphasis"/>
          <w:rFonts w:ascii="Arial" w:hAnsi="Arial" w:cs="Arial"/>
          <w:i w:val="0"/>
          <w:iCs w:val="0"/>
          <w:color w:val="000000" w:themeColor="text1"/>
          <w:lang w:val="mn-MN"/>
        </w:rPr>
        <w:t xml:space="preserve"> хол зөрөхгүй. Харин </w:t>
      </w:r>
      <w:r w:rsidRPr="006E4C68">
        <w:rPr>
          <w:rStyle w:val="IntenseEmphasis"/>
          <w:rFonts w:ascii="Arial" w:hAnsi="Arial" w:cs="Arial"/>
          <w:i w:val="0"/>
          <w:iCs w:val="0"/>
          <w:color w:val="000000" w:themeColor="text1"/>
          <w:lang w:val="mn-MN"/>
        </w:rPr>
        <w:t>дараах эдийн засаг, нийгмийн ач холбогдолтой үр дүнг бий болгоно:</w:t>
      </w:r>
    </w:p>
    <w:p w14:paraId="2D6D95DF" w14:textId="77777777" w:rsidR="00095662" w:rsidRPr="006E4C68" w:rsidRDefault="00095662" w:rsidP="00095662">
      <w:pPr>
        <w:numPr>
          <w:ilvl w:val="0"/>
          <w:numId w:val="1"/>
        </w:numPr>
        <w:spacing w:afterAutospacing="1" w:line="276" w:lineRule="auto"/>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Эдийн засгийн тогтвортой байдал: Нууцын зэрэглэлээс хасагдсан гэрээнүүдийн ил тод байдал нь эдийн засгийн өсөлтийг дэмжиж, гадаад валютын ханшийн тогтвортой байдлыг хангаж, үнийн хэлбэлзлийг бууруулна.</w:t>
      </w:r>
    </w:p>
    <w:p w14:paraId="601B4EFF" w14:textId="77777777" w:rsidR="00095662" w:rsidRPr="006E4C68" w:rsidRDefault="00095662" w:rsidP="00095662">
      <w:pPr>
        <w:numPr>
          <w:ilvl w:val="0"/>
          <w:numId w:val="1"/>
        </w:numPr>
        <w:spacing w:afterAutospacing="1" w:line="276" w:lineRule="auto"/>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 xml:space="preserve">Санхүүгийн эрсдэлийн бууралт: Төрийн нууцад хамааруулсан </w:t>
      </w:r>
      <w:proofErr w:type="spellStart"/>
      <w:r w:rsidRPr="006E4C68">
        <w:rPr>
          <w:rStyle w:val="IntenseEmphasis"/>
          <w:rFonts w:ascii="Arial" w:hAnsi="Arial" w:cs="Arial"/>
          <w:i w:val="0"/>
          <w:iCs w:val="0"/>
          <w:color w:val="000000" w:themeColor="text1"/>
          <w:lang w:val="mn-MN"/>
        </w:rPr>
        <w:t>оффтейк</w:t>
      </w:r>
      <w:proofErr w:type="spellEnd"/>
      <w:r w:rsidRPr="006E4C68">
        <w:rPr>
          <w:rStyle w:val="IntenseEmphasis"/>
          <w:rFonts w:ascii="Arial" w:hAnsi="Arial" w:cs="Arial"/>
          <w:i w:val="0"/>
          <w:iCs w:val="0"/>
          <w:color w:val="000000" w:themeColor="text1"/>
          <w:lang w:val="mn-MN"/>
        </w:rPr>
        <w:t xml:space="preserve"> гэрээнээс үүдэлтэй олон их наяд төгрөгийн хохирлын эрсдэл багасна.</w:t>
      </w:r>
    </w:p>
    <w:p w14:paraId="12B27551" w14:textId="77777777" w:rsidR="00095662" w:rsidRPr="006E4C68" w:rsidRDefault="00095662" w:rsidP="00095662">
      <w:pPr>
        <w:numPr>
          <w:ilvl w:val="0"/>
          <w:numId w:val="1"/>
        </w:numPr>
        <w:spacing w:afterAutospacing="1" w:line="276" w:lineRule="auto"/>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 xml:space="preserve">Валютын хүртээмж: </w:t>
      </w:r>
      <w:proofErr w:type="spellStart"/>
      <w:r w:rsidRPr="006E4C68">
        <w:rPr>
          <w:rStyle w:val="IntenseEmphasis"/>
          <w:rFonts w:ascii="Arial" w:hAnsi="Arial" w:cs="Arial"/>
          <w:i w:val="0"/>
          <w:iCs w:val="0"/>
          <w:color w:val="000000" w:themeColor="text1"/>
          <w:lang w:val="mn-MN"/>
        </w:rPr>
        <w:t>Оффтейк</w:t>
      </w:r>
      <w:proofErr w:type="spellEnd"/>
      <w:r w:rsidRPr="006E4C68">
        <w:rPr>
          <w:rStyle w:val="IntenseEmphasis"/>
          <w:rFonts w:ascii="Arial" w:hAnsi="Arial" w:cs="Arial"/>
          <w:i w:val="0"/>
          <w:iCs w:val="0"/>
          <w:color w:val="000000" w:themeColor="text1"/>
          <w:lang w:val="mn-MN"/>
        </w:rPr>
        <w:t xml:space="preserve"> гэрээний нууцлалаас үүдэлтэй валютын хомсдол, ханшийн сулрал буурч, аж ахуйн нэгжүүдийн үйл ажиллагааны тогтвортой байдал сайжирна.</w:t>
      </w:r>
    </w:p>
    <w:p w14:paraId="634B4E62" w14:textId="77777777" w:rsidR="00095662" w:rsidRPr="006E4C68" w:rsidRDefault="00095662" w:rsidP="00095662">
      <w:pPr>
        <w:numPr>
          <w:ilvl w:val="0"/>
          <w:numId w:val="1"/>
        </w:numPr>
        <w:spacing w:afterAutospacing="1" w:line="276" w:lineRule="auto"/>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Шударга өрсөлдөөн: Төрийн нууцын нэрийдлээр бий болсон бизнесийн шударга бус өрсөлдөөн арилж, зах зээлийн ил тод байдал нэмэгдэнэ.</w:t>
      </w:r>
    </w:p>
    <w:p w14:paraId="5B0AFB03" w14:textId="77777777" w:rsidR="00095662" w:rsidRPr="006E4C68" w:rsidRDefault="00095662" w:rsidP="00095662">
      <w:pPr>
        <w:numPr>
          <w:ilvl w:val="0"/>
          <w:numId w:val="1"/>
        </w:numPr>
        <w:spacing w:afterAutospacing="1" w:line="276" w:lineRule="auto"/>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Хөрөнгө оруулалтын итгэл: Гадаадын хөрөнгө оруулагчдын итгэл өсөж, валютын урсгал нэмэгдэнэ. Энэ нь ажлын байр бий болгож, эдийн засагт эерэг нөлөө үзүүлнэ.</w:t>
      </w:r>
    </w:p>
    <w:p w14:paraId="4F4C9421" w14:textId="77777777" w:rsidR="00095662" w:rsidRPr="006E4C68" w:rsidRDefault="00095662" w:rsidP="00095662">
      <w:pPr>
        <w:numPr>
          <w:ilvl w:val="0"/>
          <w:numId w:val="1"/>
        </w:numPr>
        <w:spacing w:afterAutospacing="1" w:line="276" w:lineRule="auto"/>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Иргэдийн амьжиргаа: Валютын ханш, өргөн хэрэглээний бараа, хүнсний үнийн тогтвортой байдал иргэдийн амьдралын чанарыг дээшлүүлнэ.</w:t>
      </w:r>
    </w:p>
    <w:p w14:paraId="47DBA15C" w14:textId="77777777" w:rsidR="00095662" w:rsidRPr="006E4C68" w:rsidRDefault="00095662" w:rsidP="00095662">
      <w:pPr>
        <w:numPr>
          <w:ilvl w:val="0"/>
          <w:numId w:val="1"/>
        </w:numPr>
        <w:spacing w:afterAutospacing="1" w:line="276" w:lineRule="auto"/>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lastRenderedPageBreak/>
        <w:t>Түүхий эдийн боломж: Уул уурхайн салбарт түүхий эдийн үнийн супер циклийн боломжийг улс орны хөгжилд ашиглах нөхцөл бүрдэнэ.</w:t>
      </w:r>
    </w:p>
    <w:p w14:paraId="4FCA2B6D" w14:textId="77777777" w:rsidR="00095662" w:rsidRPr="006E4C68" w:rsidRDefault="00095662" w:rsidP="00095662">
      <w:pPr>
        <w:numPr>
          <w:ilvl w:val="0"/>
          <w:numId w:val="1"/>
        </w:numPr>
        <w:spacing w:afterAutospacing="1" w:line="276" w:lineRule="auto"/>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Төгрөгийн ханш: Монгол төгрөгийн ханш чангарч, гадаад өрийн дарамт буурна.</w:t>
      </w:r>
    </w:p>
    <w:p w14:paraId="19F0C8BF" w14:textId="77777777" w:rsidR="00095662" w:rsidRPr="006E4C68" w:rsidRDefault="00095662" w:rsidP="00095662">
      <w:pPr>
        <w:numPr>
          <w:ilvl w:val="0"/>
          <w:numId w:val="1"/>
        </w:numPr>
        <w:spacing w:afterAutospacing="1" w:line="276" w:lineRule="auto"/>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Итгэлийн өсөлт: Эдийн засгийн тодорхой бус байдал, хямралын үед иргэд, бизнес, хөрөнгө оруулагчдын итгэл нэмэгдэнэ.</w:t>
      </w:r>
    </w:p>
    <w:p w14:paraId="4551FA30" w14:textId="77777777" w:rsidR="00095662" w:rsidRPr="006E4C68" w:rsidRDefault="00095662" w:rsidP="00095662">
      <w:pPr>
        <w:numPr>
          <w:ilvl w:val="0"/>
          <w:numId w:val="1"/>
        </w:numPr>
        <w:spacing w:afterAutospacing="1" w:line="276" w:lineRule="auto"/>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Мэдээллийн ил тод байдал: Төрийн нууцад хамаарахгүй мэдээллийн нууцлалыг хязгаарласнаар мэдээллийн хүртээмж, олон нийтийн хяналт сайжирч, иргэдийн мэдээлэл авах эрх хангагдана.</w:t>
      </w:r>
    </w:p>
    <w:p w14:paraId="74F7E31E" w14:textId="77777777" w:rsidR="00095662" w:rsidRPr="006E4C68" w:rsidRDefault="00095662" w:rsidP="00095662">
      <w:pPr>
        <w:numPr>
          <w:ilvl w:val="0"/>
          <w:numId w:val="1"/>
        </w:numPr>
        <w:spacing w:afterAutospacing="1" w:line="276" w:lineRule="auto"/>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Авлигын бууралт: Авлига, албан тушаалын гэмт хэрэг багасна.</w:t>
      </w:r>
    </w:p>
    <w:p w14:paraId="64D0F460" w14:textId="77777777" w:rsidR="00095662" w:rsidRPr="006E4C68" w:rsidRDefault="00095662" w:rsidP="00095662">
      <w:pPr>
        <w:numPr>
          <w:ilvl w:val="0"/>
          <w:numId w:val="1"/>
        </w:numPr>
        <w:spacing w:afterAutospacing="1" w:line="276" w:lineRule="auto"/>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Зардлын хэмнэлт: Нууц мэдээлэл хадгалах, хамгаалах, ашиглахтай холбоотой зардал, хүнд суртал, цаг хугацааны алдагдал буурна.</w:t>
      </w:r>
    </w:p>
    <w:p w14:paraId="3F3BF818" w14:textId="77777777" w:rsidR="00095662" w:rsidRPr="006E4C68" w:rsidRDefault="00095662" w:rsidP="00095662">
      <w:pPr>
        <w:numPr>
          <w:ilvl w:val="0"/>
          <w:numId w:val="1"/>
        </w:numPr>
        <w:spacing w:afterAutospacing="1" w:line="276" w:lineRule="auto"/>
        <w:jc w:val="both"/>
        <w:rPr>
          <w:rStyle w:val="IntenseEmphasis"/>
          <w:rFonts w:ascii="Arial" w:hAnsi="Arial" w:cs="Arial"/>
          <w:i w:val="0"/>
          <w:iCs w:val="0"/>
          <w:color w:val="000000" w:themeColor="text1"/>
          <w:lang w:val="mn-MN"/>
        </w:rPr>
      </w:pPr>
      <w:r w:rsidRPr="006E4C68">
        <w:rPr>
          <w:rStyle w:val="IntenseEmphasis"/>
          <w:rFonts w:ascii="Arial" w:hAnsi="Arial" w:cs="Arial"/>
          <w:i w:val="0"/>
          <w:iCs w:val="0"/>
          <w:color w:val="000000" w:themeColor="text1"/>
          <w:lang w:val="mn-MN"/>
        </w:rPr>
        <w:t>Хуулийн хариуцлага: Төрийн нууцад хамаарахгүй мэдээллийг нууцалснаас үүдэх хуулийн хариуцлага, хүний эрхийн зөрчил, эрх чөлөөний хязгаарлалтын эрсдэл багасна.</w:t>
      </w:r>
    </w:p>
    <w:p w14:paraId="7AA975CD" w14:textId="77777777" w:rsidR="00095662" w:rsidRPr="006E4C68" w:rsidRDefault="00095662" w:rsidP="00095662">
      <w:pPr>
        <w:ind w:right="4" w:firstLine="567"/>
        <w:jc w:val="both"/>
        <w:rPr>
          <w:rFonts w:ascii="Arial" w:hAnsi="Arial" w:cs="Arial"/>
          <w:lang w:val="mn-MN"/>
        </w:rPr>
      </w:pPr>
    </w:p>
    <w:p w14:paraId="52192572" w14:textId="77777777" w:rsidR="00095662" w:rsidRPr="006E4C68" w:rsidRDefault="00095662" w:rsidP="00095662">
      <w:pPr>
        <w:ind w:right="4" w:firstLine="567"/>
        <w:jc w:val="both"/>
        <w:rPr>
          <w:rFonts w:ascii="Arial" w:hAnsi="Arial" w:cs="Arial"/>
          <w:lang w:val="mn-MN"/>
        </w:rPr>
      </w:pPr>
      <w:r w:rsidRPr="006E4C68">
        <w:rPr>
          <w:rFonts w:ascii="Arial" w:hAnsi="Arial" w:cs="Arial"/>
          <w:lang w:val="mn-MN"/>
        </w:rPr>
        <w:tab/>
      </w:r>
      <w:r w:rsidRPr="006E4C68">
        <w:rPr>
          <w:rFonts w:ascii="Arial" w:hAnsi="Arial" w:cs="Arial"/>
          <w:lang w:val="mn-MN"/>
        </w:rPr>
        <w:tab/>
      </w:r>
      <w:r w:rsidRPr="006E4C68">
        <w:rPr>
          <w:rFonts w:ascii="Arial" w:hAnsi="Arial" w:cs="Arial"/>
          <w:lang w:val="mn-MN"/>
        </w:rPr>
        <w:tab/>
      </w:r>
      <w:r w:rsidRPr="006E4C68">
        <w:rPr>
          <w:rFonts w:ascii="Arial" w:hAnsi="Arial" w:cs="Arial"/>
          <w:lang w:val="mn-MN"/>
        </w:rPr>
        <w:tab/>
      </w:r>
      <w:r w:rsidRPr="006E4C68">
        <w:rPr>
          <w:rFonts w:ascii="Arial" w:hAnsi="Arial" w:cs="Arial"/>
          <w:lang w:val="mn-MN"/>
        </w:rPr>
        <w:tab/>
      </w:r>
      <w:r w:rsidRPr="006E4C68">
        <w:rPr>
          <w:rFonts w:ascii="Arial" w:hAnsi="Arial" w:cs="Arial"/>
          <w:lang w:val="mn-MN"/>
        </w:rPr>
        <w:tab/>
        <w:t>-----</w:t>
      </w:r>
      <w:proofErr w:type="spellStart"/>
      <w:r w:rsidRPr="006E4C68">
        <w:rPr>
          <w:rFonts w:ascii="Arial" w:hAnsi="Arial" w:cs="Arial"/>
          <w:lang w:val="mn-MN"/>
        </w:rPr>
        <w:t>оОо</w:t>
      </w:r>
      <w:proofErr w:type="spellEnd"/>
      <w:r w:rsidRPr="006E4C68">
        <w:rPr>
          <w:rFonts w:ascii="Arial" w:hAnsi="Arial" w:cs="Arial"/>
          <w:lang w:val="mn-MN"/>
        </w:rPr>
        <w:t>----</w:t>
      </w:r>
    </w:p>
    <w:p w14:paraId="29BE5684" w14:textId="77777777" w:rsidR="00095662" w:rsidRPr="006E4C68" w:rsidRDefault="00095662" w:rsidP="00095662">
      <w:pPr>
        <w:ind w:right="4" w:firstLine="567"/>
        <w:jc w:val="both"/>
        <w:rPr>
          <w:rFonts w:ascii="Arial" w:hAnsi="Arial" w:cs="Arial"/>
          <w:lang w:val="mn-MN"/>
        </w:rPr>
      </w:pPr>
    </w:p>
    <w:p w14:paraId="0609C01A" w14:textId="77777777" w:rsidR="00095662" w:rsidRPr="006E4C68" w:rsidRDefault="00095662">
      <w:pPr>
        <w:rPr>
          <w:lang w:val="mn-MN"/>
        </w:rPr>
      </w:pPr>
    </w:p>
    <w:sectPr w:rsidR="00095662" w:rsidRPr="006E4C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9154C"/>
    <w:multiLevelType w:val="multilevel"/>
    <w:tmpl w:val="869E0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8D78AA"/>
    <w:multiLevelType w:val="multilevel"/>
    <w:tmpl w:val="BADE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E27A81"/>
    <w:multiLevelType w:val="multilevel"/>
    <w:tmpl w:val="0D9E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2"/>
    <w:rsid w:val="00095662"/>
    <w:rsid w:val="006E2DD7"/>
    <w:rsid w:val="006E4C68"/>
    <w:rsid w:val="00D95F39"/>
    <w:rsid w:val="00DC74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7BEB"/>
  <w15:chartTrackingRefBased/>
  <w15:docId w15:val="{D92A2A29-F376-5048-A97C-048464E20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DD7"/>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095662"/>
    <w:rPr>
      <w:i/>
      <w:iCs/>
      <w:color w:val="4472C4" w:themeColor="accent1"/>
    </w:rPr>
  </w:style>
  <w:style w:type="character" w:customStyle="1" w:styleId="css-1jxf6841">
    <w:name w:val="css-1jxf6841"/>
    <w:basedOn w:val="DefaultParagraphFont"/>
    <w:rsid w:val="006E2DD7"/>
    <w:rPr>
      <w:strike w:val="0"/>
      <w:dstrike w:val="0"/>
      <w:vanish w:val="0"/>
      <w:webHidden w:val="0"/>
      <w:u w:val="none"/>
      <w:effect w:val="none"/>
      <w:bdr w:val="single" w:sz="2" w:space="0" w:color="000000" w:frame="1"/>
      <w:specVanish w:val="0"/>
    </w:rPr>
  </w:style>
  <w:style w:type="table" w:styleId="TableGrid">
    <w:name w:val="Table Grid"/>
    <w:basedOn w:val="TableNormal"/>
    <w:uiPriority w:val="39"/>
    <w:rsid w:val="006E2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367429">
      <w:bodyDiv w:val="1"/>
      <w:marLeft w:val="0"/>
      <w:marRight w:val="0"/>
      <w:marTop w:val="0"/>
      <w:marBottom w:val="0"/>
      <w:divBdr>
        <w:top w:val="none" w:sz="0" w:space="0" w:color="auto"/>
        <w:left w:val="none" w:sz="0" w:space="0" w:color="auto"/>
        <w:bottom w:val="none" w:sz="0" w:space="0" w:color="auto"/>
        <w:right w:val="none" w:sz="0" w:space="0" w:color="auto"/>
      </w:divBdr>
      <w:divsChild>
        <w:div w:id="275406394">
          <w:marLeft w:val="0"/>
          <w:marRight w:val="0"/>
          <w:marTop w:val="0"/>
          <w:marBottom w:val="0"/>
          <w:divBdr>
            <w:top w:val="none" w:sz="0" w:space="0" w:color="auto"/>
            <w:left w:val="none" w:sz="0" w:space="0" w:color="auto"/>
            <w:bottom w:val="none" w:sz="0" w:space="0" w:color="auto"/>
            <w:right w:val="none" w:sz="0" w:space="0" w:color="auto"/>
          </w:divBdr>
          <w:divsChild>
            <w:div w:id="623125019">
              <w:marLeft w:val="0"/>
              <w:marRight w:val="0"/>
              <w:marTop w:val="0"/>
              <w:marBottom w:val="0"/>
              <w:divBdr>
                <w:top w:val="single" w:sz="2" w:space="0" w:color="000000"/>
                <w:left w:val="single" w:sz="2" w:space="0" w:color="000000"/>
                <w:bottom w:val="single" w:sz="2" w:space="0" w:color="000000"/>
                <w:right w:val="single" w:sz="2" w:space="0" w:color="000000"/>
              </w:divBdr>
              <w:divsChild>
                <w:div w:id="1491021123">
                  <w:marLeft w:val="0"/>
                  <w:marRight w:val="0"/>
                  <w:marTop w:val="0"/>
                  <w:marBottom w:val="0"/>
                  <w:divBdr>
                    <w:top w:val="single" w:sz="2" w:space="0" w:color="000000"/>
                    <w:left w:val="single" w:sz="2" w:space="0" w:color="000000"/>
                    <w:bottom w:val="single" w:sz="2" w:space="0" w:color="000000"/>
                    <w:right w:val="single" w:sz="2" w:space="0" w:color="000000"/>
                  </w:divBdr>
                </w:div>
                <w:div w:id="1816070710">
                  <w:marLeft w:val="0"/>
                  <w:marRight w:val="0"/>
                  <w:marTop w:val="0"/>
                  <w:marBottom w:val="0"/>
                  <w:divBdr>
                    <w:top w:val="single" w:sz="2" w:space="0" w:color="000000"/>
                    <w:left w:val="single" w:sz="2" w:space="0" w:color="000000"/>
                    <w:bottom w:val="single" w:sz="2" w:space="0" w:color="000000"/>
                    <w:right w:val="single" w:sz="2" w:space="0" w:color="000000"/>
                  </w:divBdr>
                </w:div>
                <w:div w:id="1423263882">
                  <w:marLeft w:val="0"/>
                  <w:marRight w:val="0"/>
                  <w:marTop w:val="0"/>
                  <w:marBottom w:val="0"/>
                  <w:divBdr>
                    <w:top w:val="single" w:sz="2" w:space="0" w:color="000000"/>
                    <w:left w:val="single" w:sz="2" w:space="0" w:color="000000"/>
                    <w:bottom w:val="single" w:sz="2" w:space="0" w:color="000000"/>
                    <w:right w:val="single" w:sz="2" w:space="0" w:color="000000"/>
                  </w:divBdr>
                </w:div>
                <w:div w:id="1948196610">
                  <w:marLeft w:val="0"/>
                  <w:marRight w:val="0"/>
                  <w:marTop w:val="0"/>
                  <w:marBottom w:val="0"/>
                  <w:divBdr>
                    <w:top w:val="single" w:sz="2" w:space="0" w:color="000000"/>
                    <w:left w:val="single" w:sz="2" w:space="0" w:color="000000"/>
                    <w:bottom w:val="single" w:sz="2" w:space="0" w:color="000000"/>
                    <w:right w:val="single" w:sz="2" w:space="0" w:color="000000"/>
                  </w:divBdr>
                </w:div>
                <w:div w:id="411124954">
                  <w:marLeft w:val="0"/>
                  <w:marRight w:val="0"/>
                  <w:marTop w:val="0"/>
                  <w:marBottom w:val="0"/>
                  <w:divBdr>
                    <w:top w:val="single" w:sz="2" w:space="0" w:color="000000"/>
                    <w:left w:val="single" w:sz="2" w:space="0" w:color="000000"/>
                    <w:bottom w:val="single" w:sz="2" w:space="0" w:color="000000"/>
                    <w:right w:val="single" w:sz="2" w:space="0" w:color="000000"/>
                  </w:divBdr>
                </w:div>
                <w:div w:id="1900943934">
                  <w:marLeft w:val="0"/>
                  <w:marRight w:val="0"/>
                  <w:marTop w:val="0"/>
                  <w:marBottom w:val="0"/>
                  <w:divBdr>
                    <w:top w:val="single" w:sz="2" w:space="0" w:color="000000"/>
                    <w:left w:val="single" w:sz="2" w:space="0" w:color="000000"/>
                    <w:bottom w:val="single" w:sz="2" w:space="0" w:color="000000"/>
                    <w:right w:val="single" w:sz="2" w:space="0" w:color="000000"/>
                  </w:divBdr>
                </w:div>
                <w:div w:id="1117405446">
                  <w:marLeft w:val="0"/>
                  <w:marRight w:val="0"/>
                  <w:marTop w:val="0"/>
                  <w:marBottom w:val="0"/>
                  <w:divBdr>
                    <w:top w:val="single" w:sz="2" w:space="0" w:color="000000"/>
                    <w:left w:val="single" w:sz="2" w:space="0" w:color="000000"/>
                    <w:bottom w:val="single" w:sz="2" w:space="0" w:color="000000"/>
                    <w:right w:val="single" w:sz="2" w:space="0" w:color="000000"/>
                  </w:divBdr>
                </w:div>
                <w:div w:id="604120871">
                  <w:marLeft w:val="0"/>
                  <w:marRight w:val="0"/>
                  <w:marTop w:val="0"/>
                  <w:marBottom w:val="0"/>
                  <w:divBdr>
                    <w:top w:val="single" w:sz="2" w:space="0" w:color="000000"/>
                    <w:left w:val="single" w:sz="2" w:space="0" w:color="000000"/>
                    <w:bottom w:val="single" w:sz="2" w:space="0" w:color="000000"/>
                    <w:right w:val="single" w:sz="2" w:space="0" w:color="000000"/>
                  </w:divBdr>
                </w:div>
                <w:div w:id="130096523">
                  <w:marLeft w:val="0"/>
                  <w:marRight w:val="0"/>
                  <w:marTop w:val="0"/>
                  <w:marBottom w:val="0"/>
                  <w:divBdr>
                    <w:top w:val="single" w:sz="2" w:space="0" w:color="000000"/>
                    <w:left w:val="single" w:sz="2" w:space="0" w:color="000000"/>
                    <w:bottom w:val="single" w:sz="2" w:space="0" w:color="000000"/>
                    <w:right w:val="single" w:sz="2" w:space="0" w:color="000000"/>
                  </w:divBdr>
                </w:div>
                <w:div w:id="1732773748">
                  <w:marLeft w:val="0"/>
                  <w:marRight w:val="0"/>
                  <w:marTop w:val="0"/>
                  <w:marBottom w:val="0"/>
                  <w:divBdr>
                    <w:top w:val="single" w:sz="2" w:space="0" w:color="000000"/>
                    <w:left w:val="single" w:sz="2" w:space="0" w:color="000000"/>
                    <w:bottom w:val="single" w:sz="2" w:space="0" w:color="000000"/>
                    <w:right w:val="single" w:sz="2" w:space="0" w:color="000000"/>
                  </w:divBdr>
                </w:div>
                <w:div w:id="154536079">
                  <w:marLeft w:val="0"/>
                  <w:marRight w:val="0"/>
                  <w:marTop w:val="0"/>
                  <w:marBottom w:val="0"/>
                  <w:divBdr>
                    <w:top w:val="single" w:sz="2" w:space="0" w:color="000000"/>
                    <w:left w:val="single" w:sz="2" w:space="0" w:color="000000"/>
                    <w:bottom w:val="single" w:sz="2" w:space="0" w:color="000000"/>
                    <w:right w:val="single" w:sz="2" w:space="0" w:color="000000"/>
                  </w:divBdr>
                </w:div>
                <w:div w:id="132828982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77414559">
              <w:marLeft w:val="0"/>
              <w:marRight w:val="0"/>
              <w:marTop w:val="0"/>
              <w:marBottom w:val="0"/>
              <w:divBdr>
                <w:top w:val="single" w:sz="2" w:space="0" w:color="000000"/>
                <w:left w:val="single" w:sz="2" w:space="0" w:color="000000"/>
                <w:bottom w:val="single" w:sz="2" w:space="0" w:color="000000"/>
                <w:right w:val="single" w:sz="2" w:space="0" w:color="000000"/>
              </w:divBdr>
              <w:divsChild>
                <w:div w:id="1969626059">
                  <w:marLeft w:val="0"/>
                  <w:marRight w:val="0"/>
                  <w:marTop w:val="0"/>
                  <w:marBottom w:val="0"/>
                  <w:divBdr>
                    <w:top w:val="single" w:sz="2" w:space="0" w:color="000000"/>
                    <w:left w:val="single" w:sz="2" w:space="0" w:color="000000"/>
                    <w:bottom w:val="single" w:sz="2" w:space="0" w:color="000000"/>
                    <w:right w:val="single" w:sz="2" w:space="0" w:color="000000"/>
                  </w:divBdr>
                </w:div>
                <w:div w:id="1208183999">
                  <w:marLeft w:val="0"/>
                  <w:marRight w:val="0"/>
                  <w:marTop w:val="0"/>
                  <w:marBottom w:val="0"/>
                  <w:divBdr>
                    <w:top w:val="single" w:sz="2" w:space="0" w:color="000000"/>
                    <w:left w:val="single" w:sz="2" w:space="0" w:color="000000"/>
                    <w:bottom w:val="single" w:sz="2" w:space="0" w:color="000000"/>
                    <w:right w:val="single" w:sz="2" w:space="0" w:color="000000"/>
                  </w:divBdr>
                </w:div>
                <w:div w:id="124979582">
                  <w:marLeft w:val="0"/>
                  <w:marRight w:val="0"/>
                  <w:marTop w:val="0"/>
                  <w:marBottom w:val="0"/>
                  <w:divBdr>
                    <w:top w:val="single" w:sz="2" w:space="0" w:color="000000"/>
                    <w:left w:val="single" w:sz="2" w:space="0" w:color="000000"/>
                    <w:bottom w:val="single" w:sz="2" w:space="0" w:color="000000"/>
                    <w:right w:val="single" w:sz="2" w:space="0" w:color="000000"/>
                  </w:divBdr>
                </w:div>
                <w:div w:id="537399191">
                  <w:marLeft w:val="0"/>
                  <w:marRight w:val="0"/>
                  <w:marTop w:val="0"/>
                  <w:marBottom w:val="0"/>
                  <w:divBdr>
                    <w:top w:val="single" w:sz="2" w:space="0" w:color="000000"/>
                    <w:left w:val="single" w:sz="2" w:space="0" w:color="000000"/>
                    <w:bottom w:val="single" w:sz="2" w:space="0" w:color="000000"/>
                    <w:right w:val="single" w:sz="2" w:space="0" w:color="000000"/>
                  </w:divBdr>
                </w:div>
                <w:div w:id="664817254">
                  <w:marLeft w:val="0"/>
                  <w:marRight w:val="0"/>
                  <w:marTop w:val="0"/>
                  <w:marBottom w:val="0"/>
                  <w:divBdr>
                    <w:top w:val="single" w:sz="2" w:space="0" w:color="000000"/>
                    <w:left w:val="single" w:sz="2" w:space="0" w:color="000000"/>
                    <w:bottom w:val="single" w:sz="2" w:space="0" w:color="000000"/>
                    <w:right w:val="single" w:sz="2" w:space="0" w:color="000000"/>
                  </w:divBdr>
                </w:div>
                <w:div w:id="1041248388">
                  <w:marLeft w:val="0"/>
                  <w:marRight w:val="0"/>
                  <w:marTop w:val="0"/>
                  <w:marBottom w:val="0"/>
                  <w:divBdr>
                    <w:top w:val="single" w:sz="2" w:space="0" w:color="000000"/>
                    <w:left w:val="single" w:sz="2" w:space="0" w:color="000000"/>
                    <w:bottom w:val="single" w:sz="2" w:space="0" w:color="000000"/>
                    <w:right w:val="single" w:sz="2" w:space="0" w:color="000000"/>
                  </w:divBdr>
                </w:div>
                <w:div w:id="1347904123">
                  <w:marLeft w:val="0"/>
                  <w:marRight w:val="0"/>
                  <w:marTop w:val="0"/>
                  <w:marBottom w:val="0"/>
                  <w:divBdr>
                    <w:top w:val="single" w:sz="2" w:space="0" w:color="000000"/>
                    <w:left w:val="single" w:sz="2" w:space="0" w:color="000000"/>
                    <w:bottom w:val="single" w:sz="2" w:space="0" w:color="000000"/>
                    <w:right w:val="single" w:sz="2" w:space="0" w:color="000000"/>
                  </w:divBdr>
                </w:div>
                <w:div w:id="634943640">
                  <w:marLeft w:val="0"/>
                  <w:marRight w:val="0"/>
                  <w:marTop w:val="0"/>
                  <w:marBottom w:val="0"/>
                  <w:divBdr>
                    <w:top w:val="single" w:sz="2" w:space="0" w:color="000000"/>
                    <w:left w:val="single" w:sz="2" w:space="0" w:color="000000"/>
                    <w:bottom w:val="single" w:sz="2" w:space="0" w:color="000000"/>
                    <w:right w:val="single" w:sz="2" w:space="0" w:color="000000"/>
                  </w:divBdr>
                </w:div>
                <w:div w:id="2094541655">
                  <w:marLeft w:val="0"/>
                  <w:marRight w:val="0"/>
                  <w:marTop w:val="0"/>
                  <w:marBottom w:val="0"/>
                  <w:divBdr>
                    <w:top w:val="single" w:sz="2" w:space="0" w:color="000000"/>
                    <w:left w:val="single" w:sz="2" w:space="0" w:color="000000"/>
                    <w:bottom w:val="single" w:sz="2" w:space="0" w:color="000000"/>
                    <w:right w:val="single" w:sz="2" w:space="0" w:color="000000"/>
                  </w:divBdr>
                </w:div>
                <w:div w:id="720248838">
                  <w:marLeft w:val="0"/>
                  <w:marRight w:val="0"/>
                  <w:marTop w:val="0"/>
                  <w:marBottom w:val="0"/>
                  <w:divBdr>
                    <w:top w:val="single" w:sz="2" w:space="0" w:color="000000"/>
                    <w:left w:val="single" w:sz="2" w:space="0" w:color="000000"/>
                    <w:bottom w:val="single" w:sz="2" w:space="0" w:color="000000"/>
                    <w:right w:val="single" w:sz="2" w:space="0" w:color="000000"/>
                  </w:divBdr>
                </w:div>
                <w:div w:id="274604749">
                  <w:marLeft w:val="0"/>
                  <w:marRight w:val="0"/>
                  <w:marTop w:val="0"/>
                  <w:marBottom w:val="0"/>
                  <w:divBdr>
                    <w:top w:val="single" w:sz="2" w:space="0" w:color="000000"/>
                    <w:left w:val="single" w:sz="2" w:space="0" w:color="000000"/>
                    <w:bottom w:val="single" w:sz="2" w:space="0" w:color="000000"/>
                    <w:right w:val="single" w:sz="2" w:space="0" w:color="000000"/>
                  </w:divBdr>
                </w:div>
                <w:div w:id="4245706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r.davaadorj@gmail.com</dc:creator>
  <cp:keywords/>
  <dc:description/>
  <cp:lastModifiedBy>user</cp:lastModifiedBy>
  <cp:revision>4</cp:revision>
  <dcterms:created xsi:type="dcterms:W3CDTF">2025-11-16T06:17:00Z</dcterms:created>
  <dcterms:modified xsi:type="dcterms:W3CDTF">2025-11-17T05:35:00Z</dcterms:modified>
</cp:coreProperties>
</file>