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76451" w14:textId="7475B4E2" w:rsidR="008A5265" w:rsidRDefault="009F4FE8" w:rsidP="0087582E">
      <w:pPr>
        <w:tabs>
          <w:tab w:val="left" w:pos="9360"/>
        </w:tabs>
        <w:spacing w:after="0" w:line="240" w:lineRule="auto"/>
        <w:jc w:val="center"/>
        <w:rPr>
          <w:rFonts w:ascii="Arial" w:eastAsia="Times New Roman" w:hAnsi="Arial" w:cs="Arial"/>
          <w:b/>
          <w:bCs/>
          <w:lang w:val="mn-MN" w:bidi="bo-CN"/>
        </w:rPr>
      </w:pPr>
      <w:r>
        <w:rPr>
          <w:rFonts w:ascii="Arial" w:eastAsia="Times New Roman" w:hAnsi="Arial" w:cs="Arial"/>
          <w:b/>
          <w:bCs/>
          <w:lang w:val="mn-MN" w:bidi="bo-CN"/>
        </w:rPr>
        <w:t xml:space="preserve">ТОВЧ </w:t>
      </w:r>
      <w:r w:rsidRPr="00260F1F">
        <w:rPr>
          <w:rFonts w:ascii="Arial" w:eastAsia="Times New Roman" w:hAnsi="Arial" w:cs="Arial"/>
          <w:b/>
          <w:bCs/>
          <w:lang w:val="mn-MN" w:bidi="bo-CN"/>
        </w:rPr>
        <w:t>ТАНИЛЦУУЛГА</w:t>
      </w:r>
    </w:p>
    <w:p w14:paraId="0FA6FB70" w14:textId="77777777" w:rsidR="00F527F0" w:rsidRDefault="00F527F0" w:rsidP="0087582E">
      <w:pPr>
        <w:tabs>
          <w:tab w:val="left" w:pos="9360"/>
        </w:tabs>
        <w:spacing w:after="0" w:line="240" w:lineRule="auto"/>
        <w:jc w:val="center"/>
        <w:rPr>
          <w:rFonts w:ascii="Arial" w:eastAsia="Times New Roman" w:hAnsi="Arial" w:cs="Arial"/>
          <w:b/>
          <w:bCs/>
          <w:lang w:val="mn-MN" w:bidi="bo-CN"/>
        </w:rPr>
      </w:pPr>
    </w:p>
    <w:p w14:paraId="2C2255DA" w14:textId="77777777" w:rsidR="00F527F0" w:rsidRDefault="00F527F0" w:rsidP="0087582E">
      <w:pPr>
        <w:tabs>
          <w:tab w:val="left" w:pos="9360"/>
        </w:tabs>
        <w:spacing w:after="0" w:line="240" w:lineRule="auto"/>
        <w:jc w:val="center"/>
        <w:rPr>
          <w:rFonts w:ascii="Arial" w:eastAsia="Times New Roman" w:hAnsi="Arial" w:cs="Arial"/>
          <w:b/>
          <w:bCs/>
          <w:lang w:val="mn-MN" w:bidi="bo-CN"/>
        </w:rPr>
      </w:pPr>
    </w:p>
    <w:p w14:paraId="1A0D7C55" w14:textId="77777777" w:rsidR="00F527F0" w:rsidRPr="000256A0" w:rsidRDefault="00F527F0" w:rsidP="00F527F0">
      <w:pPr>
        <w:spacing w:after="0" w:line="240" w:lineRule="auto"/>
        <w:ind w:left="5245" w:right="391"/>
        <w:jc w:val="center"/>
        <w:rPr>
          <w:rFonts w:ascii="Arial" w:eastAsia="Times New Roman" w:hAnsi="Arial" w:cs="Arial"/>
          <w:color w:val="000000" w:themeColor="text1"/>
          <w:kern w:val="0"/>
          <w:sz w:val="22"/>
          <w:szCs w:val="22"/>
          <w:lang w:val="mn-MN"/>
          <w14:ligatures w14:val="none"/>
        </w:rPr>
      </w:pPr>
      <w:r w:rsidRPr="000256A0">
        <w:rPr>
          <w:rFonts w:ascii="Arial" w:eastAsia="Times New Roman" w:hAnsi="Arial" w:cs="Arial"/>
          <w:color w:val="000000" w:themeColor="text1"/>
          <w:kern w:val="0"/>
          <w:sz w:val="22"/>
          <w:szCs w:val="22"/>
          <w:lang w:val="mn-MN"/>
          <w14:ligatures w14:val="none"/>
        </w:rPr>
        <w:t xml:space="preserve">"Төрийн өмчит хуулийн этгээдийн хувьцааг 2026-2028 онд </w:t>
      </w:r>
    </w:p>
    <w:p w14:paraId="12678B7E" w14:textId="77777777" w:rsidR="00F527F0" w:rsidRPr="000256A0" w:rsidRDefault="00F527F0" w:rsidP="00F527F0">
      <w:pPr>
        <w:spacing w:after="0" w:line="240" w:lineRule="auto"/>
        <w:ind w:left="5245" w:right="391"/>
        <w:jc w:val="center"/>
        <w:rPr>
          <w:rFonts w:ascii="Arial" w:eastAsia="Times New Roman" w:hAnsi="Arial" w:cs="Arial"/>
          <w:color w:val="000000" w:themeColor="text1"/>
          <w:kern w:val="0"/>
          <w:sz w:val="22"/>
          <w:szCs w:val="22"/>
          <w:lang w:val="mn-MN"/>
          <w14:ligatures w14:val="none"/>
        </w:rPr>
      </w:pPr>
      <w:r w:rsidRPr="000256A0">
        <w:rPr>
          <w:rFonts w:ascii="Arial" w:eastAsia="Times New Roman" w:hAnsi="Arial" w:cs="Arial"/>
          <w:color w:val="000000" w:themeColor="text1"/>
          <w:kern w:val="0"/>
          <w:sz w:val="22"/>
          <w:szCs w:val="22"/>
          <w:lang w:val="mn-MN"/>
          <w14:ligatures w14:val="none"/>
        </w:rPr>
        <w:t xml:space="preserve">биржээр олон нийтэд нээлттэй худалдах, төрийн өмчийг хувьчлах, </w:t>
      </w:r>
    </w:p>
    <w:p w14:paraId="26B21CF4" w14:textId="66BD1EF5" w:rsidR="00F527F0" w:rsidRPr="00F527F0" w:rsidRDefault="00F527F0" w:rsidP="00F527F0">
      <w:pPr>
        <w:spacing w:after="0" w:line="240" w:lineRule="auto"/>
        <w:ind w:left="5245" w:right="391"/>
        <w:jc w:val="center"/>
        <w:rPr>
          <w:rFonts w:ascii="Arial" w:eastAsia="Times New Roman" w:hAnsi="Arial" w:cs="Arial"/>
          <w:color w:val="000000" w:themeColor="text1"/>
          <w:kern w:val="0"/>
          <w:lang w:val="mn-MN"/>
          <w14:ligatures w14:val="none"/>
        </w:rPr>
      </w:pPr>
      <w:r w:rsidRPr="000256A0">
        <w:rPr>
          <w:rFonts w:ascii="Arial" w:eastAsia="Times New Roman" w:hAnsi="Arial" w:cs="Arial"/>
          <w:color w:val="000000" w:themeColor="text1"/>
          <w:kern w:val="0"/>
          <w:sz w:val="22"/>
          <w:szCs w:val="22"/>
          <w:lang w:val="mn-MN"/>
          <w14:ligatures w14:val="none"/>
        </w:rPr>
        <w:t>өөрчлөн байгуулах үндсэн чиглэл батлах тухай” Улсын Их Хурлын тогтоолын төсөл</w:t>
      </w:r>
    </w:p>
    <w:p w14:paraId="0B0A3C17" w14:textId="77777777" w:rsidR="0087582E" w:rsidRPr="00260F1F" w:rsidRDefault="0087582E" w:rsidP="0087582E">
      <w:pPr>
        <w:tabs>
          <w:tab w:val="left" w:pos="9360"/>
        </w:tabs>
        <w:spacing w:after="0" w:line="240" w:lineRule="auto"/>
        <w:jc w:val="center"/>
        <w:rPr>
          <w:rFonts w:ascii="Arial" w:eastAsia="Times New Roman" w:hAnsi="Arial" w:cs="Arial"/>
          <w:b/>
          <w:bCs/>
          <w:lang w:val="mn-MN" w:bidi="bo-CN"/>
        </w:rPr>
      </w:pPr>
    </w:p>
    <w:p w14:paraId="373B72EE" w14:textId="77777777" w:rsidR="008A5265" w:rsidRPr="0079369B" w:rsidRDefault="008A5265" w:rsidP="00CD3FC5">
      <w:pPr>
        <w:pStyle w:val="NormalWeb"/>
        <w:spacing w:after="0"/>
        <w:ind w:firstLine="680"/>
        <w:jc w:val="both"/>
        <w:rPr>
          <w:rFonts w:ascii="Arial" w:eastAsia="Times New Roman" w:hAnsi="Arial" w:cs="Arial"/>
          <w:iCs/>
          <w:color w:val="000000" w:themeColor="text1"/>
          <w:lang w:val="mn-MN"/>
          <w14:ligatures w14:val="none"/>
        </w:rPr>
      </w:pPr>
      <w:r w:rsidRPr="00692EA5">
        <w:rPr>
          <w:rFonts w:ascii="Arial" w:hAnsi="Arial" w:cs="Arial"/>
          <w:iCs/>
          <w:color w:val="000000" w:themeColor="text1"/>
          <w:lang w:val="mn-MN"/>
        </w:rPr>
        <w:t xml:space="preserve">Төрийн болон орон нутгийн өмчийн тухай хуулийн </w:t>
      </w:r>
      <w:r w:rsidRPr="0079369B">
        <w:rPr>
          <w:rFonts w:ascii="Arial" w:eastAsia="Times New Roman" w:hAnsi="Arial" w:cs="Arial"/>
          <w:iCs/>
          <w:color w:val="000000" w:themeColor="text1"/>
          <w:lang w:val="mn-MN"/>
          <w14:ligatures w14:val="none"/>
        </w:rPr>
        <w:t>8 дугаар зүйлийн 1 дэх хэсгийн 5 дахь заалтад “Улсын Их Хурал төрийн өмчийг хувьчлах үндсэн чиглэл, төрийн өмчит хуулийн этгээдийн хувьцааг биржээр олон нийтэд нээлттэй худалдах үндсэн чиглэл, хувьчилж үл болох эд хөрөнгийн жагсаалтыг батлах, түүнд өөрчлөлт оруулах бүрэн эрхтэй” гэж заасан.</w:t>
      </w:r>
    </w:p>
    <w:p w14:paraId="489EF108" w14:textId="77777777" w:rsidR="00CD3FC5" w:rsidRDefault="00CD3FC5" w:rsidP="00F00F53">
      <w:pPr>
        <w:spacing w:after="0" w:line="240" w:lineRule="auto"/>
        <w:jc w:val="both"/>
        <w:rPr>
          <w:rFonts w:ascii="Arial" w:eastAsia="Times New Roman" w:hAnsi="Arial" w:cs="Arial"/>
          <w:kern w:val="0"/>
          <w:lang w:val="mn-MN"/>
          <w14:ligatures w14:val="none"/>
        </w:rPr>
      </w:pPr>
    </w:p>
    <w:p w14:paraId="34DA89AD" w14:textId="3CFE16F0" w:rsidR="008A5265" w:rsidRPr="00692EA5" w:rsidRDefault="008A5265" w:rsidP="00ED23F1">
      <w:pPr>
        <w:spacing w:after="0" w:line="240" w:lineRule="auto"/>
        <w:ind w:firstLine="720"/>
        <w:jc w:val="both"/>
        <w:rPr>
          <w:rFonts w:ascii="Arial" w:eastAsia="Times New Roman" w:hAnsi="Arial" w:cs="Arial"/>
          <w:iCs/>
          <w:color w:val="000000" w:themeColor="text1"/>
          <w:lang w:val="mn-MN" w:bidi="bo-CN"/>
        </w:rPr>
      </w:pPr>
      <w:r w:rsidRPr="00692EA5">
        <w:rPr>
          <w:rFonts w:ascii="Arial" w:eastAsia="Times New Roman" w:hAnsi="Arial" w:cs="Arial"/>
          <w:iCs/>
          <w:color w:val="000000" w:themeColor="text1"/>
          <w:lang w:val="mn-MN" w:bidi="bo-CN"/>
        </w:rPr>
        <w:t xml:space="preserve">Монгол Улсын Их Хурлаас 2001 онд “Төрийн өмчийг 2001-2004 онд хувьчлах үндсэн чиглэл”, 2005 онд “Төрийн өмчийг 2005-2008 онд хувьчлах, өөрчлөн байгуулах үндсэн чиглэл, 2010 онд “Төрийн өмчийг 2010-2012 онд хувьчлах, өөрчлөн байгуулах, үндсэн чиглэл, 2013 онд “Төрийн өмчийг 2013-2014 онд хувьчлах, өөрчлөн байгуулах үндсэн чиглэл”, 2015 онд “Төрийн өмчийг 2015-2016 онд хувьчлах, өөрчлөн байгуулах үндсэн чиглэл”, 2022 онд </w:t>
      </w:r>
      <w:r w:rsidRPr="00692EA5">
        <w:rPr>
          <w:rFonts w:ascii="Arial" w:eastAsia="+mn-ea" w:hAnsi="Arial" w:cs="Arial"/>
          <w:iCs/>
          <w:color w:val="000000" w:themeColor="text1"/>
          <w:lang w:val="mn-MN" w:bidi="bo-CN"/>
        </w:rPr>
        <w:t>“Төрийн өмчит хуулийн этгээдийн хувьцааг 2022-2023 онд биржээр олон нийтэд нээлттэй худалдах үндсэн чиглэл</w:t>
      </w:r>
      <w:r w:rsidRPr="00692EA5">
        <w:rPr>
          <w:rFonts w:ascii="Arial" w:eastAsia="Times New Roman" w:hAnsi="Arial" w:cs="Arial"/>
          <w:iCs/>
          <w:color w:val="000000" w:themeColor="text1"/>
          <w:lang w:val="mn-MN" w:bidi="bo-CN"/>
        </w:rPr>
        <w:t>”-ийг тус тус баталсан бөгөөд тэдгээрт тусгагдсан хэдий ч хэрэгжээгүй хувьчлал дийлэнх хувийг эзэлж байгаагаас гадна хүчингүйд тооцсон хувьчлалын асуудлыг шийдвэрлүүлэх шаардлага</w:t>
      </w:r>
      <w:r w:rsidR="00F00F53">
        <w:rPr>
          <w:rFonts w:ascii="Arial" w:eastAsia="Times New Roman" w:hAnsi="Arial" w:cs="Arial"/>
          <w:iCs/>
          <w:color w:val="000000" w:themeColor="text1"/>
          <w:lang w:val="mn-MN" w:bidi="bo-CN"/>
        </w:rPr>
        <w:t xml:space="preserve"> үүсээд</w:t>
      </w:r>
      <w:r w:rsidRPr="00692EA5">
        <w:rPr>
          <w:rFonts w:ascii="Arial" w:eastAsia="Times New Roman" w:hAnsi="Arial" w:cs="Arial"/>
          <w:iCs/>
          <w:color w:val="000000" w:themeColor="text1"/>
          <w:lang w:val="mn-MN" w:bidi="bo-CN"/>
        </w:rPr>
        <w:t xml:space="preserve"> байна. </w:t>
      </w:r>
    </w:p>
    <w:p w14:paraId="3EE0797B" w14:textId="77777777" w:rsidR="008A5265" w:rsidRDefault="008A5265" w:rsidP="00ED23F1">
      <w:pPr>
        <w:pStyle w:val="NormalWeb"/>
        <w:spacing w:after="0"/>
        <w:ind w:firstLine="720"/>
        <w:jc w:val="both"/>
        <w:rPr>
          <w:rFonts w:ascii="Arial" w:hAnsi="Arial" w:cs="Arial"/>
          <w:iCs/>
          <w:color w:val="000000" w:themeColor="text1"/>
          <w:lang w:val="mn-MN"/>
        </w:rPr>
      </w:pPr>
    </w:p>
    <w:p w14:paraId="73C07275" w14:textId="77777777" w:rsidR="00385819" w:rsidRDefault="0061456C" w:rsidP="0061456C">
      <w:pPr>
        <w:spacing w:after="0" w:line="240" w:lineRule="auto"/>
        <w:ind w:firstLine="720"/>
        <w:jc w:val="both"/>
        <w:rPr>
          <w:rFonts w:ascii="Arial" w:hAnsi="Arial" w:cs="Arial"/>
          <w:lang w:val="mn-MN"/>
        </w:rPr>
      </w:pPr>
      <w:r w:rsidRPr="006928D0">
        <w:rPr>
          <w:rFonts w:ascii="Arial" w:hAnsi="Arial" w:cs="Arial"/>
          <w:lang w:val="mn-MN"/>
        </w:rPr>
        <w:t xml:space="preserve">2025 оны байдлаар уул уурхай, эрчим хүч, дэд бүтэц, зам, тээвэр, банк, санхүү, мэдээлэл харилцаа зэрэг салбаруудад толгой компани 84, тэдгээрийн охин, хараат компани 17 нийт 101 төрийн өмчит болон төрийн өмчийн оролцоотой компани, үйлдвэрийн газрууд үйл ажиллагаагаа явуулж байна. Тэдгээр компани, үйлдвэрийн газруудаас 100% төрийн өмчийн 73, төрийн өмчийн оролцоотой 22, олон нийтийн нээлттэй хувьцаат компани 6 байна. </w:t>
      </w:r>
    </w:p>
    <w:p w14:paraId="3152158F" w14:textId="77777777" w:rsidR="00C706F2" w:rsidRPr="006928D0" w:rsidRDefault="00C706F2" w:rsidP="00F00F53">
      <w:pPr>
        <w:spacing w:after="0" w:line="240" w:lineRule="auto"/>
        <w:jc w:val="both"/>
        <w:rPr>
          <w:rFonts w:ascii="Arial" w:hAnsi="Arial" w:cs="Arial"/>
          <w:lang w:val="mn-MN"/>
        </w:rPr>
      </w:pPr>
    </w:p>
    <w:p w14:paraId="36533A97" w14:textId="6412158C" w:rsidR="0061456C" w:rsidRDefault="00516C0B" w:rsidP="0061456C">
      <w:pPr>
        <w:spacing w:after="0" w:line="240" w:lineRule="auto"/>
        <w:ind w:firstLine="720"/>
        <w:jc w:val="both"/>
        <w:rPr>
          <w:rFonts w:ascii="Arial" w:hAnsi="Arial" w:cs="Arial"/>
          <w:lang w:val="mn-MN"/>
        </w:rPr>
      </w:pPr>
      <w:r w:rsidRPr="006928D0">
        <w:rPr>
          <w:rFonts w:ascii="Arial" w:hAnsi="Arial" w:cs="Arial"/>
          <w:lang w:val="mn-MN"/>
        </w:rPr>
        <w:t>Төрийн өмчит компани, үйлдвэрийн газрууд нь 2024 оны жилийн эцсийн аудитлагдсан санхүүгийн тайлангийн нэгтгэсэн дүнгээр нийт хөрөнгө 59.4 их наяд төгрөг буюу ДНБ-ний 7</w:t>
      </w:r>
      <w:r>
        <w:rPr>
          <w:rFonts w:ascii="Arial" w:hAnsi="Arial" w:cs="Arial"/>
          <w:lang w:val="mn-MN"/>
        </w:rPr>
        <w:t>4.3</w:t>
      </w:r>
      <w:r w:rsidRPr="006928D0">
        <w:rPr>
          <w:rFonts w:ascii="Arial" w:hAnsi="Arial" w:cs="Arial"/>
          <w:lang w:val="mn-MN"/>
        </w:rPr>
        <w:t>%</w:t>
      </w:r>
      <w:r>
        <w:rPr>
          <w:rFonts w:ascii="Arial" w:hAnsi="Arial" w:cs="Arial"/>
          <w:lang w:val="mn-MN"/>
        </w:rPr>
        <w:t xml:space="preserve"> (”Эрдэнэс тавантолгой” ХК, “Эрдэнэт үйлдвэр” ТӨҮГ-ийн дүнг хасвал ДНБ-ний 35.9%)</w:t>
      </w:r>
      <w:r w:rsidRPr="006928D0">
        <w:rPr>
          <w:rFonts w:ascii="Arial" w:hAnsi="Arial" w:cs="Arial"/>
          <w:lang w:val="mn-MN"/>
        </w:rPr>
        <w:t>, нийт орлого 26.0 их наяд төгрөг буюу ДНБ-ний 3</w:t>
      </w:r>
      <w:r>
        <w:rPr>
          <w:rFonts w:ascii="Arial" w:hAnsi="Arial" w:cs="Arial"/>
          <w:lang w:val="mn-MN"/>
        </w:rPr>
        <w:t>2.5</w:t>
      </w:r>
      <w:r w:rsidRPr="006928D0">
        <w:rPr>
          <w:rFonts w:ascii="Arial" w:hAnsi="Arial" w:cs="Arial"/>
          <w:lang w:val="mn-MN"/>
        </w:rPr>
        <w:t>%</w:t>
      </w:r>
      <w:r>
        <w:rPr>
          <w:rFonts w:ascii="Arial" w:hAnsi="Arial" w:cs="Arial"/>
          <w:lang w:val="mn-MN"/>
        </w:rPr>
        <w:t xml:space="preserve"> (”Эрдэнэс тавантолгой” ХК, “Эрдэнэт үйлдвэр” ТӨҮГ-ийн дүнг хасвал ДНБ-ний 18.5%)</w:t>
      </w:r>
      <w:r w:rsidRPr="006928D0">
        <w:rPr>
          <w:rFonts w:ascii="Arial" w:hAnsi="Arial" w:cs="Arial"/>
          <w:lang w:val="mn-MN"/>
        </w:rPr>
        <w:t xml:space="preserve">, нийт өр төлбөр 22.9 их наяд төгрөг буюу ДНБ-ний </w:t>
      </w:r>
      <w:r>
        <w:rPr>
          <w:rFonts w:ascii="Arial" w:hAnsi="Arial" w:cs="Arial"/>
          <w:lang w:val="mn-MN"/>
        </w:rPr>
        <w:t>28.6</w:t>
      </w:r>
      <w:r w:rsidRPr="006928D0">
        <w:rPr>
          <w:rFonts w:ascii="Arial" w:hAnsi="Arial" w:cs="Arial"/>
          <w:lang w:val="mn-MN"/>
        </w:rPr>
        <w:t>%</w:t>
      </w:r>
      <w:r>
        <w:rPr>
          <w:rFonts w:ascii="Arial" w:hAnsi="Arial" w:cs="Arial"/>
          <w:lang w:val="mn-MN"/>
        </w:rPr>
        <w:t xml:space="preserve"> (”Эрдэнэс тавантолгой” ХК, “Эрдэнэт үйлдвэр” ТӨҮГ-ийн дүнг хасвал ДНБ-ний 18.7%)</w:t>
      </w:r>
      <w:r w:rsidRPr="006928D0">
        <w:rPr>
          <w:rFonts w:ascii="Arial" w:hAnsi="Arial" w:cs="Arial"/>
          <w:lang w:val="mn-MN"/>
        </w:rPr>
        <w:t>-тай тус тус тэнцэж байна.</w:t>
      </w:r>
      <w:r w:rsidR="0061456C" w:rsidRPr="006928D0">
        <w:rPr>
          <w:rFonts w:ascii="Arial" w:hAnsi="Arial" w:cs="Arial"/>
          <w:lang w:val="mn-MN"/>
        </w:rPr>
        <w:t xml:space="preserve"> Нийт хөрөнгийн 63% буюу 37.4 их наяд төгрөг, нийт орлогын 63% буюу 16.4 их наяд төгрөг, нийт өр төлбөрийн 29% буюу 6.6 их наяд төгрөгийг уул уурхайн салбарын төрийн өмчит компани, үйлдвэрийн газруудын дүн эзэлж байна. </w:t>
      </w:r>
    </w:p>
    <w:p w14:paraId="08D5FD7F" w14:textId="77777777" w:rsidR="00E819FD" w:rsidRDefault="00E819FD" w:rsidP="0061456C">
      <w:pPr>
        <w:spacing w:after="0" w:line="240" w:lineRule="auto"/>
        <w:ind w:firstLine="720"/>
        <w:jc w:val="both"/>
        <w:rPr>
          <w:rFonts w:ascii="Arial" w:hAnsi="Arial" w:cs="Arial"/>
          <w:lang w:val="mn-MN"/>
        </w:rPr>
      </w:pPr>
    </w:p>
    <w:p w14:paraId="31FB965D" w14:textId="278DDFF8" w:rsidR="0061456C" w:rsidRDefault="0061456C" w:rsidP="0061456C">
      <w:pPr>
        <w:spacing w:after="0" w:line="240" w:lineRule="auto"/>
        <w:ind w:firstLine="720"/>
        <w:jc w:val="both"/>
        <w:rPr>
          <w:rFonts w:ascii="Arial" w:hAnsi="Arial" w:cs="Arial"/>
          <w:lang w:val="mn-MN"/>
        </w:rPr>
      </w:pPr>
      <w:r w:rsidRPr="00A21E73">
        <w:rPr>
          <w:rFonts w:ascii="Arial" w:hAnsi="Arial" w:cs="Arial"/>
          <w:lang w:val="mn-MN"/>
        </w:rPr>
        <w:t xml:space="preserve">Сүүлийн 5 жилд буюу 2021-2025 онуудад </w:t>
      </w:r>
      <w:r>
        <w:rPr>
          <w:rFonts w:ascii="Arial" w:hAnsi="Arial" w:cs="Arial"/>
          <w:lang w:val="mn-MN"/>
        </w:rPr>
        <w:t xml:space="preserve">төрийн өмчит компани, үйлдвэрийн газруудын чиг үүргийн давхардлыг арилгах, үр ашгийг нэмэгдүүлэх ажлын хүрээнд нэгтгэх, нийлүүлэх, татан буулгах арга хэмжээг авч </w:t>
      </w:r>
      <w:r w:rsidRPr="00A21E73">
        <w:rPr>
          <w:rFonts w:ascii="Arial" w:hAnsi="Arial" w:cs="Arial"/>
          <w:lang w:val="mn-MN"/>
        </w:rPr>
        <w:t>135 байсан төрийн өмчит компани, үйлдвэрийн газруудын тоог 101 болгон 34-өөр буюу 25.2%-иар бууруулаад байна.</w:t>
      </w:r>
      <w:r>
        <w:rPr>
          <w:rFonts w:ascii="Arial" w:hAnsi="Arial" w:cs="Arial"/>
          <w:lang w:val="mn-MN"/>
        </w:rPr>
        <w:t xml:space="preserve"> </w:t>
      </w:r>
    </w:p>
    <w:p w14:paraId="54308ADD" w14:textId="77777777" w:rsidR="0034085E" w:rsidRDefault="0034085E" w:rsidP="0061456C">
      <w:pPr>
        <w:spacing w:after="0" w:line="240" w:lineRule="auto"/>
        <w:ind w:firstLine="720"/>
        <w:jc w:val="both"/>
        <w:rPr>
          <w:rFonts w:ascii="Arial" w:hAnsi="Arial" w:cs="Arial"/>
          <w:lang w:val="mn-MN"/>
        </w:rPr>
      </w:pPr>
    </w:p>
    <w:p w14:paraId="1BC429A8" w14:textId="58B51A88" w:rsidR="0061456C" w:rsidRPr="006928D0" w:rsidRDefault="0061456C" w:rsidP="0061456C">
      <w:pPr>
        <w:spacing w:after="0" w:line="240" w:lineRule="auto"/>
        <w:ind w:firstLine="720"/>
        <w:jc w:val="both"/>
        <w:rPr>
          <w:rFonts w:ascii="Arial" w:hAnsi="Arial" w:cs="Arial"/>
          <w:lang w:val="mn-MN"/>
        </w:rPr>
      </w:pPr>
      <w:r>
        <w:rPr>
          <w:rFonts w:ascii="Arial" w:hAnsi="Arial" w:cs="Arial"/>
          <w:lang w:val="mn-MN"/>
        </w:rPr>
        <w:t xml:space="preserve">Мөн төрийн өмчит компани, үйлдвэрийн газруудын хөрөнгийн өгөөж 2021 онд 1.94% байсан бол 2024 оны жилийн эцсийн байдлаар 9.63% болж нэмэгдсэн, 2021 онд 1 их наяд төгрөгийн цэвэр ашигтай ажиллаж байсан бол 2024 оны жилийн эцсийн байдлаар 5.7 их наяд төгрөг болж өссөн үзүүлэлттэй байна. Гэвч нийт орлогын 56%, </w:t>
      </w:r>
      <w:r>
        <w:rPr>
          <w:rFonts w:ascii="Arial" w:hAnsi="Arial" w:cs="Arial"/>
          <w:lang w:val="mn-MN"/>
        </w:rPr>
        <w:lastRenderedPageBreak/>
        <w:t>цэвэр ашгийн 89%-ийг уул уурхайн салбарын “Эрдэнэс тавантолгой” ХК болон “Эрдэнэт үйлдвэр” ТӨҮГ-ийн дүн эзэлж байгаа тул цаашид төрийн өмчит компанийн шинэчлэлийн бодлогыг үргэлж</w:t>
      </w:r>
      <w:r w:rsidR="00133F00">
        <w:rPr>
          <w:rFonts w:ascii="Arial" w:hAnsi="Arial" w:cs="Arial"/>
          <w:lang w:val="mn-MN"/>
        </w:rPr>
        <w:t>л</w:t>
      </w:r>
      <w:r>
        <w:rPr>
          <w:rFonts w:ascii="Arial" w:hAnsi="Arial" w:cs="Arial"/>
          <w:lang w:val="mn-MN"/>
        </w:rPr>
        <w:t xml:space="preserve">үүлэн хэрэгжүүлэх шаардлагатай байгааг харуулж байна. </w:t>
      </w:r>
    </w:p>
    <w:p w14:paraId="44A53137" w14:textId="77777777" w:rsidR="00FE6D01" w:rsidRDefault="00FE6D01" w:rsidP="0061456C">
      <w:pPr>
        <w:spacing w:after="0" w:line="240" w:lineRule="auto"/>
        <w:ind w:firstLine="720"/>
        <w:jc w:val="both"/>
        <w:rPr>
          <w:rFonts w:ascii="Arial" w:hAnsi="Arial" w:cs="Arial"/>
          <w:lang w:val="mn-MN"/>
        </w:rPr>
      </w:pPr>
    </w:p>
    <w:p w14:paraId="4F7ECA87" w14:textId="36C7C48D" w:rsidR="0061456C" w:rsidRPr="00A21E73" w:rsidRDefault="0061456C" w:rsidP="0061456C">
      <w:pPr>
        <w:spacing w:after="0" w:line="240" w:lineRule="auto"/>
        <w:ind w:firstLine="720"/>
        <w:jc w:val="both"/>
        <w:rPr>
          <w:rFonts w:ascii="Arial" w:hAnsi="Arial" w:cs="Arial"/>
          <w:lang w:val="mn-MN"/>
        </w:rPr>
      </w:pPr>
      <w:r w:rsidRPr="00A21E73">
        <w:rPr>
          <w:rFonts w:ascii="Arial" w:hAnsi="Arial" w:cs="Arial"/>
          <w:lang w:val="mn-MN"/>
        </w:rPr>
        <w:t>Цаашид төрийн өмчит компаниудад баримтлах бодлого, чиглэлийг тодорхой болгох үүднээс төрийн өмчит компани, үйлдвэрийн газруудыг тодорхой шалгуурын хүрээнд ангилж авч үзэх, тэдгээрийн ангиллын хүрээнд төрийн зүгээс тухайн компанид оролцох өмчлөлийн бодлог</w:t>
      </w:r>
      <w:r>
        <w:rPr>
          <w:rFonts w:ascii="Arial" w:hAnsi="Arial" w:cs="Arial"/>
          <w:lang w:val="mn-MN"/>
        </w:rPr>
        <w:t>ыг</w:t>
      </w:r>
      <w:r w:rsidRPr="00A21E73">
        <w:rPr>
          <w:rFonts w:ascii="Arial" w:hAnsi="Arial" w:cs="Arial"/>
          <w:lang w:val="mn-MN"/>
        </w:rPr>
        <w:t xml:space="preserve"> </w:t>
      </w:r>
      <w:r>
        <w:rPr>
          <w:rFonts w:ascii="Arial" w:hAnsi="Arial" w:cs="Arial"/>
          <w:lang w:val="mn-MN"/>
        </w:rPr>
        <w:t xml:space="preserve">ангилал тус бүрийн онцлогт тулгуурлан ялгамжтай </w:t>
      </w:r>
      <w:r w:rsidRPr="00A21E73">
        <w:rPr>
          <w:rFonts w:ascii="Arial" w:hAnsi="Arial" w:cs="Arial"/>
          <w:lang w:val="mn-MN"/>
        </w:rPr>
        <w:t xml:space="preserve">хэрэгжүүлэх шаардлагатай байна. </w:t>
      </w:r>
    </w:p>
    <w:p w14:paraId="6E76F65F" w14:textId="34D6BBAA" w:rsidR="007371DB" w:rsidRDefault="007371DB" w:rsidP="0061456C">
      <w:pPr>
        <w:spacing w:after="0" w:line="240" w:lineRule="auto"/>
        <w:ind w:firstLine="720"/>
        <w:jc w:val="both"/>
        <w:rPr>
          <w:rFonts w:ascii="Arial" w:hAnsi="Arial" w:cs="Arial"/>
          <w:lang w:val="mn-MN"/>
        </w:rPr>
      </w:pPr>
    </w:p>
    <w:p w14:paraId="4E2C753C" w14:textId="6857D20F" w:rsidR="0061456C" w:rsidRDefault="00F00F53" w:rsidP="0061456C">
      <w:pPr>
        <w:spacing w:after="0" w:line="240" w:lineRule="auto"/>
        <w:ind w:firstLine="720"/>
        <w:jc w:val="both"/>
        <w:rPr>
          <w:rFonts w:ascii="Arial" w:hAnsi="Arial" w:cs="Arial"/>
          <w:lang w:val="mn-MN"/>
        </w:rPr>
      </w:pPr>
      <w:r w:rsidRPr="00A21E73">
        <w:rPr>
          <w:rFonts w:ascii="Arial" w:hAnsi="Arial" w:cs="Arial"/>
          <w:lang w:val="mn-MN"/>
        </w:rPr>
        <w:t>Үүнд:</w:t>
      </w:r>
      <w:r w:rsidR="00C16CE7">
        <w:rPr>
          <w:rFonts w:ascii="Arial" w:hAnsi="Arial" w:cs="Arial"/>
          <w:lang w:val="mn-MN"/>
        </w:rPr>
        <w:t>Т</w:t>
      </w:r>
      <w:r w:rsidR="0061456C" w:rsidRPr="00A21E73">
        <w:rPr>
          <w:rFonts w:ascii="Arial" w:hAnsi="Arial" w:cs="Arial"/>
          <w:lang w:val="mn-MN"/>
        </w:rPr>
        <w:t xml:space="preserve">өрийн өмчит компаниудыг дараах 3 ангилалд авч </w:t>
      </w:r>
      <w:r>
        <w:rPr>
          <w:rFonts w:ascii="Arial" w:hAnsi="Arial" w:cs="Arial"/>
          <w:lang w:val="mn-MN"/>
        </w:rPr>
        <w:t>үзэх:</w:t>
      </w:r>
      <w:r w:rsidR="0061456C" w:rsidRPr="00A21E73">
        <w:rPr>
          <w:rFonts w:ascii="Arial" w:hAnsi="Arial" w:cs="Arial"/>
          <w:lang w:val="mn-MN"/>
        </w:rPr>
        <w:t xml:space="preserve"> </w:t>
      </w:r>
    </w:p>
    <w:p w14:paraId="333D7745" w14:textId="77777777" w:rsidR="00257534" w:rsidRPr="00A21E73" w:rsidRDefault="00257534" w:rsidP="0061456C">
      <w:pPr>
        <w:spacing w:after="0" w:line="240" w:lineRule="auto"/>
        <w:ind w:firstLine="720"/>
        <w:jc w:val="both"/>
        <w:rPr>
          <w:rFonts w:ascii="Arial" w:hAnsi="Arial" w:cs="Arial"/>
          <w:lang w:val="mn-MN"/>
        </w:rPr>
      </w:pPr>
    </w:p>
    <w:p w14:paraId="1A9A509F" w14:textId="641B8939" w:rsidR="0061456C" w:rsidRDefault="00B26077" w:rsidP="00B26077">
      <w:pPr>
        <w:pStyle w:val="ListParagraph"/>
        <w:spacing w:after="0" w:line="240" w:lineRule="auto"/>
        <w:jc w:val="both"/>
        <w:rPr>
          <w:rFonts w:ascii="Arial" w:hAnsi="Arial" w:cs="Arial"/>
          <w:lang w:val="mn-MN"/>
        </w:rPr>
      </w:pPr>
      <w:r>
        <w:rPr>
          <w:rFonts w:ascii="Arial" w:hAnsi="Arial" w:cs="Arial"/>
          <w:lang w:val="mn-MN"/>
        </w:rPr>
        <w:t xml:space="preserve">Нэг. </w:t>
      </w:r>
      <w:r w:rsidR="0061456C" w:rsidRPr="00A21E73">
        <w:rPr>
          <w:rFonts w:ascii="Arial" w:hAnsi="Arial" w:cs="Arial"/>
          <w:lang w:val="mn-MN"/>
        </w:rPr>
        <w:t>Бизнесийн болон өрсөлдөөн</w:t>
      </w:r>
      <w:r w:rsidR="00602DD8">
        <w:rPr>
          <w:rFonts w:ascii="Arial" w:hAnsi="Arial" w:cs="Arial"/>
          <w:lang w:val="mn-MN"/>
        </w:rPr>
        <w:t>д суурилсан төрийн өмчит компани</w:t>
      </w:r>
    </w:p>
    <w:p w14:paraId="6427EEAA" w14:textId="77777777" w:rsidR="00366D91" w:rsidRPr="00A21E73" w:rsidRDefault="00366D91" w:rsidP="00B26077">
      <w:pPr>
        <w:pStyle w:val="ListParagraph"/>
        <w:spacing w:after="0" w:line="240" w:lineRule="auto"/>
        <w:jc w:val="both"/>
        <w:rPr>
          <w:rFonts w:ascii="Arial" w:hAnsi="Arial" w:cs="Arial"/>
          <w:lang w:val="mn-MN"/>
        </w:rPr>
      </w:pPr>
    </w:p>
    <w:p w14:paraId="2D13A4BA" w14:textId="3EE7ED1B" w:rsidR="0061456C" w:rsidRDefault="0061456C" w:rsidP="00602DD8">
      <w:pPr>
        <w:spacing w:after="0" w:line="240" w:lineRule="auto"/>
        <w:ind w:firstLine="720"/>
        <w:jc w:val="both"/>
        <w:rPr>
          <w:rFonts w:ascii="Arial" w:hAnsi="Arial" w:cs="Arial"/>
          <w:lang w:val="mn-MN"/>
        </w:rPr>
      </w:pPr>
      <w:r w:rsidRPr="00A21E73">
        <w:rPr>
          <w:rFonts w:ascii="Arial" w:hAnsi="Arial" w:cs="Arial"/>
          <w:lang w:val="mn-MN"/>
        </w:rPr>
        <w:t>Хувийн хэвшилтэй зэрэгцэн үйл ажиллагаа явуулж буй төрийн өмчит компаниудын хувьцааг бүхэлд нь худалдах эсвэл төрийн өмчийн оролцоог 34%-</w:t>
      </w:r>
      <w:r w:rsidR="00366D91">
        <w:rPr>
          <w:rFonts w:ascii="Arial" w:hAnsi="Arial" w:cs="Arial"/>
          <w:lang w:val="mn-MN"/>
        </w:rPr>
        <w:t>а</w:t>
      </w:r>
      <w:r w:rsidRPr="00A21E73">
        <w:rPr>
          <w:rFonts w:ascii="Arial" w:hAnsi="Arial" w:cs="Arial"/>
          <w:lang w:val="mn-MN"/>
        </w:rPr>
        <w:t>ас ихгүй байлгах</w:t>
      </w:r>
      <w:r w:rsidR="00602DD8">
        <w:rPr>
          <w:rFonts w:ascii="Arial" w:hAnsi="Arial" w:cs="Arial"/>
          <w:lang w:val="mn-MN"/>
        </w:rPr>
        <w:t>.</w:t>
      </w:r>
    </w:p>
    <w:p w14:paraId="67A0922B" w14:textId="77777777" w:rsidR="00602DD8" w:rsidRPr="00A21E73" w:rsidRDefault="00602DD8" w:rsidP="00602DD8">
      <w:pPr>
        <w:spacing w:after="0" w:line="240" w:lineRule="auto"/>
        <w:ind w:firstLine="720"/>
        <w:jc w:val="both"/>
        <w:rPr>
          <w:rFonts w:ascii="Arial" w:hAnsi="Arial" w:cs="Arial"/>
          <w:lang w:val="mn-MN"/>
        </w:rPr>
      </w:pPr>
    </w:p>
    <w:p w14:paraId="65A3398D" w14:textId="423C9B27" w:rsidR="0061456C" w:rsidRDefault="00602DD8" w:rsidP="00602DD8">
      <w:pPr>
        <w:pStyle w:val="ListParagraph"/>
        <w:spacing w:after="0" w:line="240" w:lineRule="auto"/>
        <w:jc w:val="both"/>
        <w:rPr>
          <w:rFonts w:ascii="Arial" w:hAnsi="Arial" w:cs="Arial"/>
          <w:lang w:val="mn-MN"/>
        </w:rPr>
      </w:pPr>
      <w:r>
        <w:rPr>
          <w:rFonts w:ascii="Arial" w:hAnsi="Arial" w:cs="Arial"/>
          <w:lang w:val="mn-MN"/>
        </w:rPr>
        <w:t xml:space="preserve">Хоёр. </w:t>
      </w:r>
      <w:r w:rsidR="0061456C" w:rsidRPr="00A21E73">
        <w:rPr>
          <w:rFonts w:ascii="Arial" w:hAnsi="Arial" w:cs="Arial"/>
          <w:lang w:val="mn-MN"/>
        </w:rPr>
        <w:t>Стратеги</w:t>
      </w:r>
      <w:r>
        <w:rPr>
          <w:rFonts w:ascii="Arial" w:hAnsi="Arial" w:cs="Arial"/>
          <w:lang w:val="mn-MN"/>
        </w:rPr>
        <w:t>д суурилсан төри</w:t>
      </w:r>
      <w:r w:rsidR="0061456C" w:rsidRPr="00A21E73">
        <w:rPr>
          <w:rFonts w:ascii="Arial" w:hAnsi="Arial" w:cs="Arial"/>
          <w:lang w:val="mn-MN"/>
        </w:rPr>
        <w:t>йн</w:t>
      </w:r>
      <w:r w:rsidR="0061456C">
        <w:rPr>
          <w:rFonts w:ascii="Arial" w:hAnsi="Arial" w:cs="Arial"/>
          <w:lang w:val="mn-MN"/>
        </w:rPr>
        <w:t xml:space="preserve"> </w:t>
      </w:r>
      <w:r>
        <w:rPr>
          <w:rFonts w:ascii="Arial" w:hAnsi="Arial" w:cs="Arial"/>
          <w:lang w:val="mn-MN"/>
        </w:rPr>
        <w:t>өмчит компани</w:t>
      </w:r>
    </w:p>
    <w:p w14:paraId="59E77371" w14:textId="77777777" w:rsidR="00366D91" w:rsidRDefault="00366D91" w:rsidP="00602DD8">
      <w:pPr>
        <w:spacing w:after="0" w:line="240" w:lineRule="auto"/>
        <w:ind w:firstLine="720"/>
        <w:jc w:val="both"/>
        <w:rPr>
          <w:rFonts w:ascii="Arial" w:hAnsi="Arial" w:cs="Arial"/>
          <w:lang w:val="mn-MN"/>
        </w:rPr>
      </w:pPr>
    </w:p>
    <w:p w14:paraId="41E3C917" w14:textId="6AFBD356" w:rsidR="0061456C" w:rsidRDefault="0061456C" w:rsidP="00602DD8">
      <w:pPr>
        <w:spacing w:after="0" w:line="240" w:lineRule="auto"/>
        <w:ind w:firstLine="720"/>
        <w:jc w:val="both"/>
        <w:rPr>
          <w:rFonts w:ascii="Arial" w:hAnsi="Arial" w:cs="Arial"/>
          <w:lang w:val="mn-MN"/>
        </w:rPr>
      </w:pPr>
      <w:r w:rsidRPr="00A21E73">
        <w:rPr>
          <w:rFonts w:ascii="Arial" w:hAnsi="Arial" w:cs="Arial"/>
          <w:lang w:val="mn-MN"/>
        </w:rPr>
        <w:t>Стратегийн салбарт үйл ажиллагаа явуулж байгаа, төрөөс тодорхой зохицуулалт шаардлагатай төрийн өмчит компаниудыг олон нийтийн шууд хяналтад оруулах замаар дотоод гадаадын хөрөнгийн бирж</w:t>
      </w:r>
      <w:r>
        <w:rPr>
          <w:rFonts w:ascii="Arial" w:hAnsi="Arial" w:cs="Arial"/>
          <w:lang w:val="mn-MN"/>
        </w:rPr>
        <w:t xml:space="preserve">ээр дамжуулан </w:t>
      </w:r>
      <w:r w:rsidRPr="00A21E73">
        <w:rPr>
          <w:rFonts w:ascii="Arial" w:hAnsi="Arial" w:cs="Arial"/>
          <w:lang w:val="mn-MN"/>
        </w:rPr>
        <w:t>олон нийтэд хувьцааг нь санал болгон худалдаж</w:t>
      </w:r>
      <w:r w:rsidR="00602DD8">
        <w:rPr>
          <w:rFonts w:ascii="Arial" w:hAnsi="Arial" w:cs="Arial"/>
          <w:lang w:val="mn-MN"/>
        </w:rPr>
        <w:t>,</w:t>
      </w:r>
      <w:r w:rsidRPr="00A21E73">
        <w:rPr>
          <w:rFonts w:ascii="Arial" w:hAnsi="Arial" w:cs="Arial"/>
          <w:lang w:val="mn-MN"/>
        </w:rPr>
        <w:t xml:space="preserve"> олон нийтийн нээлттэй хувьцаат компани болгох, төрийн мэдлийн хувьцааг 51%-</w:t>
      </w:r>
      <w:r w:rsidR="00E24334">
        <w:rPr>
          <w:rFonts w:ascii="Arial" w:hAnsi="Arial" w:cs="Arial"/>
          <w:lang w:val="mn-MN"/>
        </w:rPr>
        <w:t>а</w:t>
      </w:r>
      <w:r w:rsidRPr="00A21E73">
        <w:rPr>
          <w:rFonts w:ascii="Arial" w:hAnsi="Arial" w:cs="Arial"/>
          <w:lang w:val="mn-MN"/>
        </w:rPr>
        <w:t>ас доошгүй байлгах</w:t>
      </w:r>
      <w:r w:rsidR="00602DD8">
        <w:rPr>
          <w:rFonts w:ascii="Arial" w:hAnsi="Arial" w:cs="Arial"/>
          <w:lang w:val="mn-MN"/>
        </w:rPr>
        <w:t>.</w:t>
      </w:r>
    </w:p>
    <w:p w14:paraId="55E7196A" w14:textId="77777777" w:rsidR="00602DD8" w:rsidRPr="00A21E73" w:rsidRDefault="00602DD8" w:rsidP="00602DD8">
      <w:pPr>
        <w:spacing w:after="0" w:line="240" w:lineRule="auto"/>
        <w:ind w:firstLine="720"/>
        <w:jc w:val="both"/>
        <w:rPr>
          <w:rFonts w:ascii="Arial" w:hAnsi="Arial" w:cs="Arial"/>
          <w:lang w:val="mn-MN"/>
        </w:rPr>
      </w:pPr>
    </w:p>
    <w:p w14:paraId="5AA63C4A" w14:textId="68840E71" w:rsidR="0061456C" w:rsidRPr="00A21E73" w:rsidRDefault="00602DD8" w:rsidP="00602DD8">
      <w:pPr>
        <w:pStyle w:val="ListParagraph"/>
        <w:spacing w:after="0" w:line="240" w:lineRule="auto"/>
        <w:jc w:val="both"/>
        <w:rPr>
          <w:rFonts w:ascii="Arial" w:hAnsi="Arial" w:cs="Arial"/>
          <w:lang w:val="mn-MN"/>
        </w:rPr>
      </w:pPr>
      <w:r>
        <w:rPr>
          <w:rFonts w:ascii="Arial" w:hAnsi="Arial" w:cs="Arial"/>
          <w:lang w:val="mn-MN"/>
        </w:rPr>
        <w:t xml:space="preserve">Гурав. </w:t>
      </w:r>
      <w:r w:rsidR="0061456C" w:rsidRPr="00A21E73">
        <w:rPr>
          <w:rFonts w:ascii="Arial" w:hAnsi="Arial" w:cs="Arial"/>
          <w:lang w:val="mn-MN"/>
        </w:rPr>
        <w:t>Нийгмийн үйлчилгээ, дэд бүтэц, тусгайлсан чиг үүр</w:t>
      </w:r>
      <w:r>
        <w:rPr>
          <w:rFonts w:ascii="Arial" w:hAnsi="Arial" w:cs="Arial"/>
          <w:lang w:val="mn-MN"/>
        </w:rPr>
        <w:t>э</w:t>
      </w:r>
      <w:r w:rsidR="0061456C" w:rsidRPr="00A21E73">
        <w:rPr>
          <w:rFonts w:ascii="Arial" w:hAnsi="Arial" w:cs="Arial"/>
          <w:lang w:val="mn-MN"/>
        </w:rPr>
        <w:t>г</w:t>
      </w:r>
      <w:r>
        <w:rPr>
          <w:rFonts w:ascii="Arial" w:hAnsi="Arial" w:cs="Arial"/>
          <w:lang w:val="mn-MN"/>
        </w:rPr>
        <w:t xml:space="preserve"> бүх</w:t>
      </w:r>
      <w:r w:rsidR="0061456C" w:rsidRPr="00A21E73">
        <w:rPr>
          <w:rFonts w:ascii="Arial" w:hAnsi="Arial" w:cs="Arial"/>
          <w:lang w:val="mn-MN"/>
        </w:rPr>
        <w:t>ий</w:t>
      </w:r>
      <w:r>
        <w:rPr>
          <w:rFonts w:ascii="Arial" w:hAnsi="Arial" w:cs="Arial"/>
          <w:lang w:val="mn-MN"/>
        </w:rPr>
        <w:t xml:space="preserve"> төрийн өмчит компани</w:t>
      </w:r>
    </w:p>
    <w:p w14:paraId="24736DF3" w14:textId="77777777" w:rsidR="00366D91" w:rsidRDefault="00366D91" w:rsidP="0061456C">
      <w:pPr>
        <w:spacing w:after="0" w:line="240" w:lineRule="auto"/>
        <w:ind w:firstLine="720"/>
        <w:jc w:val="both"/>
        <w:rPr>
          <w:rFonts w:ascii="Arial" w:hAnsi="Arial" w:cs="Arial"/>
          <w:lang w:val="mn-MN"/>
        </w:rPr>
      </w:pPr>
    </w:p>
    <w:p w14:paraId="02AE9C2B" w14:textId="1F4490CB" w:rsidR="00602DD8" w:rsidRDefault="0061456C" w:rsidP="0061456C">
      <w:pPr>
        <w:spacing w:after="0" w:line="240" w:lineRule="auto"/>
        <w:ind w:firstLine="720"/>
        <w:jc w:val="both"/>
        <w:rPr>
          <w:rFonts w:ascii="Arial" w:hAnsi="Arial" w:cs="Arial"/>
          <w:lang w:val="mn-MN"/>
        </w:rPr>
      </w:pPr>
      <w:r w:rsidRPr="00A21E73">
        <w:rPr>
          <w:rFonts w:ascii="Arial" w:hAnsi="Arial" w:cs="Arial"/>
          <w:lang w:val="mn-MN"/>
        </w:rPr>
        <w:t>Тодорхой хууль тогтоомжийн хүрээнд төрийн чиг үүргийг хэрэгжүүлдэг, нийгэм, иргэд рүү чиглэсэн үйл ажиллагаа явуулдаг, нийгмийн үр ашгийг чухалчилдаг төрийн өмчит компани болон үйлдвэрийн газруудтай байх шаардлага зайлшгүй тулгардаг. Төрийн зүгээс 100% хувьцааг нь эзэмш</w:t>
      </w:r>
      <w:r w:rsidR="00602DD8">
        <w:rPr>
          <w:rFonts w:ascii="Arial" w:hAnsi="Arial" w:cs="Arial"/>
          <w:lang w:val="mn-MN"/>
        </w:rPr>
        <w:t>иж,</w:t>
      </w:r>
      <w:r w:rsidRPr="00A21E73">
        <w:rPr>
          <w:rFonts w:ascii="Arial" w:hAnsi="Arial" w:cs="Arial"/>
          <w:lang w:val="mn-MN"/>
        </w:rPr>
        <w:t xml:space="preserve"> төрийн өмчит компани, үйлдвэрийн газруудын ил тод, нээлттэй байдлыг бий болгох, төрөөс тэдгээр байгууллагад олгож буй аливаа </w:t>
      </w:r>
      <w:r w:rsidR="00E24334" w:rsidRPr="00A21E73">
        <w:rPr>
          <w:rFonts w:ascii="Arial" w:hAnsi="Arial" w:cs="Arial"/>
          <w:lang w:val="mn-MN"/>
        </w:rPr>
        <w:t>санхүүжилтийг</w:t>
      </w:r>
      <w:r w:rsidRPr="00A21E73">
        <w:rPr>
          <w:rFonts w:ascii="Arial" w:hAnsi="Arial" w:cs="Arial"/>
          <w:lang w:val="mn-MN"/>
        </w:rPr>
        <w:t xml:space="preserve"> ил тод тайлагнадаг байх, засаглалыг олон улсын жишигт нийцүүлэх, бүтээмж, үр ашгийг хамгийн боломжит өндөр түвшинд байлгах нь зүйтэй байна. </w:t>
      </w:r>
    </w:p>
    <w:p w14:paraId="31995451" w14:textId="77777777" w:rsidR="00602DD8" w:rsidRDefault="00602DD8" w:rsidP="0061456C">
      <w:pPr>
        <w:spacing w:after="0" w:line="240" w:lineRule="auto"/>
        <w:ind w:firstLine="720"/>
        <w:jc w:val="both"/>
        <w:rPr>
          <w:rFonts w:ascii="Arial" w:hAnsi="Arial" w:cs="Arial"/>
          <w:lang w:val="mn-MN"/>
        </w:rPr>
      </w:pPr>
    </w:p>
    <w:p w14:paraId="3663C0EB" w14:textId="2CD000B1" w:rsidR="0061456C" w:rsidRDefault="0061456C" w:rsidP="0061456C">
      <w:pPr>
        <w:spacing w:after="0" w:line="240" w:lineRule="auto"/>
        <w:ind w:firstLine="720"/>
        <w:jc w:val="both"/>
        <w:rPr>
          <w:rFonts w:ascii="Arial" w:hAnsi="Arial" w:cs="Arial"/>
          <w:lang w:val="mn-MN"/>
        </w:rPr>
      </w:pPr>
      <w:r w:rsidRPr="00A21E73">
        <w:rPr>
          <w:rFonts w:ascii="Arial" w:hAnsi="Arial" w:cs="Arial"/>
          <w:lang w:val="mn-MN"/>
        </w:rPr>
        <w:t>Мөн чиг үүргийн давхардлыг арилгах, бүтэц орон тоог оновчлох замаар төрийн өмчит компани, үйлдвэрийн газруудыг нэгтгэх, нийлүүлэх, өөрчлөн зохион байгуулах, шаардлагатай тохиолдолд татан буулгах арга хэмжээ</w:t>
      </w:r>
      <w:r>
        <w:rPr>
          <w:rFonts w:ascii="Arial" w:hAnsi="Arial" w:cs="Arial"/>
          <w:lang w:val="mn-MN"/>
        </w:rPr>
        <w:t xml:space="preserve">г </w:t>
      </w:r>
      <w:r w:rsidR="00E24334">
        <w:rPr>
          <w:rFonts w:ascii="Arial" w:hAnsi="Arial" w:cs="Arial"/>
          <w:lang w:val="mn-MN"/>
        </w:rPr>
        <w:t>үргэлжлүүлэн</w:t>
      </w:r>
      <w:r w:rsidRPr="00A21E73">
        <w:rPr>
          <w:rFonts w:ascii="Arial" w:hAnsi="Arial" w:cs="Arial"/>
          <w:lang w:val="mn-MN"/>
        </w:rPr>
        <w:t xml:space="preserve"> авч ажилла</w:t>
      </w:r>
      <w:r>
        <w:rPr>
          <w:rFonts w:ascii="Arial" w:hAnsi="Arial" w:cs="Arial"/>
          <w:lang w:val="mn-MN"/>
        </w:rPr>
        <w:t>х саналтай</w:t>
      </w:r>
      <w:r w:rsidRPr="00A21E73">
        <w:rPr>
          <w:rFonts w:ascii="Arial" w:hAnsi="Arial" w:cs="Arial"/>
          <w:lang w:val="mn-MN"/>
        </w:rPr>
        <w:t xml:space="preserve"> байна. </w:t>
      </w:r>
    </w:p>
    <w:p w14:paraId="380EBA56" w14:textId="77777777" w:rsidR="00133F00" w:rsidRDefault="00133F00" w:rsidP="0061456C">
      <w:pPr>
        <w:spacing w:after="0" w:line="240" w:lineRule="auto"/>
        <w:ind w:firstLine="720"/>
        <w:jc w:val="both"/>
        <w:rPr>
          <w:rFonts w:ascii="Arial" w:hAnsi="Arial" w:cs="Arial"/>
          <w:lang w:val="mn-MN"/>
        </w:rPr>
      </w:pPr>
    </w:p>
    <w:p w14:paraId="7EAD3B28" w14:textId="468BD2D9" w:rsidR="0083292B" w:rsidRDefault="0061456C" w:rsidP="0061456C">
      <w:pPr>
        <w:spacing w:after="0" w:line="240" w:lineRule="auto"/>
        <w:ind w:firstLine="720"/>
        <w:jc w:val="both"/>
        <w:rPr>
          <w:rFonts w:ascii="Arial" w:hAnsi="Arial" w:cs="Arial"/>
          <w:lang w:val="mn-MN"/>
        </w:rPr>
      </w:pPr>
      <w:r w:rsidRPr="00A21E73">
        <w:rPr>
          <w:rFonts w:ascii="Arial" w:hAnsi="Arial" w:cs="Arial"/>
          <w:lang w:val="mn-MN"/>
        </w:rPr>
        <w:t>Дээрх ажлын хүрээнд</w:t>
      </w:r>
      <w:r>
        <w:rPr>
          <w:rFonts w:ascii="Arial" w:hAnsi="Arial" w:cs="Arial"/>
          <w:lang w:val="mn-MN"/>
        </w:rPr>
        <w:t xml:space="preserve"> “</w:t>
      </w:r>
      <w:r w:rsidRPr="00775569">
        <w:rPr>
          <w:rFonts w:ascii="Arial" w:eastAsia="Times New Roman" w:hAnsi="Arial" w:cs="Arial"/>
          <w:kern w:val="0"/>
          <w:lang w:val="mn-MN"/>
        </w:rPr>
        <w:t>Төрийн өмчийг хувьчлах, өөрчлөн байгуулах, төрийн өмчит хуулийн этгээдийн хувьцааг 202</w:t>
      </w:r>
      <w:r w:rsidR="00602DD8">
        <w:rPr>
          <w:rFonts w:ascii="Arial" w:eastAsia="Times New Roman" w:hAnsi="Arial" w:cs="Arial"/>
          <w:kern w:val="0"/>
          <w:lang w:val="mn-MN"/>
        </w:rPr>
        <w:t>6</w:t>
      </w:r>
      <w:r w:rsidRPr="00775569">
        <w:rPr>
          <w:rFonts w:ascii="Arial" w:eastAsia="Times New Roman" w:hAnsi="Arial" w:cs="Arial"/>
          <w:kern w:val="0"/>
          <w:lang w:val="mn-MN"/>
        </w:rPr>
        <w:t>-2028 онд биржээр олон нийтэд нээлттэй худалдах үндсэн чиглэл</w:t>
      </w:r>
      <w:r>
        <w:rPr>
          <w:rFonts w:ascii="Arial" w:hAnsi="Arial" w:cs="Arial"/>
          <w:lang w:val="mn-MN"/>
        </w:rPr>
        <w:t>”-ийн</w:t>
      </w:r>
      <w:r w:rsidRPr="00A21E73">
        <w:rPr>
          <w:rFonts w:ascii="Arial" w:hAnsi="Arial" w:cs="Arial"/>
          <w:lang w:val="mn-MN"/>
        </w:rPr>
        <w:t xml:space="preserve"> төсөлд 1</w:t>
      </w:r>
      <w:r w:rsidR="0025656C">
        <w:rPr>
          <w:rFonts w:ascii="Arial" w:hAnsi="Arial" w:cs="Arial"/>
          <w:lang w:val="mn-MN"/>
        </w:rPr>
        <w:t>8</w:t>
      </w:r>
      <w:r w:rsidRPr="00A21E73">
        <w:rPr>
          <w:rFonts w:ascii="Arial" w:hAnsi="Arial" w:cs="Arial"/>
          <w:lang w:val="mn-MN"/>
        </w:rPr>
        <w:t xml:space="preserve"> төрийн өмчит компани, үйлдвэрийн газруудын төрийн мэдлийн 10-66 хүртэлх хувийн хувьцааг олон нийтэд</w:t>
      </w:r>
      <w:r>
        <w:rPr>
          <w:rFonts w:ascii="Arial" w:hAnsi="Arial" w:cs="Arial"/>
          <w:lang w:val="mn-MN"/>
        </w:rPr>
        <w:t xml:space="preserve"> хөрөнгийн биржээр дамжуулан</w:t>
      </w:r>
      <w:r w:rsidRPr="00A21E73">
        <w:rPr>
          <w:rFonts w:ascii="Arial" w:hAnsi="Arial" w:cs="Arial"/>
          <w:lang w:val="mn-MN"/>
        </w:rPr>
        <w:t xml:space="preserve"> санал болгон худалдаж нээлттэй хувьцаат компани болгох, </w:t>
      </w:r>
      <w:r w:rsidR="0025656C">
        <w:rPr>
          <w:rFonts w:ascii="Arial" w:hAnsi="Arial" w:cs="Arial"/>
          <w:lang w:val="mn-MN"/>
        </w:rPr>
        <w:t>8</w:t>
      </w:r>
      <w:r w:rsidRPr="00A21E73">
        <w:rPr>
          <w:rFonts w:ascii="Arial" w:hAnsi="Arial" w:cs="Arial"/>
          <w:lang w:val="mn-MN"/>
        </w:rPr>
        <w:t xml:space="preserve"> төрийн өмчит компанийн хувьцааг бүхэлд нь худалдах, </w:t>
      </w:r>
      <w:r>
        <w:rPr>
          <w:rFonts w:ascii="Arial" w:hAnsi="Arial" w:cs="Arial"/>
          <w:lang w:val="mn-MN"/>
        </w:rPr>
        <w:t>7</w:t>
      </w:r>
      <w:r w:rsidRPr="00A21E73">
        <w:rPr>
          <w:rFonts w:ascii="Arial" w:hAnsi="Arial" w:cs="Arial"/>
          <w:lang w:val="mn-MN"/>
        </w:rPr>
        <w:t xml:space="preserve"> төрийн өмчит компани, үйлдвэрийн газруудыг нэгтгэх</w:t>
      </w:r>
      <w:r>
        <w:rPr>
          <w:rFonts w:ascii="Arial" w:hAnsi="Arial" w:cs="Arial"/>
          <w:lang w:val="mn-MN"/>
        </w:rPr>
        <w:t>,</w:t>
      </w:r>
      <w:r w:rsidRPr="00A21E73">
        <w:rPr>
          <w:rFonts w:ascii="Arial" w:hAnsi="Arial" w:cs="Arial"/>
          <w:lang w:val="mn-MN"/>
        </w:rPr>
        <w:t xml:space="preserve"> нийлүүлэх</w:t>
      </w:r>
      <w:r>
        <w:rPr>
          <w:rFonts w:ascii="Arial" w:hAnsi="Arial" w:cs="Arial"/>
          <w:lang w:val="mn-MN"/>
        </w:rPr>
        <w:t>, бүтцийн өөрчлөлт хийх</w:t>
      </w:r>
      <w:r w:rsidR="00F00F53">
        <w:rPr>
          <w:rFonts w:ascii="Arial" w:hAnsi="Arial" w:cs="Arial"/>
          <w:lang w:val="mn-MN"/>
        </w:rPr>
        <w:t xml:space="preserve"> </w:t>
      </w:r>
      <w:r w:rsidRPr="00A21E73">
        <w:rPr>
          <w:rFonts w:ascii="Arial" w:hAnsi="Arial" w:cs="Arial"/>
          <w:lang w:val="mn-MN"/>
        </w:rPr>
        <w:t xml:space="preserve">саналыг тусгаад байна. </w:t>
      </w:r>
    </w:p>
    <w:p w14:paraId="5E43C783" w14:textId="77777777" w:rsidR="0083292B" w:rsidRDefault="0083292B" w:rsidP="0061456C">
      <w:pPr>
        <w:spacing w:after="0" w:line="240" w:lineRule="auto"/>
        <w:ind w:firstLine="720"/>
        <w:jc w:val="both"/>
        <w:rPr>
          <w:rFonts w:ascii="Arial" w:hAnsi="Arial" w:cs="Arial"/>
          <w:lang w:val="mn-MN"/>
        </w:rPr>
      </w:pPr>
    </w:p>
    <w:p w14:paraId="2BECCFA3" w14:textId="5F764576" w:rsidR="0061456C" w:rsidRDefault="0083292B" w:rsidP="0061456C">
      <w:pPr>
        <w:spacing w:after="0" w:line="240" w:lineRule="auto"/>
        <w:ind w:firstLine="720"/>
        <w:jc w:val="both"/>
        <w:rPr>
          <w:rFonts w:ascii="Arial" w:hAnsi="Arial" w:cs="Arial"/>
          <w:lang w:val="mn-MN"/>
        </w:rPr>
      </w:pPr>
      <w:r>
        <w:rPr>
          <w:rFonts w:ascii="Arial" w:hAnsi="Arial" w:cs="Arial"/>
          <w:lang w:val="mn-MN"/>
        </w:rPr>
        <w:t>Ц</w:t>
      </w:r>
      <w:r w:rsidRPr="00A21E73">
        <w:rPr>
          <w:rFonts w:ascii="Arial" w:hAnsi="Arial" w:cs="Arial"/>
          <w:lang w:val="mn-MN"/>
        </w:rPr>
        <w:t xml:space="preserve">аашид </w:t>
      </w:r>
      <w:r>
        <w:rPr>
          <w:rFonts w:ascii="Arial" w:hAnsi="Arial" w:cs="Arial"/>
          <w:lang w:val="mn-MN"/>
        </w:rPr>
        <w:t>төрийн өмчит хуу</w:t>
      </w:r>
      <w:r w:rsidR="00E24334">
        <w:rPr>
          <w:rFonts w:ascii="Arial" w:hAnsi="Arial" w:cs="Arial"/>
          <w:lang w:val="mn-MN"/>
        </w:rPr>
        <w:t>л</w:t>
      </w:r>
      <w:r>
        <w:rPr>
          <w:rFonts w:ascii="Arial" w:hAnsi="Arial" w:cs="Arial"/>
          <w:lang w:val="mn-MN"/>
        </w:rPr>
        <w:t xml:space="preserve">ийн этгээдийг биржээр олон нийтэд нээлттэй худалдах, төрийн өмчийг хувьчлах, өөрчлөн байгуулах арга хэмжээг үргэлжлүүлэн </w:t>
      </w:r>
      <w:r>
        <w:rPr>
          <w:rFonts w:ascii="Arial" w:hAnsi="Arial" w:cs="Arial"/>
          <w:lang w:val="mn-MN"/>
        </w:rPr>
        <w:lastRenderedPageBreak/>
        <w:t xml:space="preserve">хэрэгжүүлснээр </w:t>
      </w:r>
      <w:r w:rsidRPr="00A21E73">
        <w:rPr>
          <w:rFonts w:ascii="Arial" w:hAnsi="Arial" w:cs="Arial"/>
          <w:lang w:val="mn-MN"/>
        </w:rPr>
        <w:t>төрийн өмчит компани, үйлдвэрийн газруудын тоо нийт дүнгээр 101 байсныг 19-ээр буюу 18.8%-</w:t>
      </w:r>
      <w:r w:rsidR="00E24334">
        <w:rPr>
          <w:rFonts w:ascii="Arial" w:hAnsi="Arial" w:cs="Arial"/>
          <w:lang w:val="mn-MN"/>
        </w:rPr>
        <w:t>а</w:t>
      </w:r>
      <w:r w:rsidRPr="00A21E73">
        <w:rPr>
          <w:rFonts w:ascii="Arial" w:hAnsi="Arial" w:cs="Arial"/>
          <w:lang w:val="mn-MN"/>
        </w:rPr>
        <w:t>ар бууруулж 82 болгох</w:t>
      </w:r>
      <w:r>
        <w:rPr>
          <w:rFonts w:ascii="Arial" w:hAnsi="Arial" w:cs="Arial"/>
          <w:lang w:val="mn-MN"/>
        </w:rPr>
        <w:t>оор төлөвлөж байна.</w:t>
      </w:r>
    </w:p>
    <w:p w14:paraId="58711226" w14:textId="77777777" w:rsidR="008A5265" w:rsidRDefault="008A5265" w:rsidP="0061456C">
      <w:pPr>
        <w:spacing w:after="0" w:line="240" w:lineRule="auto"/>
        <w:ind w:firstLine="720"/>
        <w:jc w:val="both"/>
        <w:rPr>
          <w:rFonts w:ascii="Arial" w:eastAsia="Times New Roman" w:hAnsi="Arial" w:cs="Arial"/>
          <w:lang w:val="mn-MN" w:bidi="mn-Mong-MN"/>
        </w:rPr>
      </w:pPr>
    </w:p>
    <w:p w14:paraId="616FFA4B" w14:textId="42517488" w:rsidR="007E2011" w:rsidRDefault="001C7E1D" w:rsidP="00F00F53">
      <w:pPr>
        <w:spacing w:after="0" w:line="240" w:lineRule="auto"/>
        <w:ind w:firstLine="720"/>
        <w:jc w:val="both"/>
        <w:rPr>
          <w:rFonts w:ascii="Arial" w:eastAsia="Times New Roman" w:hAnsi="Arial" w:cs="Arial"/>
          <w:iCs/>
          <w:color w:val="000000"/>
          <w:kern w:val="0"/>
          <w:lang w:val="mn-MN"/>
        </w:rPr>
      </w:pPr>
      <w:bookmarkStart w:id="0" w:name="_Hlk205978897"/>
      <w:r w:rsidRPr="005C338E">
        <w:rPr>
          <w:rFonts w:ascii="Arial" w:eastAsia="Times New Roman" w:hAnsi="Arial" w:cs="Arial"/>
          <w:iCs/>
          <w:color w:val="000000"/>
          <w:kern w:val="0"/>
          <w:lang w:val="mn-MN"/>
        </w:rPr>
        <w:t>Улсын Их Хурлын тогтоолын төсөл</w:t>
      </w:r>
      <w:r w:rsidR="007E2011">
        <w:rPr>
          <w:rFonts w:ascii="Arial" w:eastAsia="Times New Roman" w:hAnsi="Arial" w:cs="Arial"/>
          <w:iCs/>
          <w:color w:val="000000"/>
          <w:kern w:val="0"/>
          <w:lang w:val="mn-MN"/>
        </w:rPr>
        <w:t>д</w:t>
      </w:r>
      <w:r w:rsidR="00F00F53">
        <w:rPr>
          <w:rFonts w:ascii="Arial" w:eastAsia="Times New Roman" w:hAnsi="Arial" w:cs="Arial"/>
          <w:iCs/>
          <w:color w:val="000000"/>
          <w:kern w:val="0"/>
          <w:lang w:val="mn-MN"/>
        </w:rPr>
        <w:t xml:space="preserve"> т</w:t>
      </w:r>
      <w:r w:rsidR="007E2011" w:rsidRPr="005C338E">
        <w:rPr>
          <w:rFonts w:ascii="Arial" w:eastAsia="Times New Roman" w:hAnsi="Arial" w:cs="Arial"/>
          <w:iCs/>
          <w:color w:val="000000"/>
          <w:kern w:val="0"/>
          <w:lang w:val="mn-MN"/>
        </w:rPr>
        <w:t>өрийн өмчит компаниуд олон нийтийн хяналтад орох, улс орны эдийн засагт олон нийтийн болон хувийн хэвшлийн оролцоог нэмэгдүүлэх, гадаад, дотоодын хөрөнгө оруулалтыг татах замаар татан төвлөрүүлсэн хөрөнгөөр компанийн өөрийн хөрөнгийг нэмэгдүүлж, орлого олох үндсэн үйл ажиллагаа, үр ашгийг сайжруулах төсөл арга хэмжээнд зарцуулах, компанийн засаглал сайжирч, өрсөлдөх чадварыг дээшлүүлж, төр болон хувийн хэвшлийн түншлэлийн зохистой хэлбэрийг бий болго</w:t>
      </w:r>
      <w:r w:rsidR="007E2011">
        <w:rPr>
          <w:rFonts w:ascii="Arial" w:eastAsia="Times New Roman" w:hAnsi="Arial" w:cs="Arial"/>
          <w:iCs/>
          <w:color w:val="000000"/>
          <w:kern w:val="0"/>
          <w:lang w:val="mn-MN"/>
        </w:rPr>
        <w:t>х хүрээнд</w:t>
      </w:r>
      <w:r w:rsidRPr="005C338E">
        <w:rPr>
          <w:rFonts w:ascii="Arial" w:eastAsia="Times New Roman" w:hAnsi="Arial" w:cs="Arial"/>
          <w:iCs/>
          <w:color w:val="000000"/>
          <w:kern w:val="0"/>
          <w:lang w:val="mn-MN"/>
        </w:rPr>
        <w:t xml:space="preserve"> “</w:t>
      </w:r>
      <w:r>
        <w:rPr>
          <w:rFonts w:ascii="Arial" w:eastAsia="Times New Roman" w:hAnsi="Arial" w:cs="Arial"/>
          <w:kern w:val="0"/>
          <w:lang w:val="mn-MN"/>
          <w14:ligatures w14:val="none"/>
        </w:rPr>
        <w:t>Т</w:t>
      </w:r>
      <w:r w:rsidRPr="005C338E">
        <w:rPr>
          <w:rFonts w:ascii="Arial" w:eastAsia="Times New Roman" w:hAnsi="Arial" w:cs="Arial"/>
          <w:kern w:val="0"/>
          <w:lang w:val="mn-MN"/>
          <w14:ligatures w14:val="none"/>
        </w:rPr>
        <w:t>өрийн өмчит хуулийн этгээдийн хувьцааг 202</w:t>
      </w:r>
      <w:r>
        <w:rPr>
          <w:rFonts w:ascii="Arial" w:eastAsia="Times New Roman" w:hAnsi="Arial" w:cs="Arial"/>
          <w:kern w:val="0"/>
          <w:lang w:val="mn-MN"/>
          <w14:ligatures w14:val="none"/>
        </w:rPr>
        <w:t>6</w:t>
      </w:r>
      <w:r w:rsidRPr="005C338E">
        <w:rPr>
          <w:rFonts w:ascii="Arial" w:eastAsia="Times New Roman" w:hAnsi="Arial" w:cs="Arial"/>
          <w:kern w:val="0"/>
          <w:lang w:val="mn-MN"/>
          <w14:ligatures w14:val="none"/>
        </w:rPr>
        <w:t xml:space="preserve">-2028 онд </w:t>
      </w:r>
      <w:r>
        <w:rPr>
          <w:rFonts w:ascii="Arial" w:eastAsia="Times New Roman" w:hAnsi="Arial" w:cs="Arial"/>
          <w:lang w:val="mn-MN"/>
          <w14:ligatures w14:val="none"/>
        </w:rPr>
        <w:t xml:space="preserve"> </w:t>
      </w:r>
      <w:r w:rsidRPr="005C338E">
        <w:rPr>
          <w:rFonts w:ascii="Arial" w:eastAsia="Times New Roman" w:hAnsi="Arial" w:cs="Arial"/>
          <w:kern w:val="0"/>
          <w:lang w:val="mn-MN"/>
          <w14:ligatures w14:val="none"/>
        </w:rPr>
        <w:t>биржээр олон нийтэд нээлттэй худалдах</w:t>
      </w:r>
      <w:r>
        <w:rPr>
          <w:rFonts w:ascii="Arial" w:eastAsia="Times New Roman" w:hAnsi="Arial" w:cs="Arial"/>
          <w:kern w:val="0"/>
          <w:lang w:val="mn-MN"/>
          <w14:ligatures w14:val="none"/>
        </w:rPr>
        <w:t>, т</w:t>
      </w:r>
      <w:r w:rsidRPr="005C338E">
        <w:rPr>
          <w:rFonts w:ascii="Arial" w:eastAsia="Times New Roman" w:hAnsi="Arial" w:cs="Arial"/>
          <w:kern w:val="0"/>
          <w:lang w:val="mn-MN"/>
          <w14:ligatures w14:val="none"/>
        </w:rPr>
        <w:t>өрийн өмчийг хувьчлах, өөрчлөн байгуулах, үндсэн</w:t>
      </w:r>
      <w:r w:rsidRPr="00ED3506">
        <w:rPr>
          <w:rFonts w:ascii="Arial" w:eastAsia="Times New Roman" w:hAnsi="Arial" w:cs="Arial"/>
          <w:lang w:val="mn-MN"/>
        </w:rPr>
        <w:t xml:space="preserve"> чиглэл</w:t>
      </w:r>
      <w:r w:rsidRPr="005C338E">
        <w:rPr>
          <w:rFonts w:ascii="Arial" w:eastAsia="Times New Roman" w:hAnsi="Arial" w:cs="Arial"/>
          <w:iCs/>
          <w:color w:val="000000"/>
          <w:kern w:val="0"/>
          <w:lang w:val="mn-MN"/>
        </w:rPr>
        <w:t>”-ийг батлах</w:t>
      </w:r>
      <w:r w:rsidR="007E2011">
        <w:rPr>
          <w:rFonts w:ascii="Arial" w:eastAsia="Times New Roman" w:hAnsi="Arial" w:cs="Arial"/>
          <w:iCs/>
          <w:color w:val="000000"/>
          <w:kern w:val="0"/>
          <w:lang w:val="mn-MN"/>
        </w:rPr>
        <w:t xml:space="preserve"> саналыг тусгасан.</w:t>
      </w:r>
    </w:p>
    <w:p w14:paraId="0500FA88" w14:textId="77777777" w:rsidR="00180326" w:rsidRDefault="00180326" w:rsidP="00AD6ECB">
      <w:pPr>
        <w:spacing w:after="0" w:line="240" w:lineRule="auto"/>
        <w:ind w:firstLine="720"/>
        <w:jc w:val="both"/>
        <w:rPr>
          <w:rFonts w:ascii="Arial" w:eastAsia="Times New Roman" w:hAnsi="Arial" w:cs="Arial"/>
          <w:iCs/>
          <w:color w:val="000000"/>
          <w:kern w:val="0"/>
          <w:lang w:val="mn-MN"/>
        </w:rPr>
      </w:pPr>
    </w:p>
    <w:p w14:paraId="385BC6CE" w14:textId="283B4AB0" w:rsidR="007E2011" w:rsidRDefault="007E2011" w:rsidP="007E2011">
      <w:pPr>
        <w:widowControl w:val="0"/>
        <w:tabs>
          <w:tab w:val="left" w:pos="567"/>
        </w:tabs>
        <w:spacing w:after="0" w:line="240" w:lineRule="auto"/>
        <w:ind w:right="20"/>
        <w:jc w:val="both"/>
        <w:rPr>
          <w:rFonts w:ascii="Arial" w:eastAsia="Times New Roman" w:hAnsi="Arial" w:cs="Arial"/>
          <w:iCs/>
          <w:color w:val="000000"/>
          <w:kern w:val="0"/>
          <w:lang w:val="mn-MN"/>
        </w:rPr>
      </w:pPr>
      <w:r w:rsidRPr="005C338E">
        <w:rPr>
          <w:rFonts w:ascii="Arial" w:eastAsia="Arial Unicode MS" w:hAnsi="Arial" w:cs="Arial"/>
          <w:iCs/>
          <w:color w:val="000000"/>
          <w:lang w:val="mn-MN"/>
        </w:rPr>
        <w:tab/>
      </w:r>
      <w:r>
        <w:rPr>
          <w:rFonts w:ascii="Arial" w:eastAsia="Arial Unicode MS" w:hAnsi="Arial" w:cs="Arial"/>
          <w:iCs/>
          <w:color w:val="000000"/>
          <w:lang w:val="mn-MN"/>
        </w:rPr>
        <w:tab/>
        <w:t>Мөн өм</w:t>
      </w:r>
      <w:r w:rsidRPr="00692EA5">
        <w:rPr>
          <w:rFonts w:ascii="Arial" w:hAnsi="Arial" w:cs="Arial"/>
          <w:iCs/>
          <w:color w:val="000000" w:themeColor="text1"/>
          <w:lang w:val="mn-MN"/>
        </w:rPr>
        <w:t>нө нь батлагдсан үндсэн чиглэлүүдийн хэрэгжилт</w:t>
      </w:r>
      <w:r>
        <w:rPr>
          <w:rFonts w:ascii="Arial" w:hAnsi="Arial" w:cs="Arial"/>
          <w:iCs/>
          <w:color w:val="000000" w:themeColor="text1"/>
          <w:lang w:val="mn-MN"/>
        </w:rPr>
        <w:t xml:space="preserve">ийн хувь хангалтгүй 37 хувьтай байгаад </w:t>
      </w:r>
      <w:r w:rsidRPr="00692EA5">
        <w:rPr>
          <w:rFonts w:ascii="Arial" w:hAnsi="Arial" w:cs="Arial"/>
          <w:iCs/>
          <w:color w:val="000000" w:themeColor="text1"/>
          <w:lang w:val="mn-MN"/>
        </w:rPr>
        <w:t>үнэл</w:t>
      </w:r>
      <w:r>
        <w:rPr>
          <w:rFonts w:ascii="Arial" w:hAnsi="Arial" w:cs="Arial"/>
          <w:iCs/>
          <w:color w:val="000000" w:themeColor="text1"/>
          <w:lang w:val="mn-MN"/>
        </w:rPr>
        <w:t>элт</w:t>
      </w:r>
      <w:r w:rsidRPr="00692EA5">
        <w:rPr>
          <w:rFonts w:ascii="Arial" w:hAnsi="Arial" w:cs="Arial"/>
          <w:iCs/>
          <w:color w:val="000000" w:themeColor="text1"/>
          <w:lang w:val="mn-MN"/>
        </w:rPr>
        <w:t>, дүгнэлт хийж</w:t>
      </w:r>
      <w:r>
        <w:rPr>
          <w:rFonts w:ascii="Arial" w:hAnsi="Arial" w:cs="Arial"/>
          <w:iCs/>
          <w:color w:val="000000" w:themeColor="text1"/>
          <w:lang w:val="mn-MN"/>
        </w:rPr>
        <w:t>,</w:t>
      </w:r>
      <w:r w:rsidRPr="00692EA5">
        <w:rPr>
          <w:rFonts w:ascii="Arial" w:hAnsi="Arial" w:cs="Arial"/>
          <w:iCs/>
          <w:color w:val="000000" w:themeColor="text1"/>
          <w:lang w:val="mn-MN"/>
        </w:rPr>
        <w:t xml:space="preserve"> цаашид хэрхэх асуудлыг шийдвэрлэх болон т</w:t>
      </w:r>
      <w:r w:rsidRPr="00692EA5">
        <w:rPr>
          <w:rFonts w:ascii="Arial" w:hAnsi="Arial" w:cs="Arial"/>
          <w:iCs/>
          <w:color w:val="000000" w:themeColor="text1"/>
          <w:lang w:val="mn-MN" w:bidi="mn-Mong-MN"/>
        </w:rPr>
        <w:t xml:space="preserve">өрийн нийтийн өмчид зайлшгүй байх хувьчилж үл болох хөрөнгө, </w:t>
      </w:r>
      <w:r w:rsidRPr="00692EA5">
        <w:rPr>
          <w:rFonts w:ascii="Arial" w:hAnsi="Arial" w:cs="Arial"/>
          <w:color w:val="000000" w:themeColor="text1"/>
          <w:lang w:val="mn-MN"/>
        </w:rPr>
        <w:t xml:space="preserve">ашгийн бус, </w:t>
      </w:r>
      <w:r w:rsidRPr="00692EA5">
        <w:rPr>
          <w:rFonts w:ascii="Arial" w:hAnsi="Arial" w:cs="Arial"/>
          <w:color w:val="000000" w:themeColor="text1"/>
          <w:lang w:val="uz-Cyrl-UZ"/>
        </w:rPr>
        <w:t xml:space="preserve">нийгмийн </w:t>
      </w:r>
      <w:r w:rsidRPr="00692EA5">
        <w:rPr>
          <w:rFonts w:ascii="Arial" w:hAnsi="Arial" w:cs="Arial"/>
          <w:color w:val="000000" w:themeColor="text1"/>
          <w:lang w:val="mn-MN"/>
        </w:rPr>
        <w:t>шинжтэй төрөөс үйл ажиллагааг заавал хариуцан явуулах шаардлагатай төрийн өмчит хуулийн этгээдийн</w:t>
      </w:r>
      <w:r w:rsidRPr="00692EA5">
        <w:rPr>
          <w:rFonts w:ascii="Arial" w:hAnsi="Arial" w:cs="Arial"/>
          <w:iCs/>
          <w:color w:val="000000" w:themeColor="text1"/>
          <w:lang w:val="mn-MN" w:bidi="mn-Mong-MN"/>
        </w:rPr>
        <w:t xml:space="preserve"> төрөл, чиглэлийг тодорхойлж, тэдгээрээс бусад төрийн өмчийн компаниудыг үе шаттайгаар өөрчлөн байгуулах, нээлттэй хувьцаат компани болгох, </w:t>
      </w:r>
      <w:r w:rsidRPr="00692EA5">
        <w:rPr>
          <w:rFonts w:ascii="Arial" w:hAnsi="Arial" w:cs="Arial"/>
          <w:color w:val="000000" w:themeColor="text1"/>
          <w:lang w:val="mn-MN"/>
        </w:rPr>
        <w:t xml:space="preserve">хувьцааг нь биржээр </w:t>
      </w:r>
      <w:r w:rsidRPr="00692EA5">
        <w:rPr>
          <w:rFonts w:ascii="Arial" w:eastAsia="Times New Roman" w:hAnsi="Arial" w:cs="Arial"/>
          <w:iCs/>
          <w:color w:val="000000" w:themeColor="text1"/>
          <w:lang w:val="mn-MN"/>
        </w:rPr>
        <w:t>олон нийтэд нээлттэй худалдах</w:t>
      </w:r>
      <w:r w:rsidRPr="00692EA5">
        <w:rPr>
          <w:rFonts w:ascii="Arial" w:hAnsi="Arial" w:cs="Arial"/>
          <w:iCs/>
          <w:color w:val="000000" w:themeColor="text1"/>
          <w:lang w:val="mn-MN" w:bidi="mn-Mong-MN"/>
        </w:rPr>
        <w:t xml:space="preserve"> замаар бизнесийн үйл ажиллагаанд </w:t>
      </w:r>
      <w:r w:rsidRPr="00692EA5">
        <w:rPr>
          <w:rFonts w:ascii="Arial" w:hAnsi="Arial" w:cs="Arial"/>
          <w:iCs/>
          <w:color w:val="000000" w:themeColor="text1"/>
          <w:lang w:val="mn-MN"/>
        </w:rPr>
        <w:t xml:space="preserve">төрийн оролцоог бууруулах, </w:t>
      </w:r>
      <w:r w:rsidRPr="00692EA5">
        <w:rPr>
          <w:rFonts w:ascii="Arial" w:hAnsi="Arial" w:cs="Arial"/>
          <w:iCs/>
          <w:color w:val="000000" w:themeColor="text1"/>
          <w:lang w:val="mn-MN" w:bidi="mn-Mong-MN"/>
        </w:rPr>
        <w:t>олон нийтийн хяналтад оруулах, стратегийн хөрөнгө оруулалт татах</w:t>
      </w:r>
      <w:r w:rsidRPr="00692EA5">
        <w:rPr>
          <w:rFonts w:ascii="Arial" w:eastAsia="Times New Roman" w:hAnsi="Arial" w:cs="Arial"/>
          <w:iCs/>
          <w:color w:val="000000" w:themeColor="text1"/>
          <w:lang w:val="mn-MN"/>
        </w:rPr>
        <w:t>, хөрөнгийг дуудлага худалдаагаар худалдах арга хэмжээг үе шаттайгаар хэрэгжүүл</w:t>
      </w:r>
      <w:r>
        <w:rPr>
          <w:rFonts w:ascii="Arial" w:eastAsia="Times New Roman" w:hAnsi="Arial" w:cs="Arial"/>
          <w:iCs/>
          <w:color w:val="000000" w:themeColor="text1"/>
          <w:lang w:val="mn-MN"/>
        </w:rPr>
        <w:t xml:space="preserve">эх </w:t>
      </w:r>
      <w:r w:rsidRPr="005C338E">
        <w:rPr>
          <w:rFonts w:ascii="Arial" w:eastAsia="Times New Roman" w:hAnsi="Arial" w:cs="Arial"/>
          <w:iCs/>
          <w:color w:val="000000"/>
          <w:kern w:val="0"/>
          <w:lang w:val="mn-MN"/>
        </w:rPr>
        <w:t>тодорхой санал боловсруулан шийдвэрлүүл</w:t>
      </w:r>
      <w:r>
        <w:rPr>
          <w:rFonts w:ascii="Arial" w:eastAsia="Times New Roman" w:hAnsi="Arial" w:cs="Arial"/>
          <w:iCs/>
          <w:color w:val="000000"/>
          <w:kern w:val="0"/>
          <w:lang w:val="mn-MN"/>
        </w:rPr>
        <w:t>эх байдлаар тусгасан болно.</w:t>
      </w:r>
    </w:p>
    <w:p w14:paraId="3EF05C87" w14:textId="77777777" w:rsidR="007E2011" w:rsidRDefault="007E2011" w:rsidP="00AD6ECB">
      <w:pPr>
        <w:spacing w:after="0" w:line="240" w:lineRule="auto"/>
        <w:ind w:firstLine="720"/>
        <w:jc w:val="both"/>
        <w:rPr>
          <w:rFonts w:ascii="Arial" w:eastAsia="Times New Roman" w:hAnsi="Arial" w:cs="Arial"/>
          <w:iCs/>
          <w:color w:val="000000"/>
          <w:kern w:val="0"/>
          <w:lang w:val="mn-MN"/>
        </w:rPr>
      </w:pPr>
    </w:p>
    <w:p w14:paraId="25699F5A" w14:textId="7E3A938C" w:rsidR="00AD6ECB" w:rsidRPr="003F69EE" w:rsidRDefault="00180326" w:rsidP="00AD6ECB">
      <w:pPr>
        <w:spacing w:after="0" w:line="240" w:lineRule="auto"/>
        <w:ind w:firstLine="720"/>
        <w:jc w:val="both"/>
        <w:rPr>
          <w:rFonts w:ascii="Arial" w:eastAsia="Times New Roman" w:hAnsi="Arial" w:cs="Arial"/>
          <w:kern w:val="0"/>
          <w:lang w:val="mn-MN"/>
        </w:rPr>
      </w:pPr>
      <w:r w:rsidRPr="00843C83">
        <w:rPr>
          <w:rFonts w:ascii="Arial" w:hAnsi="Arial" w:cs="Arial"/>
          <w:bCs/>
          <w:lang w:val="mn-MN"/>
        </w:rPr>
        <w:t xml:space="preserve">Төрийн болон орон нутгийн өмчийн тухай хуулийн 56 дугаар зүйлийн </w:t>
      </w:r>
      <w:r w:rsidR="00F00F53">
        <w:rPr>
          <w:rFonts w:ascii="Arial" w:hAnsi="Arial" w:cs="Arial"/>
          <w:bCs/>
          <w:lang w:val="mn-MN"/>
        </w:rPr>
        <w:t>2 дахь хэсгийн 2 дахь заалтад</w:t>
      </w:r>
      <w:r w:rsidRPr="00A24E2D">
        <w:rPr>
          <w:rFonts w:ascii="Arial" w:hAnsi="Arial" w:cs="Arial"/>
          <w:bCs/>
          <w:lang w:val="mn-MN"/>
        </w:rPr>
        <w:t xml:space="preserve"> хувьцааг биржээр арилжих үйл ажиллагааг Үнэт цаасны зах зээлийн тухай хуульд заасан журмын дагуу явуулна</w:t>
      </w:r>
      <w:r w:rsidR="00F00F53">
        <w:rPr>
          <w:rFonts w:ascii="Arial" w:hAnsi="Arial" w:cs="Arial"/>
          <w:bCs/>
          <w:lang w:val="mn-MN"/>
        </w:rPr>
        <w:t xml:space="preserve">” гэж, </w:t>
      </w:r>
      <w:r w:rsidR="00F00F53">
        <w:rPr>
          <w:rFonts w:ascii="Arial" w:hAnsi="Arial" w:cs="Arial"/>
          <w:bCs/>
          <w:i/>
          <w:iCs/>
          <w:lang w:val="mn-MN"/>
        </w:rPr>
        <w:t xml:space="preserve">мөн зүйлийн </w:t>
      </w:r>
      <w:r w:rsidRPr="00A24E2D">
        <w:rPr>
          <w:rFonts w:ascii="Arial" w:hAnsi="Arial" w:cs="Arial"/>
          <w:bCs/>
          <w:i/>
          <w:iCs/>
          <w:lang w:val="mn-MN"/>
        </w:rPr>
        <w:t>5</w:t>
      </w:r>
      <w:r w:rsidR="00F00F53">
        <w:rPr>
          <w:rFonts w:ascii="Arial" w:hAnsi="Arial" w:cs="Arial"/>
          <w:bCs/>
          <w:lang w:val="mn-MN"/>
        </w:rPr>
        <w:t xml:space="preserve"> дахь заалтад “</w:t>
      </w:r>
      <w:r w:rsidRPr="00A24E2D">
        <w:rPr>
          <w:rFonts w:ascii="Arial" w:hAnsi="Arial" w:cs="Arial"/>
          <w:bCs/>
          <w:lang w:val="mn-MN"/>
        </w:rPr>
        <w:t>Аливаа этгээд дангаар болон холбогдох этгээдийн хамт энэ хуульд заасны дагуу нээлттэй хувьцаат компани болсон төрийн болон орон нутгийн өмчит хуулийн этгээдийн Үнэт цаасны зах зээлийн тухай хуулийн 4.1.29-д заасан нөлөө бүхий хувьцаа эзэмшигч байхыг хориглоно</w:t>
      </w:r>
      <w:r w:rsidR="00F00F53">
        <w:rPr>
          <w:rFonts w:ascii="Arial" w:hAnsi="Arial" w:cs="Arial"/>
          <w:bCs/>
          <w:lang w:val="mn-MN"/>
        </w:rPr>
        <w:t>” гэж заасан нь</w:t>
      </w:r>
      <w:r>
        <w:rPr>
          <w:rFonts w:ascii="Arial" w:hAnsi="Arial" w:cs="Arial"/>
          <w:bCs/>
          <w:lang w:val="mn-MN"/>
        </w:rPr>
        <w:t xml:space="preserve"> </w:t>
      </w:r>
      <w:r w:rsidRPr="00AD4285">
        <w:rPr>
          <w:rFonts w:ascii="Arial" w:hAnsi="Arial" w:cs="Arial"/>
          <w:color w:val="000000" w:themeColor="text1"/>
          <w:lang w:val="mn-MN"/>
        </w:rPr>
        <w:t xml:space="preserve">төрийн өмчит </w:t>
      </w:r>
      <w:r w:rsidR="00F00F53">
        <w:rPr>
          <w:rFonts w:ascii="Arial" w:hAnsi="Arial" w:cs="Arial"/>
          <w:color w:val="000000" w:themeColor="text1"/>
          <w:lang w:val="mn-MN"/>
        </w:rPr>
        <w:t xml:space="preserve">нийт </w:t>
      </w:r>
      <w:r w:rsidRPr="00AD4285">
        <w:rPr>
          <w:rFonts w:ascii="Arial" w:hAnsi="Arial" w:cs="Arial"/>
          <w:color w:val="000000" w:themeColor="text1"/>
          <w:lang w:val="mn-MN"/>
        </w:rPr>
        <w:t>хуулийн этгээдийн хувьцааг биржээр олон нийтэд нээлттэй худалдах үндсэн чиглэлийг хэрэгжүүлэх</w:t>
      </w:r>
      <w:r>
        <w:rPr>
          <w:rFonts w:ascii="Arial" w:hAnsi="Arial" w:cs="Arial"/>
          <w:color w:val="000000" w:themeColor="text1"/>
          <w:lang w:val="mn-MN"/>
        </w:rPr>
        <w:t xml:space="preserve"> боломжгүй</w:t>
      </w:r>
      <w:r w:rsidRPr="00AD4285">
        <w:rPr>
          <w:rFonts w:ascii="Arial" w:hAnsi="Arial" w:cs="Arial"/>
          <w:color w:val="000000" w:themeColor="text1"/>
          <w:lang w:val="mn-MN"/>
        </w:rPr>
        <w:t xml:space="preserve"> нөхцөл байд</w:t>
      </w:r>
      <w:r w:rsidR="00F00F53">
        <w:rPr>
          <w:rFonts w:ascii="Arial" w:hAnsi="Arial" w:cs="Arial"/>
          <w:color w:val="000000" w:themeColor="text1"/>
          <w:lang w:val="mn-MN"/>
        </w:rPr>
        <w:t>ал</w:t>
      </w:r>
      <w:r w:rsidRPr="00AD4285">
        <w:rPr>
          <w:rFonts w:ascii="Arial" w:hAnsi="Arial" w:cs="Arial"/>
          <w:color w:val="000000" w:themeColor="text1"/>
          <w:lang w:val="mn-MN"/>
        </w:rPr>
        <w:t xml:space="preserve"> үүсгээд бай</w:t>
      </w:r>
      <w:r>
        <w:rPr>
          <w:rFonts w:ascii="Arial" w:hAnsi="Arial" w:cs="Arial"/>
          <w:color w:val="000000" w:themeColor="text1"/>
          <w:lang w:val="mn-MN"/>
        </w:rPr>
        <w:t>гаа</w:t>
      </w:r>
      <w:r w:rsidR="00F00F53">
        <w:rPr>
          <w:rFonts w:ascii="Arial" w:hAnsi="Arial" w:cs="Arial"/>
          <w:color w:val="000000" w:themeColor="text1"/>
          <w:lang w:val="mn-MN"/>
        </w:rPr>
        <w:t>г</w:t>
      </w:r>
      <w:r>
        <w:rPr>
          <w:rFonts w:ascii="Arial" w:hAnsi="Arial" w:cs="Arial"/>
          <w:color w:val="000000" w:themeColor="text1"/>
          <w:lang w:val="mn-MN"/>
        </w:rPr>
        <w:t xml:space="preserve"> </w:t>
      </w:r>
      <w:r w:rsidR="00AD6ECB" w:rsidRPr="003F69EE">
        <w:rPr>
          <w:rFonts w:ascii="Arial" w:hAnsi="Arial" w:cs="Arial"/>
          <w:bCs/>
          <w:lang w:val="mn-MN"/>
        </w:rPr>
        <w:t>өөрчлөх чиглэлээр санал боловсруул</w:t>
      </w:r>
      <w:r w:rsidR="00F00F53">
        <w:rPr>
          <w:rFonts w:ascii="Arial" w:hAnsi="Arial" w:cs="Arial"/>
          <w:bCs/>
          <w:lang w:val="mn-MN"/>
        </w:rPr>
        <w:t>ж, шийдвэрлүүлэх асуудлыг үндсэн чиглэлийн төсөлд мөн тусгасан</w:t>
      </w:r>
      <w:r w:rsidR="002404E2">
        <w:rPr>
          <w:rFonts w:ascii="Arial" w:hAnsi="Arial" w:cs="Arial"/>
          <w:bCs/>
          <w:lang w:val="mn-MN"/>
        </w:rPr>
        <w:t xml:space="preserve"> болно.</w:t>
      </w:r>
    </w:p>
    <w:p w14:paraId="4868569C" w14:textId="77777777" w:rsidR="001C7E1D" w:rsidRDefault="001C7E1D" w:rsidP="001C7E1D">
      <w:pPr>
        <w:spacing w:after="0" w:line="240" w:lineRule="auto"/>
        <w:ind w:firstLine="720"/>
        <w:jc w:val="both"/>
        <w:rPr>
          <w:rFonts w:ascii="Arial" w:eastAsia="Times New Roman" w:hAnsi="Arial" w:cs="Arial"/>
          <w:iCs/>
          <w:color w:val="000000"/>
          <w:kern w:val="0"/>
          <w:lang w:val="mn-MN"/>
        </w:rPr>
      </w:pPr>
    </w:p>
    <w:p w14:paraId="44490237" w14:textId="77777777" w:rsidR="00F00F53" w:rsidRDefault="00F00F53" w:rsidP="00F00F53">
      <w:pPr>
        <w:spacing w:after="0" w:line="240" w:lineRule="auto"/>
        <w:ind w:firstLine="720"/>
        <w:jc w:val="both"/>
        <w:rPr>
          <w:rFonts w:ascii="Arial" w:hAnsi="Arial" w:cs="Arial"/>
          <w:lang w:val="mn-MN"/>
        </w:rPr>
      </w:pPr>
      <w:r w:rsidRPr="00863EE7">
        <w:rPr>
          <w:rFonts w:ascii="Arial" w:eastAsia="Times New Roman" w:hAnsi="Arial" w:cs="Arial"/>
          <w:lang w:val="mn-MN" w:bidi="bo-CN"/>
        </w:rPr>
        <w:t>"</w:t>
      </w:r>
      <w:r>
        <w:rPr>
          <w:rFonts w:ascii="Arial" w:eastAsia="Times New Roman" w:hAnsi="Arial" w:cs="Arial"/>
          <w:kern w:val="0"/>
          <w:lang w:val="mn-MN"/>
          <w14:ligatures w14:val="none"/>
        </w:rPr>
        <w:t>Т</w:t>
      </w:r>
      <w:r w:rsidRPr="005C338E">
        <w:rPr>
          <w:rFonts w:ascii="Arial" w:eastAsia="Times New Roman" w:hAnsi="Arial" w:cs="Arial"/>
          <w:kern w:val="0"/>
          <w:lang w:val="mn-MN"/>
          <w14:ligatures w14:val="none"/>
        </w:rPr>
        <w:t>өрийн өмчит хуулийн этгээдийн хувьцааг 202</w:t>
      </w:r>
      <w:r>
        <w:rPr>
          <w:rFonts w:ascii="Arial" w:eastAsia="Times New Roman" w:hAnsi="Arial" w:cs="Arial"/>
          <w:kern w:val="0"/>
          <w:lang w:val="mn-MN"/>
          <w14:ligatures w14:val="none"/>
        </w:rPr>
        <w:t>6</w:t>
      </w:r>
      <w:r w:rsidRPr="005C338E">
        <w:rPr>
          <w:rFonts w:ascii="Arial" w:eastAsia="Times New Roman" w:hAnsi="Arial" w:cs="Arial"/>
          <w:kern w:val="0"/>
          <w:lang w:val="mn-MN"/>
          <w14:ligatures w14:val="none"/>
        </w:rPr>
        <w:t xml:space="preserve">-2028 онд </w:t>
      </w:r>
      <w:r>
        <w:rPr>
          <w:rFonts w:ascii="Arial" w:eastAsia="Times New Roman" w:hAnsi="Arial" w:cs="Arial"/>
          <w:lang w:val="mn-MN"/>
          <w14:ligatures w14:val="none"/>
        </w:rPr>
        <w:t xml:space="preserve"> </w:t>
      </w:r>
      <w:r w:rsidRPr="005C338E">
        <w:rPr>
          <w:rFonts w:ascii="Arial" w:eastAsia="Times New Roman" w:hAnsi="Arial" w:cs="Arial"/>
          <w:kern w:val="0"/>
          <w:lang w:val="mn-MN"/>
          <w14:ligatures w14:val="none"/>
        </w:rPr>
        <w:t>биржээр олон нийтэд нээлттэй худалдах</w:t>
      </w:r>
      <w:r>
        <w:rPr>
          <w:rFonts w:ascii="Arial" w:eastAsia="Times New Roman" w:hAnsi="Arial" w:cs="Arial"/>
          <w:kern w:val="0"/>
          <w:lang w:val="mn-MN"/>
          <w14:ligatures w14:val="none"/>
        </w:rPr>
        <w:t>, т</w:t>
      </w:r>
      <w:r w:rsidRPr="005C338E">
        <w:rPr>
          <w:rFonts w:ascii="Arial" w:eastAsia="Times New Roman" w:hAnsi="Arial" w:cs="Arial"/>
          <w:kern w:val="0"/>
          <w:lang w:val="mn-MN"/>
          <w14:ligatures w14:val="none"/>
        </w:rPr>
        <w:t>өрийн өмчийг хувьчлах, өөрчлөн байгуулах, үндсэн</w:t>
      </w:r>
      <w:r w:rsidRPr="00ED3506">
        <w:rPr>
          <w:rFonts w:ascii="Arial" w:eastAsia="Times New Roman" w:hAnsi="Arial" w:cs="Arial"/>
          <w:lang w:val="mn-MN"/>
        </w:rPr>
        <w:t xml:space="preserve"> чиглэл</w:t>
      </w:r>
      <w:r w:rsidRPr="00863EE7">
        <w:rPr>
          <w:rFonts w:ascii="Arial" w:eastAsia="Times New Roman" w:hAnsi="Arial" w:cs="Arial"/>
          <w:lang w:val="mn-MN" w:bidi="bo-CN"/>
        </w:rPr>
        <w:t>”-ийн төслийг боловсруулж</w:t>
      </w:r>
      <w:r>
        <w:rPr>
          <w:rFonts w:ascii="Arial" w:eastAsia="Times New Roman" w:hAnsi="Arial" w:cs="Arial"/>
          <w:lang w:val="mn-MN" w:bidi="bo-CN"/>
        </w:rPr>
        <w:t xml:space="preserve">, </w:t>
      </w:r>
      <w:r>
        <w:rPr>
          <w:rFonts w:ascii="Arial" w:eastAsia="Times New Roman" w:hAnsi="Arial" w:cs="Arial"/>
          <w:kern w:val="0"/>
          <w:lang w:val="mn-MN"/>
          <w14:ligatures w14:val="none"/>
        </w:rPr>
        <w:t xml:space="preserve">Хууль зүй, дотоод хэргийн яам, </w:t>
      </w:r>
      <w:r>
        <w:rPr>
          <w:rFonts w:ascii="Arial" w:eastAsia="Times New Roman" w:hAnsi="Arial" w:cs="Arial"/>
          <w:lang w:val="mn-MN" w:bidi="bo-CN"/>
        </w:rPr>
        <w:t xml:space="preserve">Эрчим хүчний яам, Сангийн яам, </w:t>
      </w:r>
      <w:r w:rsidRPr="00F94220">
        <w:rPr>
          <w:rFonts w:ascii="Arial" w:eastAsia="Times New Roman" w:hAnsi="Arial" w:cs="Arial"/>
          <w:lang w:val="mn-MN" w:bidi="bo-CN"/>
        </w:rPr>
        <w:t>Цахим хөгжил, инновац, харилцаа холбооны</w:t>
      </w:r>
      <w:r>
        <w:rPr>
          <w:rFonts w:ascii="Arial" w:eastAsia="Times New Roman" w:hAnsi="Arial" w:cs="Arial"/>
          <w:lang w:val="mn-MN" w:bidi="bo-CN"/>
        </w:rPr>
        <w:t xml:space="preserve"> яам, Соёл, спорт, аялал жуулчлал, залуучуудын яам, Батлан хамгаалах яам, Гэр бүл, нийгмийн хамгааллын яам, Монгол Улсын Шадар сайд, Гадаад харилцааны яам, Боловсролын яамны, </w:t>
      </w:r>
      <w:r w:rsidRPr="00F94220">
        <w:rPr>
          <w:rFonts w:ascii="Arial" w:eastAsia="Calibri" w:hAnsi="Arial" w:cs="Arial"/>
          <w:lang w:val="mn-MN"/>
        </w:rPr>
        <w:t>Хүнс хөдөө аж ахуй, хөнгөн үйлдвэрийн</w:t>
      </w:r>
      <w:r>
        <w:rPr>
          <w:rFonts w:ascii="Arial" w:eastAsia="Times New Roman" w:hAnsi="Arial" w:cs="Arial"/>
          <w:lang w:val="mn-MN" w:bidi="bo-CN"/>
        </w:rPr>
        <w:t xml:space="preserve"> яам,</w:t>
      </w:r>
      <w:r w:rsidRPr="00F94220">
        <w:rPr>
          <w:rFonts w:ascii="Arial" w:eastAsia="Times New Roman" w:hAnsi="Arial" w:cs="Arial"/>
          <w:lang w:val="mn-MN" w:bidi="bo-CN"/>
        </w:rPr>
        <w:t xml:space="preserve"> </w:t>
      </w:r>
      <w:r w:rsidRPr="00F94220">
        <w:rPr>
          <w:rFonts w:ascii="Arial" w:eastAsia="Calibri" w:hAnsi="Arial" w:cs="Arial"/>
          <w:lang w:val="mn-MN"/>
        </w:rPr>
        <w:t>Аж үйлдвэр, эрдэс баялгийн</w:t>
      </w:r>
      <w:r>
        <w:rPr>
          <w:rFonts w:ascii="Arial" w:eastAsia="Calibri" w:hAnsi="Arial" w:cs="Arial"/>
          <w:lang w:val="mn-MN"/>
        </w:rPr>
        <w:t xml:space="preserve"> яам, Зам тээврийн яам, Монополын эсрэг газар, “Эрдэнэс монгол” ХХК, “Эрчист монгол” ХХК болон Монголын үндэсний худалдаа аж үйлдвэрийн танхим, Нээлттэй форум нийгэмлэгээс</w:t>
      </w:r>
      <w:r w:rsidRPr="00863EE7">
        <w:rPr>
          <w:rFonts w:ascii="Arial" w:eastAsia="Times New Roman" w:hAnsi="Arial" w:cs="Arial"/>
          <w:lang w:val="mn-MN" w:bidi="bo-CN"/>
        </w:rPr>
        <w:t xml:space="preserve"> санал</w:t>
      </w:r>
      <w:r>
        <w:rPr>
          <w:rFonts w:ascii="Arial" w:eastAsia="Times New Roman" w:hAnsi="Arial" w:cs="Arial"/>
          <w:lang w:val="mn-MN" w:bidi="bo-CN"/>
        </w:rPr>
        <w:t xml:space="preserve"> авч нэгтгэсэн ба</w:t>
      </w:r>
      <w:r>
        <w:rPr>
          <w:rFonts w:ascii="Arial" w:hAnsi="Arial" w:cs="Arial"/>
          <w:lang w:val="mn-MN"/>
        </w:rPr>
        <w:t xml:space="preserve"> Т</w:t>
      </w:r>
      <w:r w:rsidRPr="004560D4">
        <w:rPr>
          <w:rFonts w:ascii="Arial" w:hAnsi="Arial" w:cs="Arial"/>
          <w:lang w:val="mn-MN"/>
        </w:rPr>
        <w:t xml:space="preserve">өрийн өмчийн бодлого, зохицуулалтын газрын </w:t>
      </w:r>
      <w:hyperlink r:id="rId5" w:history="1">
        <w:r w:rsidRPr="004560D4">
          <w:rPr>
            <w:rStyle w:val="Hyperlink"/>
            <w:rFonts w:ascii="Arial" w:hAnsi="Arial" w:cs="Arial"/>
            <w:lang w:val="mn-MN"/>
          </w:rPr>
          <w:t>https://pcsp.gov.mn/?p=7964</w:t>
        </w:r>
      </w:hyperlink>
      <w:r w:rsidRPr="004560D4">
        <w:rPr>
          <w:rFonts w:ascii="Arial" w:hAnsi="Arial" w:cs="Arial"/>
          <w:lang w:val="mn-MN"/>
        </w:rPr>
        <w:t xml:space="preserve"> сайтаар иргэд олон нийтээс </w:t>
      </w:r>
      <w:r>
        <w:rPr>
          <w:rFonts w:ascii="Arial" w:eastAsia="Times New Roman" w:hAnsi="Arial" w:cs="Arial"/>
          <w:kern w:val="0"/>
          <w:lang w:val="mn-MN"/>
          <w14:ligatures w14:val="none"/>
        </w:rPr>
        <w:t>Т</w:t>
      </w:r>
      <w:r w:rsidRPr="005C338E">
        <w:rPr>
          <w:rFonts w:ascii="Arial" w:eastAsia="Times New Roman" w:hAnsi="Arial" w:cs="Arial"/>
          <w:kern w:val="0"/>
          <w:lang w:val="mn-MN"/>
          <w14:ligatures w14:val="none"/>
        </w:rPr>
        <w:t>өрийн өмчит хуулийн этгээдийн хувьцааг 202</w:t>
      </w:r>
      <w:r>
        <w:rPr>
          <w:rFonts w:ascii="Arial" w:eastAsia="Times New Roman" w:hAnsi="Arial" w:cs="Arial"/>
          <w:kern w:val="0"/>
          <w:lang w:val="mn-MN"/>
          <w14:ligatures w14:val="none"/>
        </w:rPr>
        <w:t>6</w:t>
      </w:r>
      <w:r w:rsidRPr="005C338E">
        <w:rPr>
          <w:rFonts w:ascii="Arial" w:eastAsia="Times New Roman" w:hAnsi="Arial" w:cs="Arial"/>
          <w:kern w:val="0"/>
          <w:lang w:val="mn-MN"/>
          <w14:ligatures w14:val="none"/>
        </w:rPr>
        <w:t xml:space="preserve">-2028 онд </w:t>
      </w:r>
      <w:r>
        <w:rPr>
          <w:rFonts w:ascii="Arial" w:eastAsia="Times New Roman" w:hAnsi="Arial" w:cs="Arial"/>
          <w:lang w:val="mn-MN"/>
          <w14:ligatures w14:val="none"/>
        </w:rPr>
        <w:t xml:space="preserve"> </w:t>
      </w:r>
      <w:r w:rsidRPr="005C338E">
        <w:rPr>
          <w:rFonts w:ascii="Arial" w:eastAsia="Times New Roman" w:hAnsi="Arial" w:cs="Arial"/>
          <w:kern w:val="0"/>
          <w:lang w:val="mn-MN"/>
          <w14:ligatures w14:val="none"/>
        </w:rPr>
        <w:t>биржээр олон нийтэд нээлттэй худалдах</w:t>
      </w:r>
      <w:r>
        <w:rPr>
          <w:rFonts w:ascii="Arial" w:eastAsia="Times New Roman" w:hAnsi="Arial" w:cs="Arial"/>
          <w:kern w:val="0"/>
          <w:lang w:val="mn-MN"/>
          <w14:ligatures w14:val="none"/>
        </w:rPr>
        <w:t>, т</w:t>
      </w:r>
      <w:r w:rsidRPr="005C338E">
        <w:rPr>
          <w:rFonts w:ascii="Arial" w:eastAsia="Times New Roman" w:hAnsi="Arial" w:cs="Arial"/>
          <w:kern w:val="0"/>
          <w:lang w:val="mn-MN"/>
          <w14:ligatures w14:val="none"/>
        </w:rPr>
        <w:t>өрийн өмчийг хувьчлах, өөрчлөн байгуулах, үндсэн</w:t>
      </w:r>
      <w:r w:rsidRPr="00ED3506">
        <w:rPr>
          <w:rFonts w:ascii="Arial" w:eastAsia="Times New Roman" w:hAnsi="Arial" w:cs="Arial"/>
          <w:lang w:val="mn-MN"/>
        </w:rPr>
        <w:t xml:space="preserve"> чиглэл</w:t>
      </w:r>
      <w:r w:rsidRPr="002B1A6D">
        <w:rPr>
          <w:rFonts w:ascii="Arial" w:hAnsi="Arial" w:cs="Arial"/>
          <w:lang w:val="mn-MN"/>
        </w:rPr>
        <w:t>ийн төсөлд санал ав</w:t>
      </w:r>
      <w:r>
        <w:rPr>
          <w:rFonts w:ascii="Arial" w:hAnsi="Arial" w:cs="Arial"/>
          <w:lang w:val="mn-MN"/>
        </w:rPr>
        <w:t>ах ажлыг зохион байгуулсан.</w:t>
      </w:r>
    </w:p>
    <w:p w14:paraId="3FE6DB30" w14:textId="77777777" w:rsidR="00F00F53" w:rsidRDefault="00F00F53" w:rsidP="00F00F53">
      <w:pPr>
        <w:spacing w:after="0" w:line="240" w:lineRule="auto"/>
        <w:ind w:firstLine="720"/>
        <w:jc w:val="both"/>
        <w:rPr>
          <w:rFonts w:ascii="Arial" w:hAnsi="Arial" w:cs="Arial"/>
          <w:lang w:val="mn-MN"/>
        </w:rPr>
      </w:pPr>
    </w:p>
    <w:p w14:paraId="167386CC" w14:textId="77777777" w:rsidR="00F00F53" w:rsidRDefault="00F00F53" w:rsidP="00F00F53">
      <w:pPr>
        <w:spacing w:after="0" w:line="240" w:lineRule="auto"/>
        <w:ind w:firstLine="720"/>
        <w:jc w:val="both"/>
        <w:rPr>
          <w:rFonts w:ascii="Arial" w:eastAsia="Times New Roman" w:hAnsi="Arial" w:cs="Arial"/>
          <w:lang w:val="mn-MN"/>
        </w:rPr>
      </w:pPr>
      <w:bookmarkStart w:id="1" w:name="_Hlk216510062"/>
      <w:r>
        <w:rPr>
          <w:rFonts w:ascii="Arial" w:eastAsia="Times New Roman" w:hAnsi="Arial" w:cs="Arial"/>
          <w:kern w:val="0"/>
          <w:lang w:val="mn-MN"/>
        </w:rPr>
        <w:t>“</w:t>
      </w:r>
      <w:r>
        <w:rPr>
          <w:rFonts w:ascii="Arial" w:eastAsia="Times New Roman" w:hAnsi="Arial" w:cs="Arial"/>
          <w:kern w:val="0"/>
          <w:lang w:val="mn-MN"/>
          <w14:ligatures w14:val="none"/>
        </w:rPr>
        <w:t>Т</w:t>
      </w:r>
      <w:r w:rsidRPr="005C338E">
        <w:rPr>
          <w:rFonts w:ascii="Arial" w:eastAsia="Times New Roman" w:hAnsi="Arial" w:cs="Arial"/>
          <w:kern w:val="0"/>
          <w:lang w:val="mn-MN"/>
          <w14:ligatures w14:val="none"/>
        </w:rPr>
        <w:t>өрийн өмчит хуулийн этгээдийн хувьцааг 202</w:t>
      </w:r>
      <w:r>
        <w:rPr>
          <w:rFonts w:ascii="Arial" w:eastAsia="Times New Roman" w:hAnsi="Arial" w:cs="Arial"/>
          <w:kern w:val="0"/>
          <w:lang w:val="mn-MN"/>
          <w14:ligatures w14:val="none"/>
        </w:rPr>
        <w:t>6</w:t>
      </w:r>
      <w:r w:rsidRPr="005C338E">
        <w:rPr>
          <w:rFonts w:ascii="Arial" w:eastAsia="Times New Roman" w:hAnsi="Arial" w:cs="Arial"/>
          <w:kern w:val="0"/>
          <w:lang w:val="mn-MN"/>
          <w14:ligatures w14:val="none"/>
        </w:rPr>
        <w:t xml:space="preserve">-2028 онд </w:t>
      </w:r>
      <w:r>
        <w:rPr>
          <w:rFonts w:ascii="Arial" w:eastAsia="Times New Roman" w:hAnsi="Arial" w:cs="Arial"/>
          <w:lang w:val="mn-MN"/>
          <w14:ligatures w14:val="none"/>
        </w:rPr>
        <w:t xml:space="preserve"> </w:t>
      </w:r>
      <w:r w:rsidRPr="005C338E">
        <w:rPr>
          <w:rFonts w:ascii="Arial" w:eastAsia="Times New Roman" w:hAnsi="Arial" w:cs="Arial"/>
          <w:kern w:val="0"/>
          <w:lang w:val="mn-MN"/>
          <w14:ligatures w14:val="none"/>
        </w:rPr>
        <w:t>биржээр олон нийтэд нээлттэй худалдах</w:t>
      </w:r>
      <w:r>
        <w:rPr>
          <w:rFonts w:ascii="Arial" w:eastAsia="Times New Roman" w:hAnsi="Arial" w:cs="Arial"/>
          <w:kern w:val="0"/>
          <w:lang w:val="mn-MN"/>
          <w14:ligatures w14:val="none"/>
        </w:rPr>
        <w:t>, т</w:t>
      </w:r>
      <w:r w:rsidRPr="005C338E">
        <w:rPr>
          <w:rFonts w:ascii="Arial" w:eastAsia="Times New Roman" w:hAnsi="Arial" w:cs="Arial"/>
          <w:kern w:val="0"/>
          <w:lang w:val="mn-MN"/>
          <w14:ligatures w14:val="none"/>
        </w:rPr>
        <w:t>өрийн өмчийг хувьчлах, өөрчлөн байгуулах, үндсэн</w:t>
      </w:r>
      <w:r w:rsidRPr="00ED3506">
        <w:rPr>
          <w:rFonts w:ascii="Arial" w:eastAsia="Times New Roman" w:hAnsi="Arial" w:cs="Arial"/>
          <w:lang w:val="mn-MN"/>
        </w:rPr>
        <w:t xml:space="preserve"> чиглэл</w:t>
      </w:r>
      <w:r>
        <w:rPr>
          <w:rFonts w:ascii="Arial" w:eastAsia="Times New Roman" w:hAnsi="Arial" w:cs="Arial"/>
          <w:lang w:val="mn-MN"/>
        </w:rPr>
        <w:t xml:space="preserve">ийг </w:t>
      </w:r>
      <w:r>
        <w:rPr>
          <w:rFonts w:ascii="Arial" w:eastAsia="Times New Roman" w:hAnsi="Arial" w:cs="Arial"/>
          <w:lang w:val="mn-MN"/>
        </w:rPr>
        <w:lastRenderedPageBreak/>
        <w:t>Улсын Их Хурлын  дахь  Монгол Ардын намын бүлгийн хурлаар хэлэлцүүлсний үндсэн дээр Засгийн газрын хуралдаанаар хэлэлцүүлэн дэмжсэн болно.</w:t>
      </w:r>
    </w:p>
    <w:bookmarkEnd w:id="1"/>
    <w:p w14:paraId="69070916" w14:textId="77777777" w:rsidR="00F00F53" w:rsidRDefault="00F00F53" w:rsidP="00F00F53">
      <w:pPr>
        <w:spacing w:after="0" w:line="240" w:lineRule="auto"/>
        <w:ind w:firstLine="720"/>
        <w:jc w:val="both"/>
        <w:rPr>
          <w:rFonts w:ascii="Arial" w:hAnsi="Arial" w:cs="Arial"/>
          <w:lang w:val="mn-MN"/>
        </w:rPr>
      </w:pPr>
    </w:p>
    <w:p w14:paraId="0A93DA51" w14:textId="77777777" w:rsidR="001C7E1D" w:rsidRPr="005C338E" w:rsidRDefault="001C7E1D" w:rsidP="001C7E1D">
      <w:pPr>
        <w:widowControl w:val="0"/>
        <w:tabs>
          <w:tab w:val="left" w:pos="567"/>
        </w:tabs>
        <w:spacing w:after="0" w:line="240" w:lineRule="auto"/>
        <w:ind w:right="20"/>
        <w:jc w:val="center"/>
        <w:rPr>
          <w:rFonts w:ascii="Arial" w:eastAsia="Arial Unicode MS" w:hAnsi="Arial" w:cs="Arial"/>
          <w:iCs/>
          <w:color w:val="000000"/>
          <w:kern w:val="0"/>
          <w:lang w:val="mn-MN"/>
        </w:rPr>
      </w:pPr>
    </w:p>
    <w:p w14:paraId="652AFB56" w14:textId="77777777" w:rsidR="001C7E1D" w:rsidRPr="005C338E" w:rsidRDefault="001C7E1D" w:rsidP="001C7E1D">
      <w:pPr>
        <w:widowControl w:val="0"/>
        <w:tabs>
          <w:tab w:val="left" w:pos="567"/>
        </w:tabs>
        <w:spacing w:after="0" w:line="240" w:lineRule="auto"/>
        <w:ind w:right="20"/>
        <w:jc w:val="center"/>
        <w:rPr>
          <w:rFonts w:ascii="Arial" w:eastAsia="Arial Unicode MS" w:hAnsi="Arial" w:cs="Arial"/>
          <w:iCs/>
          <w:color w:val="000000"/>
          <w:kern w:val="0"/>
          <w:lang w:val="mn-MN"/>
        </w:rPr>
      </w:pPr>
    </w:p>
    <w:p w14:paraId="32CA8A54" w14:textId="44E9B374" w:rsidR="00B45959" w:rsidRDefault="001C7E1D" w:rsidP="001C7E1D">
      <w:pPr>
        <w:widowControl w:val="0"/>
        <w:tabs>
          <w:tab w:val="left" w:pos="567"/>
        </w:tabs>
        <w:spacing w:after="0" w:line="240" w:lineRule="auto"/>
        <w:ind w:right="20"/>
        <w:jc w:val="center"/>
        <w:rPr>
          <w:rFonts w:ascii="Arial" w:eastAsia="Arial Unicode MS" w:hAnsi="Arial" w:cs="Arial"/>
          <w:iCs/>
          <w:color w:val="000000"/>
          <w:kern w:val="0"/>
          <w:lang w:val="mn-MN"/>
        </w:rPr>
      </w:pPr>
      <w:r w:rsidRPr="005C338E">
        <w:rPr>
          <w:rFonts w:ascii="Arial" w:eastAsia="Arial Unicode MS" w:hAnsi="Arial" w:cs="Arial"/>
          <w:iCs/>
          <w:color w:val="000000"/>
          <w:kern w:val="0"/>
          <w:lang w:val="mn-MN"/>
        </w:rPr>
        <w:t>-----o0o-----</w:t>
      </w:r>
      <w:bookmarkEnd w:id="0"/>
    </w:p>
    <w:sectPr w:rsidR="00B45959" w:rsidSect="00C34D0A">
      <w:pgSz w:w="11909" w:h="16834" w:code="9"/>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34"/>
    <w:multiLevelType w:val="hybridMultilevel"/>
    <w:tmpl w:val="990E3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729DE"/>
    <w:multiLevelType w:val="hybridMultilevel"/>
    <w:tmpl w:val="AD5E8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93A66"/>
    <w:multiLevelType w:val="hybridMultilevel"/>
    <w:tmpl w:val="2D2C5C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6739A"/>
    <w:multiLevelType w:val="hybridMultilevel"/>
    <w:tmpl w:val="7B281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9121A"/>
    <w:multiLevelType w:val="hybridMultilevel"/>
    <w:tmpl w:val="21AAE8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79B191B"/>
    <w:multiLevelType w:val="hybridMultilevel"/>
    <w:tmpl w:val="9DC8B0AC"/>
    <w:lvl w:ilvl="0" w:tplc="F6CC73D8">
      <w:start w:val="1"/>
      <w:numFmt w:val="decimal"/>
      <w:lvlText w:val="%1."/>
      <w:lvlJc w:val="left"/>
      <w:pPr>
        <w:ind w:left="1440" w:hanging="360"/>
      </w:pPr>
      <w:rPr>
        <w:rFonts w:ascii="Arial" w:hAnsi="Arial" w:cs="Arial" w:hint="default"/>
        <w:lang w:val="mn-M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A7830"/>
    <w:multiLevelType w:val="hybridMultilevel"/>
    <w:tmpl w:val="84868AB8"/>
    <w:lvl w:ilvl="0" w:tplc="AA60C3E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632E2"/>
    <w:multiLevelType w:val="hybridMultilevel"/>
    <w:tmpl w:val="A2448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F4DC4"/>
    <w:multiLevelType w:val="hybridMultilevel"/>
    <w:tmpl w:val="320EC0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9E3D50"/>
    <w:multiLevelType w:val="hybridMultilevel"/>
    <w:tmpl w:val="E9E8ECEE"/>
    <w:lvl w:ilvl="0" w:tplc="F6CC73D8">
      <w:start w:val="1"/>
      <w:numFmt w:val="decimal"/>
      <w:lvlText w:val="%1."/>
      <w:lvlJc w:val="left"/>
      <w:pPr>
        <w:ind w:left="1440" w:hanging="360"/>
      </w:pPr>
      <w:rPr>
        <w:rFonts w:ascii="Arial" w:hAnsi="Arial" w:cs="Arial" w:hint="default"/>
        <w:lang w:val="mn-M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27373"/>
    <w:multiLevelType w:val="hybridMultilevel"/>
    <w:tmpl w:val="D6EEFB4A"/>
    <w:lvl w:ilvl="0" w:tplc="FFFFFFFF">
      <w:start w:val="1"/>
      <w:numFmt w:val="decimal"/>
      <w:lvlText w:val="%1."/>
      <w:lvlJc w:val="left"/>
      <w:pPr>
        <w:ind w:left="720" w:hanging="360"/>
      </w:pPr>
    </w:lvl>
    <w:lvl w:ilvl="1" w:tplc="F6CC73D8">
      <w:start w:val="1"/>
      <w:numFmt w:val="decimal"/>
      <w:lvlText w:val="%2."/>
      <w:lvlJc w:val="left"/>
      <w:pPr>
        <w:ind w:left="1440" w:hanging="360"/>
      </w:pPr>
      <w:rPr>
        <w:rFonts w:ascii="Arial" w:hAnsi="Arial" w:cs="Arial" w:hint="default"/>
        <w:lang w:val="mn-M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81FE2"/>
    <w:multiLevelType w:val="hybridMultilevel"/>
    <w:tmpl w:val="44AAB352"/>
    <w:lvl w:ilvl="0" w:tplc="FFFFFFFF">
      <w:start w:val="1"/>
      <w:numFmt w:val="decimal"/>
      <w:lvlText w:val="%1."/>
      <w:lvlJc w:val="left"/>
      <w:pPr>
        <w:ind w:left="1440" w:hanging="360"/>
      </w:pPr>
      <w:rPr>
        <w:rFonts w:ascii="Arial" w:hAnsi="Arial" w:cs="Arial" w:hint="default"/>
        <w:lang w:val="mn-MN"/>
      </w:rPr>
    </w:lvl>
    <w:lvl w:ilvl="1" w:tplc="FFFFFFFF" w:tentative="1">
      <w:start w:val="1"/>
      <w:numFmt w:val="lowerLetter"/>
      <w:lvlText w:val="%2."/>
      <w:lvlJc w:val="left"/>
      <w:pPr>
        <w:ind w:left="1440" w:hanging="360"/>
      </w:pPr>
    </w:lvl>
    <w:lvl w:ilvl="2" w:tplc="F6CC73D8">
      <w:start w:val="1"/>
      <w:numFmt w:val="decimal"/>
      <w:lvlText w:val="%3."/>
      <w:lvlJc w:val="left"/>
      <w:pPr>
        <w:ind w:left="1440" w:hanging="360"/>
      </w:pPr>
      <w:rPr>
        <w:rFonts w:ascii="Arial" w:hAnsi="Arial" w:cs="Arial" w:hint="default"/>
        <w:lang w:val="mn-M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744DCD"/>
    <w:multiLevelType w:val="hybridMultilevel"/>
    <w:tmpl w:val="6A9437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1B6F4E"/>
    <w:multiLevelType w:val="hybridMultilevel"/>
    <w:tmpl w:val="A14A1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17D6C"/>
    <w:multiLevelType w:val="hybridMultilevel"/>
    <w:tmpl w:val="DF2C5B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036BE"/>
    <w:multiLevelType w:val="hybridMultilevel"/>
    <w:tmpl w:val="1D1AA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302">
    <w:abstractNumId w:val="6"/>
  </w:num>
  <w:num w:numId="2" w16cid:durableId="2114351731">
    <w:abstractNumId w:val="13"/>
  </w:num>
  <w:num w:numId="3" w16cid:durableId="1199314609">
    <w:abstractNumId w:val="10"/>
  </w:num>
  <w:num w:numId="4" w16cid:durableId="70396047">
    <w:abstractNumId w:val="9"/>
  </w:num>
  <w:num w:numId="5" w16cid:durableId="1503933200">
    <w:abstractNumId w:val="11"/>
  </w:num>
  <w:num w:numId="6" w16cid:durableId="1666086323">
    <w:abstractNumId w:val="5"/>
  </w:num>
  <w:num w:numId="7" w16cid:durableId="1111238865">
    <w:abstractNumId w:val="2"/>
  </w:num>
  <w:num w:numId="8" w16cid:durableId="416024029">
    <w:abstractNumId w:val="7"/>
  </w:num>
  <w:num w:numId="9" w16cid:durableId="907614333">
    <w:abstractNumId w:val="3"/>
  </w:num>
  <w:num w:numId="10" w16cid:durableId="1677070596">
    <w:abstractNumId w:val="14"/>
  </w:num>
  <w:num w:numId="11" w16cid:durableId="1085229963">
    <w:abstractNumId w:val="0"/>
  </w:num>
  <w:num w:numId="12" w16cid:durableId="507646736">
    <w:abstractNumId w:val="1"/>
  </w:num>
  <w:num w:numId="13" w16cid:durableId="822965343">
    <w:abstractNumId w:val="4"/>
  </w:num>
  <w:num w:numId="14" w16cid:durableId="1352878858">
    <w:abstractNumId w:val="15"/>
  </w:num>
  <w:num w:numId="15" w16cid:durableId="1463497977">
    <w:abstractNumId w:val="12"/>
  </w:num>
  <w:num w:numId="16" w16cid:durableId="1509632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8E"/>
    <w:rsid w:val="00001FFE"/>
    <w:rsid w:val="00014A90"/>
    <w:rsid w:val="0003220D"/>
    <w:rsid w:val="00036DBA"/>
    <w:rsid w:val="00042752"/>
    <w:rsid w:val="00056A84"/>
    <w:rsid w:val="000629B7"/>
    <w:rsid w:val="000829E2"/>
    <w:rsid w:val="00086B14"/>
    <w:rsid w:val="000B156C"/>
    <w:rsid w:val="000C06A5"/>
    <w:rsid w:val="000D400E"/>
    <w:rsid w:val="000D5C24"/>
    <w:rsid w:val="000D603E"/>
    <w:rsid w:val="000E0903"/>
    <w:rsid w:val="000F7133"/>
    <w:rsid w:val="00103BE1"/>
    <w:rsid w:val="001140C4"/>
    <w:rsid w:val="00115E55"/>
    <w:rsid w:val="0011791E"/>
    <w:rsid w:val="00125713"/>
    <w:rsid w:val="00133F00"/>
    <w:rsid w:val="00144B31"/>
    <w:rsid w:val="00155009"/>
    <w:rsid w:val="001626C4"/>
    <w:rsid w:val="00172070"/>
    <w:rsid w:val="00180326"/>
    <w:rsid w:val="00183DB4"/>
    <w:rsid w:val="00184E1C"/>
    <w:rsid w:val="00187F6C"/>
    <w:rsid w:val="001A3E4B"/>
    <w:rsid w:val="001B0336"/>
    <w:rsid w:val="001B7524"/>
    <w:rsid w:val="001C2D62"/>
    <w:rsid w:val="001C7E1D"/>
    <w:rsid w:val="001D1C1F"/>
    <w:rsid w:val="001D686A"/>
    <w:rsid w:val="001F20E6"/>
    <w:rsid w:val="001F7EDE"/>
    <w:rsid w:val="0020035F"/>
    <w:rsid w:val="0020653C"/>
    <w:rsid w:val="00207B74"/>
    <w:rsid w:val="00207C18"/>
    <w:rsid w:val="00216FA2"/>
    <w:rsid w:val="0021752D"/>
    <w:rsid w:val="002404E2"/>
    <w:rsid w:val="002406EB"/>
    <w:rsid w:val="002422A5"/>
    <w:rsid w:val="0025185D"/>
    <w:rsid w:val="0025656C"/>
    <w:rsid w:val="00257534"/>
    <w:rsid w:val="00275218"/>
    <w:rsid w:val="00294FD9"/>
    <w:rsid w:val="00297878"/>
    <w:rsid w:val="002C03D0"/>
    <w:rsid w:val="002C6A8B"/>
    <w:rsid w:val="002D6387"/>
    <w:rsid w:val="002D6972"/>
    <w:rsid w:val="002E335D"/>
    <w:rsid w:val="00306DC7"/>
    <w:rsid w:val="00314250"/>
    <w:rsid w:val="0031626E"/>
    <w:rsid w:val="00321868"/>
    <w:rsid w:val="00321996"/>
    <w:rsid w:val="00324ECB"/>
    <w:rsid w:val="00325424"/>
    <w:rsid w:val="0033409C"/>
    <w:rsid w:val="00334C38"/>
    <w:rsid w:val="0034085E"/>
    <w:rsid w:val="00343F8C"/>
    <w:rsid w:val="003457E7"/>
    <w:rsid w:val="00350E7F"/>
    <w:rsid w:val="00352978"/>
    <w:rsid w:val="00366D91"/>
    <w:rsid w:val="00381A95"/>
    <w:rsid w:val="00384646"/>
    <w:rsid w:val="00384B3A"/>
    <w:rsid w:val="00385819"/>
    <w:rsid w:val="003938F8"/>
    <w:rsid w:val="00393FE2"/>
    <w:rsid w:val="003B147A"/>
    <w:rsid w:val="003C073B"/>
    <w:rsid w:val="003C754E"/>
    <w:rsid w:val="003E3A48"/>
    <w:rsid w:val="0042257B"/>
    <w:rsid w:val="0042705E"/>
    <w:rsid w:val="00435734"/>
    <w:rsid w:val="00461AD9"/>
    <w:rsid w:val="00463120"/>
    <w:rsid w:val="00487A9C"/>
    <w:rsid w:val="00491ADA"/>
    <w:rsid w:val="0049329B"/>
    <w:rsid w:val="004A001C"/>
    <w:rsid w:val="004A62F0"/>
    <w:rsid w:val="004C21ED"/>
    <w:rsid w:val="004D79F8"/>
    <w:rsid w:val="004E211D"/>
    <w:rsid w:val="004E6F65"/>
    <w:rsid w:val="004E70DA"/>
    <w:rsid w:val="004F0F56"/>
    <w:rsid w:val="004F725B"/>
    <w:rsid w:val="005009A1"/>
    <w:rsid w:val="005148ED"/>
    <w:rsid w:val="00516C0B"/>
    <w:rsid w:val="0051799B"/>
    <w:rsid w:val="00522447"/>
    <w:rsid w:val="00560C65"/>
    <w:rsid w:val="0056684C"/>
    <w:rsid w:val="00567397"/>
    <w:rsid w:val="00572257"/>
    <w:rsid w:val="00573BFA"/>
    <w:rsid w:val="00582CC1"/>
    <w:rsid w:val="00596CDD"/>
    <w:rsid w:val="00597544"/>
    <w:rsid w:val="005A3958"/>
    <w:rsid w:val="005C338E"/>
    <w:rsid w:val="005C3C3C"/>
    <w:rsid w:val="005D148E"/>
    <w:rsid w:val="005D288D"/>
    <w:rsid w:val="00602DD8"/>
    <w:rsid w:val="0061456C"/>
    <w:rsid w:val="00632649"/>
    <w:rsid w:val="00637422"/>
    <w:rsid w:val="00643100"/>
    <w:rsid w:val="0065239B"/>
    <w:rsid w:val="00653306"/>
    <w:rsid w:val="006709A5"/>
    <w:rsid w:val="00671C38"/>
    <w:rsid w:val="00672F30"/>
    <w:rsid w:val="006A0DF7"/>
    <w:rsid w:val="006A31FF"/>
    <w:rsid w:val="006D3CCD"/>
    <w:rsid w:val="006E58D6"/>
    <w:rsid w:val="00701B87"/>
    <w:rsid w:val="00707ED5"/>
    <w:rsid w:val="00717554"/>
    <w:rsid w:val="00723EBE"/>
    <w:rsid w:val="00730C17"/>
    <w:rsid w:val="00734C33"/>
    <w:rsid w:val="0073677D"/>
    <w:rsid w:val="007371DB"/>
    <w:rsid w:val="0074051E"/>
    <w:rsid w:val="00745F0A"/>
    <w:rsid w:val="00750A99"/>
    <w:rsid w:val="0075359A"/>
    <w:rsid w:val="007558C5"/>
    <w:rsid w:val="00760FD0"/>
    <w:rsid w:val="00761702"/>
    <w:rsid w:val="00763C34"/>
    <w:rsid w:val="007A4960"/>
    <w:rsid w:val="007D2918"/>
    <w:rsid w:val="007D53E3"/>
    <w:rsid w:val="007D6717"/>
    <w:rsid w:val="007E2011"/>
    <w:rsid w:val="007E222E"/>
    <w:rsid w:val="007E7B1E"/>
    <w:rsid w:val="007F5C59"/>
    <w:rsid w:val="007F73EF"/>
    <w:rsid w:val="0080037A"/>
    <w:rsid w:val="00811E11"/>
    <w:rsid w:val="00822428"/>
    <w:rsid w:val="008236B8"/>
    <w:rsid w:val="0082593B"/>
    <w:rsid w:val="0083292B"/>
    <w:rsid w:val="00833AE8"/>
    <w:rsid w:val="00872FF4"/>
    <w:rsid w:val="0087582E"/>
    <w:rsid w:val="00894411"/>
    <w:rsid w:val="008A12D4"/>
    <w:rsid w:val="008A2BCA"/>
    <w:rsid w:val="008A4B36"/>
    <w:rsid w:val="008A5265"/>
    <w:rsid w:val="008C595E"/>
    <w:rsid w:val="008D0751"/>
    <w:rsid w:val="008D2272"/>
    <w:rsid w:val="008D3FF8"/>
    <w:rsid w:val="008D5B42"/>
    <w:rsid w:val="008D69F0"/>
    <w:rsid w:val="008D75D4"/>
    <w:rsid w:val="008E3CA6"/>
    <w:rsid w:val="008E5A48"/>
    <w:rsid w:val="008F0584"/>
    <w:rsid w:val="008F2E29"/>
    <w:rsid w:val="0090394A"/>
    <w:rsid w:val="00912723"/>
    <w:rsid w:val="00915BC5"/>
    <w:rsid w:val="00921A97"/>
    <w:rsid w:val="009224D9"/>
    <w:rsid w:val="0092448D"/>
    <w:rsid w:val="00931712"/>
    <w:rsid w:val="0094255B"/>
    <w:rsid w:val="00951053"/>
    <w:rsid w:val="00952CC4"/>
    <w:rsid w:val="00954B59"/>
    <w:rsid w:val="00955A76"/>
    <w:rsid w:val="00962D88"/>
    <w:rsid w:val="009649EF"/>
    <w:rsid w:val="00965569"/>
    <w:rsid w:val="00995CFF"/>
    <w:rsid w:val="009A31D2"/>
    <w:rsid w:val="009B5872"/>
    <w:rsid w:val="009B59A4"/>
    <w:rsid w:val="009D282D"/>
    <w:rsid w:val="009E1D31"/>
    <w:rsid w:val="009E1D3E"/>
    <w:rsid w:val="009E4E72"/>
    <w:rsid w:val="009E7002"/>
    <w:rsid w:val="009F4FE8"/>
    <w:rsid w:val="00A01979"/>
    <w:rsid w:val="00A0310D"/>
    <w:rsid w:val="00A03575"/>
    <w:rsid w:val="00A07C76"/>
    <w:rsid w:val="00A133D9"/>
    <w:rsid w:val="00A20AE1"/>
    <w:rsid w:val="00A21ABF"/>
    <w:rsid w:val="00A21EA9"/>
    <w:rsid w:val="00A31474"/>
    <w:rsid w:val="00A31D59"/>
    <w:rsid w:val="00A33979"/>
    <w:rsid w:val="00A55A9B"/>
    <w:rsid w:val="00A63EAE"/>
    <w:rsid w:val="00A65335"/>
    <w:rsid w:val="00A67C21"/>
    <w:rsid w:val="00A77C35"/>
    <w:rsid w:val="00A854FB"/>
    <w:rsid w:val="00A94BA0"/>
    <w:rsid w:val="00AA01F2"/>
    <w:rsid w:val="00AA51A8"/>
    <w:rsid w:val="00AB018B"/>
    <w:rsid w:val="00AB435C"/>
    <w:rsid w:val="00AB7E81"/>
    <w:rsid w:val="00AD6ECB"/>
    <w:rsid w:val="00AE4FA1"/>
    <w:rsid w:val="00B01B38"/>
    <w:rsid w:val="00B03EB6"/>
    <w:rsid w:val="00B26077"/>
    <w:rsid w:val="00B27AF6"/>
    <w:rsid w:val="00B27E25"/>
    <w:rsid w:val="00B322FB"/>
    <w:rsid w:val="00B35BE2"/>
    <w:rsid w:val="00B36462"/>
    <w:rsid w:val="00B45959"/>
    <w:rsid w:val="00B45D72"/>
    <w:rsid w:val="00B6150E"/>
    <w:rsid w:val="00B63298"/>
    <w:rsid w:val="00B65962"/>
    <w:rsid w:val="00B7655D"/>
    <w:rsid w:val="00B76C86"/>
    <w:rsid w:val="00B809FC"/>
    <w:rsid w:val="00B96C04"/>
    <w:rsid w:val="00BA104A"/>
    <w:rsid w:val="00BA64F1"/>
    <w:rsid w:val="00BA7F3F"/>
    <w:rsid w:val="00BD6BF6"/>
    <w:rsid w:val="00BE0517"/>
    <w:rsid w:val="00BE6D7C"/>
    <w:rsid w:val="00BF38FB"/>
    <w:rsid w:val="00BF5F78"/>
    <w:rsid w:val="00C16CE7"/>
    <w:rsid w:val="00C21A7E"/>
    <w:rsid w:val="00C21D41"/>
    <w:rsid w:val="00C252A1"/>
    <w:rsid w:val="00C26B8B"/>
    <w:rsid w:val="00C32F98"/>
    <w:rsid w:val="00C33046"/>
    <w:rsid w:val="00C34D0A"/>
    <w:rsid w:val="00C35E6A"/>
    <w:rsid w:val="00C426CC"/>
    <w:rsid w:val="00C45197"/>
    <w:rsid w:val="00C47184"/>
    <w:rsid w:val="00C516E3"/>
    <w:rsid w:val="00C64F32"/>
    <w:rsid w:val="00C669A5"/>
    <w:rsid w:val="00C706F2"/>
    <w:rsid w:val="00C86D86"/>
    <w:rsid w:val="00C94136"/>
    <w:rsid w:val="00CA3467"/>
    <w:rsid w:val="00CA4E43"/>
    <w:rsid w:val="00CB2FB3"/>
    <w:rsid w:val="00CC079D"/>
    <w:rsid w:val="00CC6804"/>
    <w:rsid w:val="00CC6A53"/>
    <w:rsid w:val="00CD3FC5"/>
    <w:rsid w:val="00CD6FE8"/>
    <w:rsid w:val="00CE50BF"/>
    <w:rsid w:val="00CE6049"/>
    <w:rsid w:val="00CE7BC8"/>
    <w:rsid w:val="00D03DF3"/>
    <w:rsid w:val="00D10DF2"/>
    <w:rsid w:val="00D34B62"/>
    <w:rsid w:val="00D40E1B"/>
    <w:rsid w:val="00D53470"/>
    <w:rsid w:val="00D61EDD"/>
    <w:rsid w:val="00D65F60"/>
    <w:rsid w:val="00D6626C"/>
    <w:rsid w:val="00D727BA"/>
    <w:rsid w:val="00D768F4"/>
    <w:rsid w:val="00D85DD7"/>
    <w:rsid w:val="00DA3321"/>
    <w:rsid w:val="00DB06EB"/>
    <w:rsid w:val="00DD1F8F"/>
    <w:rsid w:val="00DD21AA"/>
    <w:rsid w:val="00DE13B3"/>
    <w:rsid w:val="00DE39B3"/>
    <w:rsid w:val="00DE64F1"/>
    <w:rsid w:val="00DF17AE"/>
    <w:rsid w:val="00DF6352"/>
    <w:rsid w:val="00E00CB2"/>
    <w:rsid w:val="00E17416"/>
    <w:rsid w:val="00E21414"/>
    <w:rsid w:val="00E21A42"/>
    <w:rsid w:val="00E24334"/>
    <w:rsid w:val="00E4104C"/>
    <w:rsid w:val="00E445A7"/>
    <w:rsid w:val="00E4460E"/>
    <w:rsid w:val="00E44AF0"/>
    <w:rsid w:val="00E51223"/>
    <w:rsid w:val="00E52DBC"/>
    <w:rsid w:val="00E57BF1"/>
    <w:rsid w:val="00E60BC0"/>
    <w:rsid w:val="00E62DD7"/>
    <w:rsid w:val="00E73952"/>
    <w:rsid w:val="00E819FD"/>
    <w:rsid w:val="00E9446F"/>
    <w:rsid w:val="00EA5B4F"/>
    <w:rsid w:val="00EA5FD4"/>
    <w:rsid w:val="00EA7EF3"/>
    <w:rsid w:val="00EC0B02"/>
    <w:rsid w:val="00EC50EA"/>
    <w:rsid w:val="00EC7757"/>
    <w:rsid w:val="00ED07CD"/>
    <w:rsid w:val="00ED23F1"/>
    <w:rsid w:val="00F00F53"/>
    <w:rsid w:val="00F013FF"/>
    <w:rsid w:val="00F04093"/>
    <w:rsid w:val="00F111B5"/>
    <w:rsid w:val="00F1260D"/>
    <w:rsid w:val="00F24413"/>
    <w:rsid w:val="00F3128F"/>
    <w:rsid w:val="00F339EC"/>
    <w:rsid w:val="00F4552F"/>
    <w:rsid w:val="00F45B28"/>
    <w:rsid w:val="00F503DF"/>
    <w:rsid w:val="00F527F0"/>
    <w:rsid w:val="00F5797C"/>
    <w:rsid w:val="00F74C01"/>
    <w:rsid w:val="00F76111"/>
    <w:rsid w:val="00F80568"/>
    <w:rsid w:val="00FA7254"/>
    <w:rsid w:val="00FA72A0"/>
    <w:rsid w:val="00FB4F15"/>
    <w:rsid w:val="00FB73A7"/>
    <w:rsid w:val="00FC127E"/>
    <w:rsid w:val="00FD0C5E"/>
    <w:rsid w:val="00FD208F"/>
    <w:rsid w:val="00FD551B"/>
    <w:rsid w:val="00FE384A"/>
    <w:rsid w:val="00FE4062"/>
    <w:rsid w:val="00FE6D01"/>
    <w:rsid w:val="00FF19FE"/>
    <w:rsid w:val="00FF3665"/>
    <w:rsid w:val="00FF5037"/>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F97"/>
  <w15:chartTrackingRefBased/>
  <w15:docId w15:val="{083F23A0-1B04-4C9B-A48F-6FB0D9F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38E"/>
    <w:rPr>
      <w:rFonts w:eastAsiaTheme="majorEastAsia" w:cstheme="majorBidi"/>
      <w:color w:val="272727" w:themeColor="text1" w:themeTint="D8"/>
    </w:rPr>
  </w:style>
  <w:style w:type="paragraph" w:styleId="Title">
    <w:name w:val="Title"/>
    <w:basedOn w:val="Normal"/>
    <w:next w:val="Normal"/>
    <w:link w:val="TitleChar"/>
    <w:uiPriority w:val="10"/>
    <w:qFormat/>
    <w:rsid w:val="005C3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38E"/>
    <w:pPr>
      <w:spacing w:before="160"/>
      <w:jc w:val="center"/>
    </w:pPr>
    <w:rPr>
      <w:i/>
      <w:iCs/>
      <w:color w:val="404040" w:themeColor="text1" w:themeTint="BF"/>
    </w:rPr>
  </w:style>
  <w:style w:type="character" w:customStyle="1" w:styleId="QuoteChar">
    <w:name w:val="Quote Char"/>
    <w:basedOn w:val="DefaultParagraphFont"/>
    <w:link w:val="Quote"/>
    <w:uiPriority w:val="29"/>
    <w:rsid w:val="005C338E"/>
    <w:rPr>
      <w:i/>
      <w:iCs/>
      <w:color w:val="404040" w:themeColor="text1" w:themeTint="BF"/>
    </w:rPr>
  </w:style>
  <w:style w:type="paragraph" w:styleId="ListParagraph">
    <w:name w:val="List Paragraph"/>
    <w:aliases w:val="IBL List Paragraph,Paragraph,List Paragraph1,List Paragraph Num,Дэд гарчиг,Heading Number,Bullets,List Paragraph (numbered (a)),AusAID List Paragraph,ADB paragraph numbering,列出段落3,列出段落1,Text,Citation List,Lapis Bulleted List,Bullet List"/>
    <w:basedOn w:val="Normal"/>
    <w:link w:val="ListParagraphChar"/>
    <w:uiPriority w:val="34"/>
    <w:qFormat/>
    <w:rsid w:val="005C338E"/>
    <w:pPr>
      <w:ind w:left="720"/>
      <w:contextualSpacing/>
    </w:pPr>
  </w:style>
  <w:style w:type="character" w:styleId="IntenseEmphasis">
    <w:name w:val="Intense Emphasis"/>
    <w:basedOn w:val="DefaultParagraphFont"/>
    <w:uiPriority w:val="21"/>
    <w:qFormat/>
    <w:rsid w:val="005C338E"/>
    <w:rPr>
      <w:i/>
      <w:iCs/>
      <w:color w:val="2F5496" w:themeColor="accent1" w:themeShade="BF"/>
    </w:rPr>
  </w:style>
  <w:style w:type="paragraph" w:styleId="IntenseQuote">
    <w:name w:val="Intense Quote"/>
    <w:basedOn w:val="Normal"/>
    <w:next w:val="Normal"/>
    <w:link w:val="IntenseQuoteChar"/>
    <w:uiPriority w:val="30"/>
    <w:qFormat/>
    <w:rsid w:val="005C3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38E"/>
    <w:rPr>
      <w:i/>
      <w:iCs/>
      <w:color w:val="2F5496" w:themeColor="accent1" w:themeShade="BF"/>
    </w:rPr>
  </w:style>
  <w:style w:type="character" w:styleId="IntenseReference">
    <w:name w:val="Intense Reference"/>
    <w:basedOn w:val="DefaultParagraphFont"/>
    <w:uiPriority w:val="32"/>
    <w:qFormat/>
    <w:rsid w:val="005C338E"/>
    <w:rPr>
      <w:b/>
      <w:bCs/>
      <w:smallCaps/>
      <w:color w:val="2F5496" w:themeColor="accent1" w:themeShade="BF"/>
      <w:spacing w:val="5"/>
    </w:rPr>
  </w:style>
  <w:style w:type="paragraph" w:styleId="NormalWeb">
    <w:name w:val="Normal (Web)"/>
    <w:basedOn w:val="Normal"/>
    <w:uiPriority w:val="99"/>
    <w:unhideWhenUsed/>
    <w:rsid w:val="008A5265"/>
    <w:pPr>
      <w:spacing w:after="150" w:line="240" w:lineRule="auto"/>
    </w:pPr>
    <w:rPr>
      <w:rFonts w:ascii="Times New Roman" w:eastAsiaTheme="minorEastAsia" w:hAnsi="Times New Roman" w:cs="Times New Roman"/>
      <w:kern w:val="0"/>
    </w:rPr>
  </w:style>
  <w:style w:type="character" w:customStyle="1" w:styleId="Bodytext2">
    <w:name w:val="Body text (2)_"/>
    <w:basedOn w:val="DefaultParagraphFont"/>
    <w:link w:val="Bodytext20"/>
    <w:rsid w:val="008A5265"/>
    <w:rPr>
      <w:rFonts w:ascii="Arial Unicode MS" w:eastAsia="Arial Unicode MS" w:hAnsi="Arial Unicode MS" w:cs="Arial Unicode MS"/>
      <w:b/>
      <w:bCs/>
      <w:sz w:val="23"/>
      <w:szCs w:val="23"/>
      <w:shd w:val="clear" w:color="auto" w:fill="FFFFFF"/>
    </w:rPr>
  </w:style>
  <w:style w:type="paragraph" w:customStyle="1" w:styleId="Bodytext20">
    <w:name w:val="Body text (2)"/>
    <w:basedOn w:val="Normal"/>
    <w:link w:val="Bodytext2"/>
    <w:rsid w:val="008A5265"/>
    <w:pPr>
      <w:widowControl w:val="0"/>
      <w:shd w:val="clear" w:color="auto" w:fill="FFFFFF"/>
      <w:spacing w:before="900" w:after="240" w:line="274" w:lineRule="exact"/>
      <w:jc w:val="center"/>
    </w:pPr>
    <w:rPr>
      <w:rFonts w:ascii="Arial Unicode MS" w:eastAsia="Arial Unicode MS" w:hAnsi="Arial Unicode MS" w:cs="Arial Unicode MS"/>
      <w:b/>
      <w:bCs/>
      <w:sz w:val="23"/>
      <w:szCs w:val="23"/>
    </w:rPr>
  </w:style>
  <w:style w:type="character" w:styleId="Hyperlink">
    <w:name w:val="Hyperlink"/>
    <w:basedOn w:val="DefaultParagraphFont"/>
    <w:uiPriority w:val="99"/>
    <w:unhideWhenUsed/>
    <w:rsid w:val="008A5265"/>
    <w:rPr>
      <w:color w:val="0563C1" w:themeColor="hyperlink"/>
      <w:u w:val="single"/>
    </w:rPr>
  </w:style>
  <w:style w:type="character" w:styleId="Strong">
    <w:name w:val="Strong"/>
    <w:basedOn w:val="DefaultParagraphFont"/>
    <w:uiPriority w:val="22"/>
    <w:qFormat/>
    <w:rsid w:val="008A5265"/>
    <w:rPr>
      <w:b/>
      <w:bCs/>
    </w:rPr>
  </w:style>
  <w:style w:type="character" w:styleId="Emphasis">
    <w:name w:val="Emphasis"/>
    <w:basedOn w:val="DefaultParagraphFont"/>
    <w:uiPriority w:val="20"/>
    <w:qFormat/>
    <w:rsid w:val="008A5265"/>
    <w:rPr>
      <w:i/>
      <w:iCs/>
    </w:rPr>
  </w:style>
  <w:style w:type="table" w:styleId="TableGrid">
    <w:name w:val="Table Grid"/>
    <w:basedOn w:val="TableNormal"/>
    <w:uiPriority w:val="39"/>
    <w:qFormat/>
    <w:rsid w:val="00B96C04"/>
    <w:pPr>
      <w:spacing w:after="0" w:line="240" w:lineRule="auto"/>
    </w:pPr>
    <w:rPr>
      <w:rFonts w:eastAsiaTheme="minorEastAsia"/>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63EAE"/>
    <w:pPr>
      <w:spacing w:after="0" w:line="240" w:lineRule="auto"/>
    </w:pPr>
    <w:rPr>
      <w:rFonts w:eastAsia="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basedOn w:val="DefaultParagraphFont"/>
    <w:link w:val="BodyText1"/>
    <w:rsid w:val="00B322FB"/>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B322FB"/>
    <w:pPr>
      <w:widowControl w:val="0"/>
      <w:shd w:val="clear" w:color="auto" w:fill="FFFFFF"/>
      <w:spacing w:after="0" w:line="277" w:lineRule="exact"/>
      <w:jc w:val="both"/>
    </w:pPr>
    <w:rPr>
      <w:rFonts w:ascii="Arial Unicode MS" w:eastAsia="Arial Unicode MS" w:hAnsi="Arial Unicode MS" w:cs="Arial Unicode MS"/>
      <w:sz w:val="23"/>
      <w:szCs w:val="23"/>
    </w:rPr>
  </w:style>
  <w:style w:type="character" w:customStyle="1" w:styleId="Heading20">
    <w:name w:val="Heading #2_"/>
    <w:basedOn w:val="DefaultParagraphFont"/>
    <w:link w:val="Heading21"/>
    <w:rsid w:val="00ED23F1"/>
    <w:rPr>
      <w:rFonts w:ascii="Arial Unicode MS" w:eastAsia="Arial Unicode MS" w:hAnsi="Arial Unicode MS" w:cs="Arial Unicode MS"/>
      <w:b/>
      <w:bCs/>
      <w:sz w:val="23"/>
      <w:szCs w:val="23"/>
      <w:shd w:val="clear" w:color="auto" w:fill="FFFFFF"/>
    </w:rPr>
  </w:style>
  <w:style w:type="paragraph" w:customStyle="1" w:styleId="Heading21">
    <w:name w:val="Heading #2"/>
    <w:basedOn w:val="Normal"/>
    <w:link w:val="Heading20"/>
    <w:rsid w:val="00ED23F1"/>
    <w:pPr>
      <w:widowControl w:val="0"/>
      <w:shd w:val="clear" w:color="auto" w:fill="FFFFFF"/>
      <w:spacing w:before="240" w:after="300" w:line="0" w:lineRule="atLeast"/>
      <w:ind w:firstLine="700"/>
      <w:jc w:val="both"/>
      <w:outlineLvl w:val="1"/>
    </w:pPr>
    <w:rPr>
      <w:rFonts w:ascii="Arial Unicode MS" w:eastAsia="Arial Unicode MS" w:hAnsi="Arial Unicode MS" w:cs="Arial Unicode MS"/>
      <w:b/>
      <w:bCs/>
      <w:sz w:val="23"/>
      <w:szCs w:val="23"/>
    </w:rPr>
  </w:style>
  <w:style w:type="character" w:customStyle="1" w:styleId="ListParagraphChar">
    <w:name w:val="List Paragraph Char"/>
    <w:aliases w:val="IBL List Paragraph Char,Paragraph Char,List Paragraph1 Char,List Paragraph Num Char,Дэд гарчиг Char,Heading Number Char,Bullets Char,List Paragraph (numbered (a)) Char,AusAID List Paragraph Char,ADB paragraph numbering Char,Text Char"/>
    <w:link w:val="ListParagraph"/>
    <w:uiPriority w:val="34"/>
    <w:qFormat/>
    <w:rsid w:val="00ED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csp.gov.mn/?p=79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Darkhanbaatar Vandan</dc:creator>
  <cp:keywords/>
  <dc:description/>
  <cp:lastModifiedBy>Д.Нямдэлгэр</cp:lastModifiedBy>
  <cp:revision>4</cp:revision>
  <cp:lastPrinted>2025-12-18T09:06:00Z</cp:lastPrinted>
  <dcterms:created xsi:type="dcterms:W3CDTF">2025-12-18T05:14:00Z</dcterms:created>
  <dcterms:modified xsi:type="dcterms:W3CDTF">2025-12-18T09:30:00Z</dcterms:modified>
</cp:coreProperties>
</file>