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2F74E" w14:textId="77777777" w:rsidR="003A6D8F" w:rsidRDefault="003A6D8F" w:rsidP="003A6D8F">
      <w:pPr>
        <w:ind w:firstLine="0"/>
      </w:pPr>
      <w:r>
        <w:t>БАТЛАВ.</w:t>
      </w:r>
    </w:p>
    <w:p w14:paraId="68C13734" w14:textId="316C48F1" w:rsidR="003A6D8F" w:rsidRDefault="003A6D8F" w:rsidP="003A6D8F">
      <w:pPr>
        <w:ind w:firstLine="0"/>
      </w:pPr>
      <w:r>
        <w:t>УЛСЫН ИХ ХУРЛЫН ГИШҮҮН …………………………. Б.ПУ</w:t>
      </w:r>
      <w:r>
        <w:t>НСАЛМАА</w:t>
      </w:r>
    </w:p>
    <w:p w14:paraId="357D2ADE" w14:textId="77777777" w:rsidR="003A6D8F" w:rsidRDefault="003A6D8F" w:rsidP="003A6D8F">
      <w:pPr>
        <w:ind w:firstLine="0"/>
      </w:pPr>
    </w:p>
    <w:p w14:paraId="0D945001" w14:textId="77777777" w:rsidR="003A6D8F" w:rsidRDefault="003A6D8F" w:rsidP="003A6D8F">
      <w:pPr>
        <w:ind w:firstLine="0"/>
      </w:pPr>
    </w:p>
    <w:p w14:paraId="76B171C4" w14:textId="677E0B6A" w:rsidR="00794155" w:rsidRPr="00794155" w:rsidRDefault="00794155" w:rsidP="00794155">
      <w:pPr>
        <w:pStyle w:val="Title"/>
      </w:pPr>
      <w:r w:rsidRPr="00794155">
        <w:t>УЛСЫН ТӨСВИЙН ХӨРӨНГӨ ОРУУЛАЛТААР ТӨСӨЛ, АРГА ХЭМЖЭЭГ</w:t>
      </w:r>
    </w:p>
    <w:p w14:paraId="256D016A" w14:textId="77777777" w:rsidR="00794155" w:rsidRPr="00794155" w:rsidRDefault="00794155" w:rsidP="00794155">
      <w:pPr>
        <w:pStyle w:val="Title"/>
      </w:pPr>
      <w:r w:rsidRPr="00794155">
        <w:t xml:space="preserve">САНХҮҮЖҮҮЛЭХ ТАЛААР АВЧ ХЭРЭГЖҮҮЛЭХ ЗАРИМ АРГА ХЭМЖЭЭНИЙ ТУХАЙ </w:t>
      </w:r>
      <w:r w:rsidR="00A077A4" w:rsidRPr="00794155">
        <w:t xml:space="preserve">МОНГОЛ УЛСЫН ИХ ХУРЛЫН ТОГТООЛЫН ТӨСЛИЙГ </w:t>
      </w:r>
    </w:p>
    <w:p w14:paraId="11C3FAA1" w14:textId="13EA7A92" w:rsidR="00A077A4" w:rsidRPr="00794155" w:rsidRDefault="00A077A4" w:rsidP="00794155">
      <w:pPr>
        <w:pStyle w:val="Title"/>
      </w:pPr>
      <w:r w:rsidRPr="00794155">
        <w:t>ҮЗЭЛ БАРИМТЛАЛ</w:t>
      </w:r>
    </w:p>
    <w:p w14:paraId="3FC7DAD1" w14:textId="77777777" w:rsidR="00BB25E7" w:rsidRPr="00885B7E" w:rsidRDefault="00BB25E7" w:rsidP="00BB25E7">
      <w:pPr>
        <w:rPr>
          <w:lang w:val="mn-MN"/>
        </w:rPr>
      </w:pPr>
    </w:p>
    <w:p w14:paraId="5FCAE5F3" w14:textId="1530FE36" w:rsidR="002A3ECB" w:rsidRPr="00050C88" w:rsidRDefault="002A3ECB" w:rsidP="00C21E9A">
      <w:pPr>
        <w:pStyle w:val="Heading1"/>
      </w:pPr>
      <w:r w:rsidRPr="00050C88">
        <w:t>Нэг.</w:t>
      </w:r>
      <w:r w:rsidR="00794155">
        <w:t xml:space="preserve"> </w:t>
      </w:r>
      <w:r w:rsidRPr="00050C88">
        <w:t>Тогтоолын төсөл боловсруулах үндэслэл, шаардлага</w:t>
      </w:r>
    </w:p>
    <w:p w14:paraId="5C89D806" w14:textId="13950D6D" w:rsidR="00050C88" w:rsidRPr="00A116EF" w:rsidRDefault="002A3ECB" w:rsidP="00A116EF">
      <w:pPr>
        <w:pStyle w:val="Heading2"/>
      </w:pPr>
      <w:r w:rsidRPr="00A116EF">
        <w:t>1.1.</w:t>
      </w:r>
      <w:r w:rsidR="00794155">
        <w:t xml:space="preserve"> </w:t>
      </w:r>
      <w:r w:rsidRPr="00A116EF">
        <w:t>Хууль зүйн үндэслэл</w:t>
      </w:r>
    </w:p>
    <w:p w14:paraId="1F6790C4" w14:textId="2F8FE819" w:rsidR="002A3ECB" w:rsidRPr="00050C88" w:rsidRDefault="002A3ECB" w:rsidP="004D13EC">
      <w:r w:rsidRPr="00050C88">
        <w:t xml:space="preserve">Монгол Улсын Үндсэн хуулийн </w:t>
      </w:r>
      <w:r w:rsidR="003F2989">
        <w:t>Хорин тавдугаар</w:t>
      </w:r>
      <w:r w:rsidRPr="00050C88">
        <w:t xml:space="preserve"> зүйлийн 1 дэх хэсг</w:t>
      </w:r>
      <w:r w:rsidR="003F2989">
        <w:t>ийн 7-д</w:t>
      </w:r>
      <w:r w:rsidRPr="00050C88">
        <w:t xml:space="preserve"> </w:t>
      </w:r>
      <w:r w:rsidRPr="003F2989">
        <w:t>“</w:t>
      </w:r>
      <w:r w:rsidR="003F2989" w:rsidRPr="003F2989">
        <w:t>төрийн санхүү, зээл, албан татвар, мөнгөний бодлого, улсын эдийн засаг, нийгмийн хөгжлийн бодлого, үндсэн чиглэлийг тодорхойлж, хөгжлийн болон үндэсний аюулгүй байдлын бодлогод нийцүүлэн боловсруулсан Засгийн газрын үйл ажиллагааны хөтөлбөр, улсын төсөв, түүний гүйцэтгэлийн тайланг батлах</w:t>
      </w:r>
      <w:r w:rsidRPr="00050C88">
        <w:t>”</w:t>
      </w:r>
      <w:r w:rsidR="00050C88">
        <w:t xml:space="preserve">, мөн </w:t>
      </w:r>
      <w:r w:rsidR="00050C88" w:rsidRPr="00050C88">
        <w:t>“</w:t>
      </w:r>
      <w:r w:rsidR="003F2989" w:rsidRPr="003F2989">
        <w:t>Төрийн санхүү, төсвийн хяналтыг хараат бусаар хэрэгжүүлэх байгууллагын бүрэн эрх, зохион байгуулалт, үйл ажиллагааны журмыг хуулиар тогтооно</w:t>
      </w:r>
      <w:r w:rsidR="00050C88" w:rsidRPr="00050C88">
        <w:t>”</w:t>
      </w:r>
      <w:r w:rsidRPr="00050C88">
        <w:t xml:space="preserve"> гэж</w:t>
      </w:r>
      <w:r w:rsidR="00050C88" w:rsidRPr="00050C88">
        <w:t xml:space="preserve"> тус тус</w:t>
      </w:r>
      <w:r w:rsidRPr="00050C88">
        <w:t xml:space="preserve"> заасан.</w:t>
      </w:r>
    </w:p>
    <w:p w14:paraId="2EC1E0B6" w14:textId="4A2985E8" w:rsidR="002A3ECB" w:rsidRDefault="002A3ECB" w:rsidP="003F2989">
      <w:r>
        <w:t xml:space="preserve">Монгол Улсын Үндсэн хуулийн Хорин </w:t>
      </w:r>
      <w:r w:rsidR="003F2989">
        <w:t>зурга</w:t>
      </w:r>
      <w:r w:rsidR="000125CE">
        <w:rPr>
          <w:lang w:val="mn-MN"/>
        </w:rPr>
        <w:t>а</w:t>
      </w:r>
      <w:r w:rsidR="003F2989">
        <w:t xml:space="preserve">дугаар </w:t>
      </w:r>
      <w:r>
        <w:t xml:space="preserve">зүйлийн </w:t>
      </w:r>
      <w:r w:rsidR="003F2989">
        <w:t>1</w:t>
      </w:r>
      <w:r>
        <w:t xml:space="preserve"> д</w:t>
      </w:r>
      <w:r w:rsidR="003F2989">
        <w:t>э</w:t>
      </w:r>
      <w:r>
        <w:t>х хэсэгт</w:t>
      </w:r>
      <w:r w:rsidR="00050C88">
        <w:t xml:space="preserve"> </w:t>
      </w:r>
      <w:r w:rsidRPr="003F2989">
        <w:t>“</w:t>
      </w:r>
      <w:r w:rsidR="003F2989" w:rsidRPr="003F2989">
        <w:t>Ерөнхийлөгч, Улсын Их Хурлын гишүүн, Засгийн газар хууль санаачлах эрх эдлэх бөгөөд энэхүү эрхийн хүрээ, хязгаарыг хуулиар тогтооно.</w:t>
      </w:r>
      <w:r w:rsidRPr="003F2989">
        <w:t>”</w:t>
      </w:r>
      <w:r>
        <w:t xml:space="preserve"> гэж, Монгол Улсын Их Хурлын хяналт</w:t>
      </w:r>
      <w:r w:rsidR="00050C88">
        <w:t xml:space="preserve"> </w:t>
      </w:r>
      <w:r>
        <w:t xml:space="preserve">шалгалтын тухай хуулийн </w:t>
      </w:r>
      <w:r w:rsidR="003F2989">
        <w:t>24</w:t>
      </w:r>
      <w:r>
        <w:t xml:space="preserve"> д</w:t>
      </w:r>
      <w:r w:rsidR="003F2989">
        <w:t>ү</w:t>
      </w:r>
      <w:r>
        <w:t>г</w:t>
      </w:r>
      <w:r w:rsidR="003F2989">
        <w:t>ээ</w:t>
      </w:r>
      <w:r>
        <w:t xml:space="preserve">р зүйлийн </w:t>
      </w:r>
      <w:r w:rsidR="003F2989">
        <w:t>14</w:t>
      </w:r>
      <w:r>
        <w:t>.</w:t>
      </w:r>
      <w:r w:rsidR="003F2989">
        <w:t>2</w:t>
      </w:r>
      <w:r>
        <w:t xml:space="preserve"> д</w:t>
      </w:r>
      <w:r w:rsidR="003F2989">
        <w:t>а</w:t>
      </w:r>
      <w:r>
        <w:t>х</w:t>
      </w:r>
      <w:r w:rsidR="003F2989">
        <w:t>ь</w:t>
      </w:r>
      <w:r>
        <w:t xml:space="preserve"> хэсэгт “</w:t>
      </w:r>
      <w:r w:rsidR="003F2989">
        <w:t>Нэгдсэн хуралдаан энэ хуулийн 14.1.2, 14.1.3-т заасан мэдээллийг хэлэлцээд Улсын Их Хур</w:t>
      </w:r>
      <w:r w:rsidR="005136A4">
        <w:t>а</w:t>
      </w:r>
      <w:r w:rsidR="003F2989">
        <w:t>л</w:t>
      </w:r>
      <w:r w:rsidR="005136A4">
        <w:t xml:space="preserve"> </w:t>
      </w:r>
      <w:r w:rsidR="005136A4">
        <w:rPr>
          <w:lang w:val="en-US"/>
        </w:rPr>
        <w:t>(</w:t>
      </w:r>
      <w:r w:rsidR="005136A4">
        <w:rPr>
          <w:lang w:val="mn-MN"/>
        </w:rPr>
        <w:t>УИХ</w:t>
      </w:r>
      <w:r w:rsidR="005136A4">
        <w:rPr>
          <w:lang w:val="en-US"/>
        </w:rPr>
        <w:t>)-</w:t>
      </w:r>
      <w:r w:rsidR="003F2989">
        <w:t>аас тодорхой шийдвэр гаргах болон хууль тогтоомжийн биелэлтийг хангуулахаар Засгийн газар</w:t>
      </w:r>
      <w:r w:rsidR="005136A4">
        <w:t xml:space="preserve"> </w:t>
      </w:r>
      <w:r w:rsidR="005136A4">
        <w:rPr>
          <w:lang w:val="en-US"/>
        </w:rPr>
        <w:t>(</w:t>
      </w:r>
      <w:r w:rsidR="005136A4">
        <w:rPr>
          <w:lang w:val="mn-MN"/>
        </w:rPr>
        <w:t>ЗГ</w:t>
      </w:r>
      <w:r w:rsidR="005136A4">
        <w:rPr>
          <w:lang w:val="en-US"/>
        </w:rPr>
        <w:t>)-</w:t>
      </w:r>
      <w:r w:rsidR="003F2989">
        <w:t>т чиглэл өгөх шаардлагатай гэж үзвэл холбогдох Байнгын хороонд энэ талаар чиглэл өгч болно, мөн зүйлийн 14.3-д “Улсын Их Хурал хууль тогтоомжийн биелэлтийг хангуулахаар Засгийн газарт чиглэл өгөх тухай Монгол Улсын Их Хурлын тогтоол баталсан бол Засгийн газар уг тогтоолын биелэлтийг мөн тогтоолд заасан хугацаанд Улсын Их Хуралд танилцуулах үүрэгтэй</w:t>
      </w:r>
      <w:r>
        <w:t>” гэж тус тус заасан.</w:t>
      </w:r>
    </w:p>
    <w:p w14:paraId="04077F7A" w14:textId="5B47C4A5" w:rsidR="003F2989" w:rsidRPr="003F2989" w:rsidRDefault="003F2989" w:rsidP="003F2989">
      <w:r>
        <w:t xml:space="preserve">Монгол Улсын жилийн төсвийн төсөлд Улсын төсвийн хөрөнгө оруулалт </w:t>
      </w:r>
      <w:r>
        <w:rPr>
          <w:lang w:val="en-US"/>
        </w:rPr>
        <w:t>(</w:t>
      </w:r>
      <w:r>
        <w:rPr>
          <w:lang w:val="mn-MN"/>
        </w:rPr>
        <w:t>УТХО</w:t>
      </w:r>
      <w:r>
        <w:rPr>
          <w:lang w:val="en-US"/>
        </w:rPr>
        <w:t>)</w:t>
      </w:r>
      <w:r>
        <w:t xml:space="preserve">-аар хэрэгжүүлэх төсөл арга хэмжээ </w:t>
      </w:r>
      <w:r>
        <w:rPr>
          <w:lang w:val="en-US"/>
        </w:rPr>
        <w:t>(</w:t>
      </w:r>
      <w:r>
        <w:rPr>
          <w:lang w:val="mn-MN"/>
        </w:rPr>
        <w:t>ТАХ</w:t>
      </w:r>
      <w:r>
        <w:rPr>
          <w:lang w:val="en-US"/>
        </w:rPr>
        <w:t xml:space="preserve">)-г </w:t>
      </w:r>
      <w:proofErr w:type="spellStart"/>
      <w:r>
        <w:rPr>
          <w:lang w:val="en-US"/>
        </w:rPr>
        <w:t>хавсралтаар</w:t>
      </w:r>
      <w:proofErr w:type="spellEnd"/>
      <w:r>
        <w:rPr>
          <w:lang w:val="en-US"/>
        </w:rPr>
        <w:t xml:space="preserve"> </w:t>
      </w:r>
      <w:proofErr w:type="spellStart"/>
      <w:r>
        <w:rPr>
          <w:lang w:val="en-US"/>
        </w:rPr>
        <w:t>баталдаг</w:t>
      </w:r>
      <w:proofErr w:type="spellEnd"/>
      <w:r>
        <w:rPr>
          <w:lang w:val="en-US"/>
        </w:rPr>
        <w:t xml:space="preserve">. ТАХ-г </w:t>
      </w:r>
      <w:proofErr w:type="spellStart"/>
      <w:r>
        <w:rPr>
          <w:lang w:val="en-US"/>
        </w:rPr>
        <w:t>улсын</w:t>
      </w:r>
      <w:proofErr w:type="spellEnd"/>
      <w:r>
        <w:rPr>
          <w:lang w:val="en-US"/>
        </w:rPr>
        <w:t xml:space="preserve"> УТХО-</w:t>
      </w:r>
      <w:proofErr w:type="spellStart"/>
      <w:r>
        <w:rPr>
          <w:lang w:val="en-US"/>
        </w:rPr>
        <w:t>аар</w:t>
      </w:r>
      <w:proofErr w:type="spellEnd"/>
      <w:r>
        <w:rPr>
          <w:lang w:val="en-US"/>
        </w:rPr>
        <w:t xml:space="preserve"> </w:t>
      </w:r>
      <w:proofErr w:type="spellStart"/>
      <w:r>
        <w:rPr>
          <w:lang w:val="en-US"/>
        </w:rPr>
        <w:t>санхүүжүүлэхээр</w:t>
      </w:r>
      <w:proofErr w:type="spellEnd"/>
      <w:r>
        <w:rPr>
          <w:lang w:val="en-US"/>
        </w:rPr>
        <w:t xml:space="preserve"> </w:t>
      </w:r>
      <w:proofErr w:type="spellStart"/>
      <w:r>
        <w:rPr>
          <w:lang w:val="en-US"/>
        </w:rPr>
        <w:t>төсвийн</w:t>
      </w:r>
      <w:proofErr w:type="spellEnd"/>
      <w:r>
        <w:rPr>
          <w:lang w:val="en-US"/>
        </w:rPr>
        <w:t xml:space="preserve"> </w:t>
      </w:r>
      <w:proofErr w:type="spellStart"/>
      <w:r>
        <w:rPr>
          <w:lang w:val="en-US"/>
        </w:rPr>
        <w:t>төсөлд</w:t>
      </w:r>
      <w:proofErr w:type="spellEnd"/>
      <w:r>
        <w:rPr>
          <w:lang w:val="en-US"/>
        </w:rPr>
        <w:t xml:space="preserve"> </w:t>
      </w:r>
      <w:proofErr w:type="spellStart"/>
      <w:r>
        <w:rPr>
          <w:lang w:val="en-US"/>
        </w:rPr>
        <w:t>тусгахын</w:t>
      </w:r>
      <w:proofErr w:type="spellEnd"/>
      <w:r>
        <w:rPr>
          <w:lang w:val="en-US"/>
        </w:rPr>
        <w:t xml:space="preserve"> </w:t>
      </w:r>
      <w:proofErr w:type="spellStart"/>
      <w:r>
        <w:rPr>
          <w:lang w:val="en-US"/>
        </w:rPr>
        <w:t>тулд</w:t>
      </w:r>
      <w:proofErr w:type="spellEnd"/>
      <w:r>
        <w:rPr>
          <w:lang w:val="en-US"/>
        </w:rPr>
        <w:t xml:space="preserve"> </w:t>
      </w:r>
      <w:proofErr w:type="spellStart"/>
      <w:r>
        <w:rPr>
          <w:lang w:val="en-US"/>
        </w:rPr>
        <w:t>Засгийн</w:t>
      </w:r>
      <w:proofErr w:type="spellEnd"/>
      <w:r>
        <w:rPr>
          <w:lang w:val="en-US"/>
        </w:rPr>
        <w:t xml:space="preserve"> </w:t>
      </w:r>
      <w:proofErr w:type="spellStart"/>
      <w:r>
        <w:rPr>
          <w:lang w:val="en-US"/>
        </w:rPr>
        <w:t>газрын</w:t>
      </w:r>
      <w:proofErr w:type="spellEnd"/>
      <w:r>
        <w:rPr>
          <w:lang w:val="en-US"/>
        </w:rPr>
        <w:t xml:space="preserve"> </w:t>
      </w:r>
      <w:r>
        <w:rPr>
          <w:color w:val="000000"/>
          <w:lang w:val="mn-MN"/>
        </w:rPr>
        <w:t>2023</w:t>
      </w:r>
      <w:r w:rsidRPr="00263283">
        <w:rPr>
          <w:color w:val="000000"/>
          <w:lang w:val="mn-MN"/>
        </w:rPr>
        <w:t xml:space="preserve"> оны</w:t>
      </w:r>
      <w:r>
        <w:rPr>
          <w:color w:val="000000"/>
          <w:lang w:val="mn-MN"/>
        </w:rPr>
        <w:t xml:space="preserve"> 07</w:t>
      </w:r>
      <w:r w:rsidRPr="00263283">
        <w:rPr>
          <w:color w:val="000000"/>
          <w:lang w:val="mn-MN"/>
        </w:rPr>
        <w:t xml:space="preserve"> </w:t>
      </w:r>
      <w:r>
        <w:rPr>
          <w:color w:val="000000"/>
          <w:lang w:val="mn-MN"/>
        </w:rPr>
        <w:t>дугаа</w:t>
      </w:r>
      <w:r w:rsidRPr="00263283">
        <w:rPr>
          <w:color w:val="000000"/>
          <w:lang w:val="mn-MN"/>
        </w:rPr>
        <w:t>р</w:t>
      </w:r>
      <w:r>
        <w:rPr>
          <w:color w:val="000000"/>
          <w:lang w:val="mn-MN"/>
        </w:rPr>
        <w:t xml:space="preserve"> </w:t>
      </w:r>
      <w:r>
        <w:rPr>
          <w:rFonts w:eastAsia="Calibri"/>
          <w:color w:val="000000"/>
          <w:lang w:val="mn-MN"/>
        </w:rPr>
        <w:t xml:space="preserve">сарын 19-ний өдрийн </w:t>
      </w:r>
      <w:r>
        <w:rPr>
          <w:color w:val="000000"/>
        </w:rPr>
        <w:t>278 д</w:t>
      </w:r>
      <w:r>
        <w:rPr>
          <w:color w:val="000000"/>
          <w:lang w:val="mn-MN"/>
        </w:rPr>
        <w:t>угаа</w:t>
      </w:r>
      <w:r>
        <w:rPr>
          <w:color w:val="000000"/>
        </w:rPr>
        <w:t xml:space="preserve">р </w:t>
      </w:r>
      <w:r w:rsidRPr="00263283">
        <w:rPr>
          <w:color w:val="000000"/>
        </w:rPr>
        <w:t>т</w:t>
      </w:r>
      <w:r w:rsidRPr="00263283">
        <w:rPr>
          <w:color w:val="000000"/>
          <w:lang w:val="mn-MN"/>
        </w:rPr>
        <w:t>огтоолын</w:t>
      </w:r>
      <w:r>
        <w:rPr>
          <w:color w:val="000000"/>
          <w:lang w:val="mn-MN"/>
        </w:rPr>
        <w:t xml:space="preserve"> </w:t>
      </w:r>
      <w:r w:rsidRPr="00263283">
        <w:rPr>
          <w:color w:val="000000"/>
          <w:lang w:val="mn-MN"/>
        </w:rPr>
        <w:t>хавсралт</w:t>
      </w:r>
      <w:r>
        <w:rPr>
          <w:color w:val="000000"/>
          <w:lang w:val="mn-MN"/>
        </w:rPr>
        <w:t>аар баталсан “</w:t>
      </w:r>
      <w:r w:rsidRPr="0072400D">
        <w:t>ТӨСВИЙН ХӨРӨНГӨ ОРУУЛАЛТААР ХЭРЭГЖҮҮЛЭХ ТӨСӨЛ, АРГА ХЭМЖЭЭГ ТӨЛӨВЛӨХ, САНХҮҮЖҮҮЛЭХ, ХЯНАХ, ТАЙЛАГНАХ ЖУРАМ</w:t>
      </w:r>
      <w:r>
        <w:rPr>
          <w:color w:val="000000"/>
          <w:lang w:val="mn-MN"/>
        </w:rPr>
        <w:t>”-</w:t>
      </w:r>
      <w:r w:rsidR="005136A4">
        <w:rPr>
          <w:color w:val="000000"/>
          <w:lang w:val="mn-MN"/>
        </w:rPr>
        <w:t>аар</w:t>
      </w:r>
      <w:r>
        <w:rPr>
          <w:color w:val="000000"/>
          <w:lang w:val="mn-MN"/>
        </w:rPr>
        <w:t xml:space="preserve"> </w:t>
      </w:r>
      <w:r w:rsidR="005136A4">
        <w:t>б</w:t>
      </w:r>
      <w:r w:rsidRPr="0072400D">
        <w:t>арилга байгууламж, их засвар, тоног төхөөрөмж, зөвлөх үйлчилгээ зэрэг төсвийн хөрөнгө оруулалтаар хэрэгжүүлэх төсөл, арга хэмжээг төлөвлөх, санхүүжүүлэх, хянах, тайлагнах, тэдгээртэй холбогдсон харилцаа</w:t>
      </w:r>
      <w:r w:rsidR="005136A4">
        <w:t>г зохицуулдаг байна.</w:t>
      </w:r>
    </w:p>
    <w:p w14:paraId="0B403CEE" w14:textId="28A5150F" w:rsidR="002F42A4" w:rsidRDefault="005136A4" w:rsidP="002F42A4">
      <w:pPr>
        <w:pStyle w:val="NoSpacing"/>
        <w:ind w:firstLine="720"/>
        <w:jc w:val="both"/>
        <w:rPr>
          <w:rFonts w:ascii="Arial" w:hAnsi="Arial" w:cs="Arial"/>
          <w:lang w:val="mn-MN"/>
        </w:rPr>
      </w:pPr>
      <w:proofErr w:type="spellStart"/>
      <w:r>
        <w:rPr>
          <w:rFonts w:ascii="Arial" w:hAnsi="Arial" w:cs="Arial"/>
          <w:lang w:val="en-US"/>
        </w:rPr>
        <w:t>Төсвийн</w:t>
      </w:r>
      <w:proofErr w:type="spellEnd"/>
      <w:r>
        <w:rPr>
          <w:rFonts w:ascii="Arial" w:hAnsi="Arial" w:cs="Arial"/>
          <w:lang w:val="mn-MN"/>
        </w:rPr>
        <w:t xml:space="preserve"> тухай хуульд заасны дагуу улсын төсвийг дараах цагл</w:t>
      </w:r>
      <w:r w:rsidR="000C14A4">
        <w:rPr>
          <w:rFonts w:ascii="Arial" w:hAnsi="Arial" w:cs="Arial"/>
          <w:lang w:val="mn-MN"/>
        </w:rPr>
        <w:t>а</w:t>
      </w:r>
      <w:r w:rsidR="000125CE">
        <w:rPr>
          <w:rFonts w:ascii="Arial" w:hAnsi="Arial" w:cs="Arial"/>
          <w:lang w:val="mn-MN"/>
        </w:rPr>
        <w:t>в</w:t>
      </w:r>
      <w:r>
        <w:rPr>
          <w:rFonts w:ascii="Arial" w:hAnsi="Arial" w:cs="Arial"/>
          <w:lang w:val="mn-MN"/>
        </w:rPr>
        <w:t>раар төлөвлөж ЗГ-аас УИХ-д өргөн мэдүүлдэг.</w:t>
      </w:r>
    </w:p>
    <w:p w14:paraId="76F55E39" w14:textId="77777777" w:rsidR="005136A4" w:rsidRDefault="005136A4" w:rsidP="003F2989">
      <w:pPr>
        <w:pStyle w:val="NoSpacing"/>
        <w:ind w:firstLine="720"/>
        <w:jc w:val="both"/>
        <w:rPr>
          <w:rFonts w:ascii="Arial" w:hAnsi="Arial" w:cs="Arial"/>
          <w:lang w:val="mn-MN"/>
        </w:rPr>
      </w:pPr>
    </w:p>
    <w:p w14:paraId="1F3192D2" w14:textId="1DF62DC5" w:rsidR="005136A4" w:rsidRDefault="005136A4" w:rsidP="002F42A4">
      <w:pPr>
        <w:ind w:firstLine="0"/>
      </w:pPr>
      <w:r>
        <w:lastRenderedPageBreak/>
        <w:t>Тухайн жилийн улсын төсөв, Ирээдүйн өв сангийн төсөв,Үндэсний баялгийн сангийн төсөв, Нийгмийн даатгалын сангийн төсөв, Эрүүл мэндийн даатгалын сангийн төсвийг дараах цагла</w:t>
      </w:r>
      <w:r w:rsidR="000125CE">
        <w:t>в</w:t>
      </w:r>
      <w:r>
        <w:t>рын дагуу боловсруулж, батална</w:t>
      </w:r>
      <w:r w:rsidR="002F42A4">
        <w:rPr>
          <w:rStyle w:val="FootnoteReference"/>
        </w:rPr>
        <w:footnoteReference w:id="1"/>
      </w:r>
      <w:r>
        <w:t>:</w:t>
      </w:r>
    </w:p>
    <w:p w14:paraId="7F734D5B" w14:textId="2E97B8BA" w:rsidR="002F42A4" w:rsidRDefault="005136A4" w:rsidP="002F42A4">
      <w:pPr>
        <w:pStyle w:val="ListParagraph"/>
        <w:numPr>
          <w:ilvl w:val="0"/>
          <w:numId w:val="2"/>
        </w:numPr>
        <w:ind w:left="709"/>
      </w:pPr>
      <w:r>
        <w:t>төсвийн төвлөрүүлэн захирагчид харьяалагддаг төсвийн шууд захирагч нь жилийн төсвийн төслөө жил бүрийн 7 дугаар сарын 09-ний дотор харьяалах төсвийн төвлөрүүлэн захирагчид хүргүүлэх;</w:t>
      </w:r>
    </w:p>
    <w:p w14:paraId="5B5832EB" w14:textId="77777777" w:rsidR="002F42A4" w:rsidRDefault="005136A4" w:rsidP="002F42A4">
      <w:pPr>
        <w:pStyle w:val="ListParagraph"/>
        <w:numPr>
          <w:ilvl w:val="0"/>
          <w:numId w:val="2"/>
        </w:numPr>
        <w:ind w:left="709"/>
      </w:pPr>
      <w:r>
        <w:t>төсвийн төвлөрүүлэн захирагч, төсвийн төвлөрүүлэн захирагчид харьяалагддаггүй төсвийн шууд захирагч жил бүрийн 07 дугаар сарын 20-ны дотор жилийн төсвийн төслөө харьяалагдах төсвийн ерөнхийлөн захирагчид хүргүүлэх;</w:t>
      </w:r>
    </w:p>
    <w:p w14:paraId="47543EBB" w14:textId="77777777" w:rsidR="002F42A4" w:rsidRDefault="005136A4" w:rsidP="002F42A4">
      <w:pPr>
        <w:pStyle w:val="ListParagraph"/>
        <w:numPr>
          <w:ilvl w:val="0"/>
          <w:numId w:val="2"/>
        </w:numPr>
        <w:ind w:left="709"/>
      </w:pPr>
      <w:r>
        <w:t>төсвийн ерөнхийлөн захирагч жилийн төсвийн саналаа жил бүрийн 07 дугаар сарын 25-ны дотор санхүү, төсвийн асуудал эрхэлсэн төрийн захиргааны төв байгууллага, төрийн аудитын байгууллага, Улсын Их Хуралд хүргүүлж, нийтэд ил тод мэдээлэх;</w:t>
      </w:r>
    </w:p>
    <w:p w14:paraId="557A30FB" w14:textId="77777777" w:rsidR="002F42A4" w:rsidRDefault="005136A4" w:rsidP="002F42A4">
      <w:pPr>
        <w:pStyle w:val="ListParagraph"/>
        <w:numPr>
          <w:ilvl w:val="0"/>
          <w:numId w:val="2"/>
        </w:numPr>
        <w:ind w:left="709"/>
      </w:pPr>
      <w:r>
        <w:t>санхүү, төсвийн асуудал эрхэлсэн төрийн захиргааны төв байгууллага энэ хуулийн 8.4.3-т заасан жилийн төсвийн саналыг дунд хугацааны төсвийн хүрээний мэдэгдэл, улсын хөгжлийн жилийн төлөвлөгөөнд нийцүүлэн нэгтгэн боловсруулж, эдийн засаг, хөгжлийн асуудал эрхэлсэн төрийн захиргааны төв байгууллагаар хянуулж, жил бүрийн 08 дугаар сарын 15-ны дотор Засгийн газарт өргөн мэдүүлж, нийтэд ил тод мэдээлэх;</w:t>
      </w:r>
    </w:p>
    <w:p w14:paraId="0FC9D74B" w14:textId="77777777" w:rsidR="002F42A4" w:rsidRDefault="005136A4" w:rsidP="002F42A4">
      <w:pPr>
        <w:pStyle w:val="ListParagraph"/>
        <w:numPr>
          <w:ilvl w:val="0"/>
          <w:numId w:val="2"/>
        </w:numPr>
        <w:ind w:left="709"/>
      </w:pPr>
      <w:r>
        <w:t>Засгийн газар жилийн төсвийн төслийг жил бүрийн 09 дүгээр сарын 01-ний дотор Төрийн аудитын байгууллага, Төсвийн тогтвортой байдлын зөвлөлд хүргүүлж, Улсын Их Хуралд өргөн мэдүүлэх;</w:t>
      </w:r>
    </w:p>
    <w:p w14:paraId="094ECBE4" w14:textId="77777777" w:rsidR="002F42A4" w:rsidRDefault="005136A4" w:rsidP="002F42A4">
      <w:pPr>
        <w:pStyle w:val="ListParagraph"/>
        <w:numPr>
          <w:ilvl w:val="0"/>
          <w:numId w:val="2"/>
        </w:numPr>
        <w:ind w:left="709"/>
      </w:pPr>
      <w:r>
        <w:t>Засгийн газар жилийн төсвийн төслийг Улсын Их Хуралд өргөн мэдүүлснээс хойш ажлын гурван өдрийн дотор нийтэд мэдээлэх;</w:t>
      </w:r>
    </w:p>
    <w:p w14:paraId="3425633E" w14:textId="77777777" w:rsidR="002F42A4" w:rsidRDefault="005136A4" w:rsidP="002F42A4">
      <w:pPr>
        <w:pStyle w:val="ListParagraph"/>
        <w:numPr>
          <w:ilvl w:val="0"/>
          <w:numId w:val="2"/>
        </w:numPr>
        <w:ind w:left="709"/>
      </w:pPr>
      <w:r>
        <w:t>төрийн аудитын төв байгууллага жилийн төсвийн төслийн талаарх дүгнэлтийг Улсын Их Хуралд жил бүрийн 09 дүгээр сарын 15-нд хүргүүлж, нийтэд мэдээлэх;</w:t>
      </w:r>
    </w:p>
    <w:p w14:paraId="6270E7AB" w14:textId="77777777" w:rsidR="002F42A4" w:rsidRDefault="005136A4" w:rsidP="002F42A4">
      <w:pPr>
        <w:pStyle w:val="ListParagraph"/>
        <w:numPr>
          <w:ilvl w:val="0"/>
          <w:numId w:val="2"/>
        </w:numPr>
        <w:ind w:left="709"/>
      </w:pPr>
      <w:r>
        <w:t>Төсвийн тогтвортой байдлын зөвлөл төсвийн төслийн талаарх дүгнэлтийг Улсын Их Хуралд жил бүрийн 09 дүгээр сарын 15-нд хүргүүлж, нийтэд мэдээлнэ;</w:t>
      </w:r>
    </w:p>
    <w:p w14:paraId="547A58A9" w14:textId="644C694F" w:rsidR="005136A4" w:rsidRPr="005136A4" w:rsidRDefault="005136A4" w:rsidP="002F42A4">
      <w:pPr>
        <w:pStyle w:val="ListParagraph"/>
        <w:numPr>
          <w:ilvl w:val="0"/>
          <w:numId w:val="2"/>
        </w:numPr>
        <w:ind w:left="709"/>
      </w:pPr>
      <w:r>
        <w:t>Улсын Их Хурал жилийн төсвийн төслийг хэлэлцэн жил бүрийн намрын ээлжит чуулганаар хэлэлцэн 11 дүгээр сарын 15-ны дотор батлах.</w:t>
      </w:r>
    </w:p>
    <w:p w14:paraId="71C31F4D" w14:textId="107B44D4" w:rsidR="005136A4" w:rsidRDefault="003B557F" w:rsidP="002F42A4">
      <w:pPr>
        <w:pStyle w:val="NoSpacing"/>
        <w:jc w:val="both"/>
        <w:rPr>
          <w:rFonts w:ascii="Arial" w:hAnsi="Arial" w:cs="Arial"/>
          <w:lang w:val="en-US"/>
        </w:rPr>
      </w:pPr>
      <w:proofErr w:type="spellStart"/>
      <w:r>
        <w:rPr>
          <w:rFonts w:ascii="Arial" w:hAnsi="Arial" w:cs="Arial"/>
          <w:lang w:val="en-US"/>
        </w:rPr>
        <w:t>Мөн</w:t>
      </w:r>
      <w:proofErr w:type="spellEnd"/>
      <w:r>
        <w:rPr>
          <w:rFonts w:ascii="Arial" w:hAnsi="Arial" w:cs="Arial"/>
          <w:lang w:val="en-US"/>
        </w:rPr>
        <w:t xml:space="preserve"> </w:t>
      </w:r>
      <w:proofErr w:type="spellStart"/>
      <w:r>
        <w:rPr>
          <w:rFonts w:ascii="Arial" w:hAnsi="Arial" w:cs="Arial"/>
          <w:lang w:val="en-US"/>
        </w:rPr>
        <w:t>төсвийн</w:t>
      </w:r>
      <w:proofErr w:type="spellEnd"/>
      <w:r>
        <w:rPr>
          <w:rFonts w:ascii="Arial" w:hAnsi="Arial" w:cs="Arial"/>
          <w:lang w:val="en-US"/>
        </w:rPr>
        <w:t xml:space="preserve"> </w:t>
      </w:r>
      <w:proofErr w:type="spellStart"/>
      <w:r>
        <w:rPr>
          <w:rFonts w:ascii="Arial" w:hAnsi="Arial" w:cs="Arial"/>
          <w:lang w:val="en-US"/>
        </w:rPr>
        <w:t>тухай</w:t>
      </w:r>
      <w:proofErr w:type="spellEnd"/>
      <w:r>
        <w:rPr>
          <w:rFonts w:ascii="Arial" w:hAnsi="Arial" w:cs="Arial"/>
          <w:lang w:val="en-US"/>
        </w:rPr>
        <w:t xml:space="preserve"> </w:t>
      </w:r>
      <w:proofErr w:type="spellStart"/>
      <w:r>
        <w:rPr>
          <w:rFonts w:ascii="Arial" w:hAnsi="Arial" w:cs="Arial"/>
          <w:lang w:val="en-US"/>
        </w:rPr>
        <w:t>хуульд</w:t>
      </w:r>
      <w:proofErr w:type="spellEnd"/>
      <w:r>
        <w:rPr>
          <w:rFonts w:ascii="Arial" w:hAnsi="Arial" w:cs="Arial"/>
          <w:lang w:val="en-US"/>
        </w:rPr>
        <w:t xml:space="preserve"> </w:t>
      </w:r>
      <w:proofErr w:type="spellStart"/>
      <w:r>
        <w:rPr>
          <w:rFonts w:ascii="Arial" w:hAnsi="Arial" w:cs="Arial"/>
          <w:lang w:val="en-US"/>
        </w:rPr>
        <w:t>хөрөнгө</w:t>
      </w:r>
      <w:proofErr w:type="spellEnd"/>
      <w:r>
        <w:rPr>
          <w:rFonts w:ascii="Arial" w:hAnsi="Arial" w:cs="Arial"/>
          <w:lang w:val="en-US"/>
        </w:rPr>
        <w:t xml:space="preserve"> </w:t>
      </w:r>
      <w:proofErr w:type="spellStart"/>
      <w:r>
        <w:rPr>
          <w:rFonts w:ascii="Arial" w:hAnsi="Arial" w:cs="Arial"/>
          <w:lang w:val="en-US"/>
        </w:rPr>
        <w:t>оруулалтын</w:t>
      </w:r>
      <w:proofErr w:type="spellEnd"/>
      <w:r>
        <w:rPr>
          <w:rFonts w:ascii="Arial" w:hAnsi="Arial" w:cs="Arial"/>
          <w:lang w:val="en-US"/>
        </w:rPr>
        <w:t xml:space="preserve"> </w:t>
      </w:r>
      <w:proofErr w:type="spellStart"/>
      <w:r>
        <w:rPr>
          <w:rFonts w:ascii="Arial" w:hAnsi="Arial" w:cs="Arial"/>
          <w:lang w:val="en-US"/>
        </w:rPr>
        <w:t>төсөвлөлтийн</w:t>
      </w:r>
      <w:proofErr w:type="spellEnd"/>
      <w:r>
        <w:rPr>
          <w:rFonts w:ascii="Arial" w:hAnsi="Arial" w:cs="Arial"/>
          <w:lang w:val="en-US"/>
        </w:rPr>
        <w:t xml:space="preserve"> </w:t>
      </w:r>
      <w:proofErr w:type="spellStart"/>
      <w:r>
        <w:rPr>
          <w:rFonts w:ascii="Arial" w:hAnsi="Arial" w:cs="Arial"/>
          <w:lang w:val="en-US"/>
        </w:rPr>
        <w:t>талаар</w:t>
      </w:r>
      <w:proofErr w:type="spellEnd"/>
      <w:r>
        <w:rPr>
          <w:rFonts w:ascii="Arial" w:hAnsi="Arial" w:cs="Arial"/>
          <w:lang w:val="en-US"/>
        </w:rPr>
        <w:t xml:space="preserve"> </w:t>
      </w:r>
      <w:proofErr w:type="spellStart"/>
      <w:r>
        <w:rPr>
          <w:rFonts w:ascii="Arial" w:hAnsi="Arial" w:cs="Arial"/>
          <w:lang w:val="en-US"/>
        </w:rPr>
        <w:t>дараах</w:t>
      </w:r>
      <w:proofErr w:type="spellEnd"/>
      <w:r>
        <w:rPr>
          <w:rFonts w:ascii="Arial" w:hAnsi="Arial" w:cs="Arial"/>
          <w:lang w:val="en-US"/>
        </w:rPr>
        <w:t xml:space="preserve"> </w:t>
      </w:r>
      <w:proofErr w:type="spellStart"/>
      <w:r>
        <w:rPr>
          <w:rFonts w:ascii="Arial" w:hAnsi="Arial" w:cs="Arial"/>
          <w:lang w:val="en-US"/>
        </w:rPr>
        <w:t>зохицуулалтыг</w:t>
      </w:r>
      <w:proofErr w:type="spellEnd"/>
      <w:r>
        <w:rPr>
          <w:rFonts w:ascii="Arial" w:hAnsi="Arial" w:cs="Arial"/>
          <w:lang w:val="en-US"/>
        </w:rPr>
        <w:t xml:space="preserve"> </w:t>
      </w:r>
      <w:proofErr w:type="spellStart"/>
      <w:r>
        <w:rPr>
          <w:rFonts w:ascii="Arial" w:hAnsi="Arial" w:cs="Arial"/>
          <w:lang w:val="en-US"/>
        </w:rPr>
        <w:t>тусгасан</w:t>
      </w:r>
      <w:proofErr w:type="spellEnd"/>
      <w:r>
        <w:rPr>
          <w:rFonts w:ascii="Arial" w:hAnsi="Arial" w:cs="Arial"/>
          <w:lang w:val="en-US"/>
        </w:rPr>
        <w:t xml:space="preserve"> </w:t>
      </w:r>
      <w:proofErr w:type="spellStart"/>
      <w:r>
        <w:rPr>
          <w:rFonts w:ascii="Arial" w:hAnsi="Arial" w:cs="Arial"/>
          <w:lang w:val="en-US"/>
        </w:rPr>
        <w:t>байдаг</w:t>
      </w:r>
      <w:proofErr w:type="spellEnd"/>
      <w:r>
        <w:rPr>
          <w:rFonts w:ascii="Arial" w:hAnsi="Arial" w:cs="Arial"/>
          <w:lang w:val="en-US"/>
        </w:rPr>
        <w:t xml:space="preserve">. </w:t>
      </w:r>
      <w:proofErr w:type="spellStart"/>
      <w:r>
        <w:rPr>
          <w:rFonts w:ascii="Arial" w:hAnsi="Arial" w:cs="Arial"/>
          <w:lang w:val="en-US"/>
        </w:rPr>
        <w:t>Үүнд</w:t>
      </w:r>
      <w:proofErr w:type="spellEnd"/>
      <w:r>
        <w:rPr>
          <w:rFonts w:ascii="Arial" w:hAnsi="Arial" w:cs="Arial"/>
          <w:lang w:val="en-US"/>
        </w:rPr>
        <w:t>:</w:t>
      </w:r>
    </w:p>
    <w:p w14:paraId="373331CB" w14:textId="2D00CE80" w:rsidR="003B557F" w:rsidRDefault="003B557F" w:rsidP="003B557F">
      <w:pPr>
        <w:pStyle w:val="ListParagraph"/>
        <w:numPr>
          <w:ilvl w:val="0"/>
          <w:numId w:val="4"/>
        </w:numPr>
        <w:ind w:left="709"/>
      </w:pPr>
      <w:r>
        <w:t>Төсвийн тухай хуулийн 29 дүгээр зүйлийн 29.3.5 дахь заалт “шинээр эхлэх барилга, байгууламж, хөрөнгө оруулалтын төсөл, арга хэмжээг хэрэгжүүлэх хугацаанд тэнцүү хуваарилсан хэмжээнээс багагүй байхаар тооцож, гурван жилд багтаан санхүүжүүлж, дуусгах”;</w:t>
      </w:r>
    </w:p>
    <w:p w14:paraId="116C94E3" w14:textId="77777777" w:rsidR="003B557F" w:rsidRDefault="003B557F" w:rsidP="003B557F">
      <w:pPr>
        <w:pStyle w:val="ListParagraph"/>
        <w:numPr>
          <w:ilvl w:val="0"/>
          <w:numId w:val="4"/>
        </w:numPr>
        <w:ind w:left="709"/>
      </w:pPr>
      <w:r>
        <w:t>Төсвийн тухай хуулийн 29 дүгээр зүйлийн 29.3.6 дахь заалт “тухайн жилд батлагдсан хөрөнгө оруулалтын төсөл, арга хэмжээний санхүүжих дүнг төсвийн тодотголоор бууруулахгүй байх”.</w:t>
      </w:r>
    </w:p>
    <w:p w14:paraId="3FED2F56" w14:textId="77777777" w:rsidR="003B557F" w:rsidRPr="003B557F" w:rsidRDefault="003B557F" w:rsidP="003B557F">
      <w:pPr>
        <w:pStyle w:val="ListParagraph"/>
        <w:numPr>
          <w:ilvl w:val="0"/>
          <w:numId w:val="5"/>
        </w:numPr>
        <w:ind w:left="709"/>
      </w:pPr>
      <w:r>
        <w:t xml:space="preserve">Төсвийн тухай хуулийн 29 дүгээр зүйлийн </w:t>
      </w:r>
      <w:r w:rsidRPr="003B557F">
        <w:t>29.4</w:t>
      </w:r>
      <w:r>
        <w:t xml:space="preserve"> дэх хэсэг “</w:t>
      </w:r>
      <w:r w:rsidRPr="003B557F">
        <w:t>Хөрөнгө оруулалтын төсөвт техник, эдийн засгийн үндэслэл хийгдсэн, зураг төсвөө батлуулсан, хуульд заасан бусад зөвшөөрөл олгогдсон төсөл, арга хэмжээг тусгана.</w:t>
      </w:r>
      <w:r>
        <w:t>”</w:t>
      </w:r>
    </w:p>
    <w:p w14:paraId="217B81FE" w14:textId="0E23852B" w:rsidR="003B557F" w:rsidRPr="003B557F" w:rsidRDefault="003B557F" w:rsidP="003B557F">
      <w:pPr>
        <w:pStyle w:val="ListParagraph"/>
        <w:numPr>
          <w:ilvl w:val="0"/>
          <w:numId w:val="6"/>
        </w:numPr>
        <w:ind w:left="709"/>
      </w:pPr>
      <w:r>
        <w:lastRenderedPageBreak/>
        <w:t xml:space="preserve">Төсвийн тухай хуулийн 29 дүгээр зүйлийн </w:t>
      </w:r>
      <w:r w:rsidRPr="003B557F">
        <w:t>29.</w:t>
      </w:r>
      <w:r>
        <w:t>7 “</w:t>
      </w:r>
      <w:r w:rsidRPr="003B557F">
        <w:t>Үйлдвэрлэлийн түүхий эдийн үнийн индекс нь батлагдсан төсөвт тооцсон хэмжээнээс хоёр дахин өссөн тохиолдолд түүнийг тухайн жилийн төсвийн тодотголд тусган өөрчилнө.</w:t>
      </w:r>
      <w:r>
        <w:t>”</w:t>
      </w:r>
    </w:p>
    <w:p w14:paraId="04A752FB" w14:textId="2A75D44D" w:rsidR="003B557F" w:rsidRPr="006D060F" w:rsidRDefault="003B557F" w:rsidP="002F42A4">
      <w:pPr>
        <w:pStyle w:val="ListParagraph"/>
        <w:numPr>
          <w:ilvl w:val="0"/>
          <w:numId w:val="6"/>
        </w:numPr>
        <w:ind w:left="709"/>
      </w:pPr>
      <w:r>
        <w:t>Төсвийн тухай хуулийн 29 дүгээр зүйлийн 29.8 дахь хэсэг “Гүйцэтгэгч байгууллагын буруутай үйл ажиллагаанаас хамаарч энэ хуулийн 29.7-д заасан нөхцөл байдал үүссэн нь хөрөнгө оруулалтын төсөвт өртгийг өөрчлөх үндэслэл болохгүй.”</w:t>
      </w:r>
      <w:r w:rsidR="006D060F">
        <w:t xml:space="preserve"> гэж тус тус заасан нь төсвийг төлөвлөхөөс гүйцэтгэн улсын комисст хүлээлгэн өгөх явцад хэрэгжихгүй байгаа байдал илэрч байна.</w:t>
      </w:r>
    </w:p>
    <w:p w14:paraId="41F283CE" w14:textId="77777777" w:rsidR="002A3ECB" w:rsidRDefault="002A3ECB" w:rsidP="00A116EF">
      <w:pPr>
        <w:pStyle w:val="Heading2"/>
      </w:pPr>
      <w:r>
        <w:t>1.2.Практик шаардлага</w:t>
      </w:r>
    </w:p>
    <w:p w14:paraId="4398953B" w14:textId="19659EC1" w:rsidR="003B557F" w:rsidRPr="003F2989" w:rsidRDefault="003B557F" w:rsidP="003B557F">
      <w:proofErr w:type="spellStart"/>
      <w:r>
        <w:rPr>
          <w:lang w:val="en-US"/>
        </w:rPr>
        <w:t>Энэ</w:t>
      </w:r>
      <w:proofErr w:type="spellEnd"/>
      <w:r>
        <w:rPr>
          <w:lang w:val="en-US"/>
        </w:rPr>
        <w:t xml:space="preserve"> </w:t>
      </w:r>
      <w:proofErr w:type="spellStart"/>
      <w:r>
        <w:rPr>
          <w:lang w:val="en-US"/>
        </w:rPr>
        <w:t>цагл</w:t>
      </w:r>
      <w:r w:rsidR="000C14A4">
        <w:rPr>
          <w:lang w:val="en-US"/>
        </w:rPr>
        <w:t>а</w:t>
      </w:r>
      <w:r w:rsidR="000125CE">
        <w:rPr>
          <w:lang w:val="en-US"/>
        </w:rPr>
        <w:t>в</w:t>
      </w:r>
      <w:r>
        <w:rPr>
          <w:lang w:val="en-US"/>
        </w:rPr>
        <w:t>рын</w:t>
      </w:r>
      <w:proofErr w:type="spellEnd"/>
      <w:r>
        <w:rPr>
          <w:lang w:val="en-US"/>
        </w:rPr>
        <w:t xml:space="preserve"> </w:t>
      </w:r>
      <w:proofErr w:type="spellStart"/>
      <w:r>
        <w:rPr>
          <w:lang w:val="en-US"/>
        </w:rPr>
        <w:t>дагуу</w:t>
      </w:r>
      <w:proofErr w:type="spellEnd"/>
      <w:r>
        <w:rPr>
          <w:lang w:val="en-US"/>
        </w:rPr>
        <w:t xml:space="preserve"> </w:t>
      </w:r>
      <w:r w:rsidRPr="0072400D">
        <w:t xml:space="preserve">төсвийн хөрөнгө оруулалтаар хэрэгжүүлэх </w:t>
      </w:r>
      <w:r>
        <w:rPr>
          <w:lang w:val="mn-MN"/>
        </w:rPr>
        <w:t>ТАХ</w:t>
      </w:r>
      <w:r w:rsidRPr="0072400D">
        <w:t xml:space="preserve"> </w:t>
      </w:r>
      <w:r>
        <w:rPr>
          <w:lang w:val="en-US"/>
        </w:rPr>
        <w:t>(</w:t>
      </w:r>
      <w:r>
        <w:t>б</w:t>
      </w:r>
      <w:r w:rsidRPr="0072400D">
        <w:t>арилга байгууламж, их засвар, тоног төхөөрөмж, зөвлөх үйлчилгээ зэрэг</w:t>
      </w:r>
      <w:r>
        <w:t>)-г</w:t>
      </w:r>
      <w:r w:rsidRPr="0072400D">
        <w:t xml:space="preserve"> төлөвлөх, санхүүжүүлэх, хянах, тайлагнах, тэдгээртэй холбогдсон харилцаа</w:t>
      </w:r>
      <w:r>
        <w:t xml:space="preserve">г зохицуулах мөн төсвийн төслийг ЗГ-аас өргөн мэдүүлсний дагуу УИХ-аар хэлэлцэн батлах үйл явцад хуульд тавигдсан шаардлага хангаагүй ТАХ-г батлах, улмаар тендер зарлах, гүйцэтгэх явцад чадавхгүй, туршлагагүй гүйцэтгэгчийн улмаас ТАХ хугацаандаа ашиглалтад орохгүй удах, зогсох, гэрээг цуцлах, анх батлагдсан төсөвт өртөг нь нэмэгдэж төсөвт дарамт учруулах зэрэг асуудлууд жил жилийн улсын төсөвт ихээр тусгагдаж, төсөвт маш ихээр дарамт учруулах үзэгдэл бий болжээ. </w:t>
      </w:r>
    </w:p>
    <w:p w14:paraId="5D079F06" w14:textId="33497DB8" w:rsidR="0021023D" w:rsidRDefault="0021023D" w:rsidP="0021023D">
      <w:pPr>
        <w:ind w:firstLine="0"/>
      </w:pPr>
      <w:r>
        <w:t>Төсвийн тухай хуулийн 29 дүгээр зүйлийн 29.4-т “</w:t>
      </w:r>
      <w:r w:rsidRPr="003B557F">
        <w:t>Хөрөнгө оруулалтын төсөвт техник, эдийн засгийн үндэслэл хийгдсэн, зураг төсвөө батлуулсан, хуульд заасан бусад зөвшөөрөл олгогдсон төсөл, арга хэмжээг тусгана.</w:t>
      </w:r>
      <w:r>
        <w:t>” гэж заасан байтал УТХО-аар санхүүжүүлэх ТАХ-г төсвийн төсөлд тусгахад ТЭЗҮ-гүй, батлагдсан зураг төсөвгүй, нэг маягийн зураг төсөл, жишиг үнэ ашигласан ТАХ олноор тусгагдаж, дараа нь цаг алдуулах, тухайн төсөл зогсох, төсөвт өртөг нь нэмэгдэх, улмаар улсын төсөвт томоохон санхүүгийн дарамт үүсгэх байдал бий болсоор уджээ.</w:t>
      </w:r>
    </w:p>
    <w:p w14:paraId="3FA9E577" w14:textId="043C13C2" w:rsidR="0021023D" w:rsidRDefault="0021023D" w:rsidP="0021023D">
      <w:pPr>
        <w:ind w:firstLine="0"/>
      </w:pPr>
      <w:r>
        <w:t xml:space="preserve">Тухайлбал, </w:t>
      </w:r>
    </w:p>
    <w:p w14:paraId="448AF680" w14:textId="03C5683C" w:rsidR="003C0084" w:rsidRDefault="003C0084" w:rsidP="003C0084">
      <w:r>
        <w:t xml:space="preserve">2024 онд нийт 1319 ТАХ улсын төсөвт тусгагдсаны 449 ТАХ-ний анх батлагдсан төсөвт өртөг </w:t>
      </w:r>
      <w:r w:rsidRPr="00C812DD">
        <w:t>2,579,116</w:t>
      </w:r>
      <w:r>
        <w:t xml:space="preserve"> сая төгрөг нь </w:t>
      </w:r>
      <w:r w:rsidRPr="00C812DD">
        <w:t>1,616,832</w:t>
      </w:r>
      <w:r>
        <w:t xml:space="preserve"> сая төгрөгөөр </w:t>
      </w:r>
      <w:r>
        <w:rPr>
          <w:lang w:val="mn-MN"/>
        </w:rPr>
        <w:t xml:space="preserve">нэмэгдэж </w:t>
      </w:r>
      <w:r w:rsidRPr="00C812DD">
        <w:t>4,195,948</w:t>
      </w:r>
      <w:r>
        <w:t xml:space="preserve"> сая төгрөг болсон,</w:t>
      </w:r>
    </w:p>
    <w:p w14:paraId="7B693A09" w14:textId="6EF34D9A" w:rsidR="003C0084" w:rsidRDefault="003C0084" w:rsidP="003C0084">
      <w:r>
        <w:t xml:space="preserve">2025 онд нийт 639 ТАХ улсын төсөвт тусгагдсаны 142 ТАХ-ний анх батлагдсан төсөвт өртөг </w:t>
      </w:r>
      <w:r w:rsidRPr="00C812DD">
        <w:t xml:space="preserve"> </w:t>
      </w:r>
      <w:r>
        <w:t>болох</w:t>
      </w:r>
      <w:r w:rsidRPr="00C812DD">
        <w:t xml:space="preserve"> 1,705,383</w:t>
      </w:r>
      <w:r>
        <w:t xml:space="preserve"> сая төгрөг нь </w:t>
      </w:r>
      <w:r w:rsidRPr="00C812DD">
        <w:t xml:space="preserve">971,347 </w:t>
      </w:r>
      <w:r>
        <w:t xml:space="preserve">сая төгрөгөөр </w:t>
      </w:r>
      <w:r>
        <w:rPr>
          <w:lang w:val="mn-MN"/>
        </w:rPr>
        <w:t xml:space="preserve">нэмэгдэж </w:t>
      </w:r>
      <w:r w:rsidRPr="00C812DD">
        <w:t>2,676,730</w:t>
      </w:r>
      <w:r>
        <w:t xml:space="preserve"> сая төгрөг болсон,</w:t>
      </w:r>
    </w:p>
    <w:p w14:paraId="0EE46050" w14:textId="6E4C241B" w:rsidR="003C0084" w:rsidRDefault="003C0084" w:rsidP="003C0084">
      <w:r>
        <w:t>202</w:t>
      </w:r>
      <w:r w:rsidR="003A4785">
        <w:t>6</w:t>
      </w:r>
      <w:r>
        <w:t xml:space="preserve"> онд нийт 1319 ТАХ улсын төсөвт тусгагдсаны 449 ТАХ-ний анх батлагдсан төсөвт өртөг </w:t>
      </w:r>
      <w:r w:rsidRPr="00C812DD">
        <w:t xml:space="preserve"> </w:t>
      </w:r>
      <w:r>
        <w:t xml:space="preserve">болох </w:t>
      </w:r>
      <w:r w:rsidRPr="00C812DD">
        <w:t>1,241,276</w:t>
      </w:r>
      <w:r>
        <w:t xml:space="preserve"> сая төгрөг нь </w:t>
      </w:r>
      <w:r w:rsidRPr="00C812DD">
        <w:t>805,024</w:t>
      </w:r>
      <w:r>
        <w:t xml:space="preserve"> сая төгрөгөөр </w:t>
      </w:r>
      <w:r>
        <w:rPr>
          <w:lang w:val="mn-MN"/>
        </w:rPr>
        <w:t xml:space="preserve">нэмэгдэж </w:t>
      </w:r>
      <w:r w:rsidRPr="00C812DD">
        <w:t>2,046,300</w:t>
      </w:r>
      <w:r>
        <w:t xml:space="preserve"> сая төгрөг бол</w:t>
      </w:r>
      <w:r w:rsidR="003A4785">
        <w:t>ж улсын төсвийн төсөлд тусгагджээ.</w:t>
      </w:r>
    </w:p>
    <w:p w14:paraId="6AD812D9" w14:textId="6AFB3EF9" w:rsidR="003C0084" w:rsidRDefault="00FC7BBF" w:rsidP="00FC7BBF">
      <w:pPr>
        <w:ind w:firstLine="0"/>
      </w:pPr>
      <w:r>
        <w:t>Гэтэл сүүлийн 3 жилд буюу 2024, 2025 оны улсын төсвөөр батлагдаж хэрэгжсэн, 2026 оны улсын төсвийн төсөлд тусгагдсан УТХО-аар санхүүжүүлэх ТАХ-ний давхардлыг арилгаж үзэхэд дараах байдалтай байна. Үүнд:</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8"/>
        <w:gridCol w:w="1402"/>
        <w:gridCol w:w="1433"/>
        <w:gridCol w:w="1701"/>
        <w:gridCol w:w="1701"/>
      </w:tblGrid>
      <w:tr w:rsidR="00FC7BBF" w:rsidRPr="00FC7BBF" w14:paraId="2387D96E" w14:textId="77777777" w:rsidTr="00292814">
        <w:trPr>
          <w:trHeight w:val="300"/>
        </w:trPr>
        <w:tc>
          <w:tcPr>
            <w:tcW w:w="3408" w:type="dxa"/>
            <w:shd w:val="clear" w:color="auto" w:fill="DEEAF6" w:themeFill="accent5" w:themeFillTint="33"/>
          </w:tcPr>
          <w:p w14:paraId="6EB1883B" w14:textId="77777777" w:rsidR="00FC7BBF" w:rsidRPr="00FC7BBF" w:rsidRDefault="00FC7BBF" w:rsidP="00FC7BBF">
            <w:pPr>
              <w:pStyle w:val="Smalltabletext"/>
              <w:jc w:val="center"/>
            </w:pPr>
          </w:p>
        </w:tc>
        <w:tc>
          <w:tcPr>
            <w:tcW w:w="6237" w:type="dxa"/>
            <w:gridSpan w:val="4"/>
            <w:shd w:val="clear" w:color="auto" w:fill="DEEAF6" w:themeFill="accent5" w:themeFillTint="33"/>
            <w:noWrap/>
            <w:vAlign w:val="center"/>
            <w:hideMark/>
          </w:tcPr>
          <w:p w14:paraId="2BC44495" w14:textId="77777777" w:rsidR="00FC7BBF" w:rsidRPr="00FC7BBF" w:rsidRDefault="00FC7BBF" w:rsidP="00FC7BBF">
            <w:pPr>
              <w:pStyle w:val="Smalltabletext"/>
              <w:jc w:val="center"/>
            </w:pPr>
            <w:r w:rsidRPr="00FC7BBF">
              <w:t>Төсөвт өртгийн өөрчлөлтийн нийт дүн. сая.төгрөг</w:t>
            </w:r>
          </w:p>
        </w:tc>
      </w:tr>
      <w:tr w:rsidR="00FC7BBF" w:rsidRPr="00FC7BBF" w14:paraId="424C07DB" w14:textId="77777777" w:rsidTr="00292814">
        <w:trPr>
          <w:trHeight w:val="234"/>
        </w:trPr>
        <w:tc>
          <w:tcPr>
            <w:tcW w:w="3408" w:type="dxa"/>
            <w:shd w:val="clear" w:color="auto" w:fill="DEEAF6" w:themeFill="accent5" w:themeFillTint="33"/>
          </w:tcPr>
          <w:p w14:paraId="2DAD0783" w14:textId="77777777" w:rsidR="00FC7BBF" w:rsidRPr="00FC7BBF" w:rsidRDefault="00FC7BBF" w:rsidP="00FC7BBF">
            <w:pPr>
              <w:pStyle w:val="Smalltabletext"/>
              <w:jc w:val="center"/>
            </w:pPr>
            <w:r w:rsidRPr="00FC7BBF">
              <w:t>Анхны төсөвт өртөг нь өөрчлөгдсөн ТАХ-ны он</w:t>
            </w:r>
          </w:p>
        </w:tc>
        <w:tc>
          <w:tcPr>
            <w:tcW w:w="1402" w:type="dxa"/>
            <w:shd w:val="clear" w:color="auto" w:fill="DEEAF6" w:themeFill="accent5" w:themeFillTint="33"/>
            <w:vAlign w:val="center"/>
            <w:hideMark/>
          </w:tcPr>
          <w:p w14:paraId="6205E90E" w14:textId="77777777" w:rsidR="00FC7BBF" w:rsidRPr="00FC7BBF" w:rsidRDefault="00FC7BBF" w:rsidP="00FC7BBF">
            <w:pPr>
              <w:pStyle w:val="Smalltabletext"/>
              <w:jc w:val="center"/>
            </w:pPr>
            <w:r w:rsidRPr="00FC7BBF">
              <w:t>ТАХ-ний тоо</w:t>
            </w:r>
          </w:p>
        </w:tc>
        <w:tc>
          <w:tcPr>
            <w:tcW w:w="1433" w:type="dxa"/>
            <w:shd w:val="clear" w:color="auto" w:fill="DEEAF6" w:themeFill="accent5" w:themeFillTint="33"/>
            <w:vAlign w:val="center"/>
            <w:hideMark/>
          </w:tcPr>
          <w:p w14:paraId="17CAAE55" w14:textId="77777777" w:rsidR="00FC7BBF" w:rsidRPr="00FC7BBF" w:rsidRDefault="00FC7BBF" w:rsidP="00FC7BBF">
            <w:pPr>
              <w:pStyle w:val="Smalltabletext"/>
              <w:jc w:val="center"/>
            </w:pPr>
            <w:r w:rsidRPr="00FC7BBF">
              <w:t>Анхны Төсөвт өртөг</w:t>
            </w:r>
          </w:p>
        </w:tc>
        <w:tc>
          <w:tcPr>
            <w:tcW w:w="1701" w:type="dxa"/>
            <w:shd w:val="clear" w:color="auto" w:fill="DEEAF6" w:themeFill="accent5" w:themeFillTint="33"/>
            <w:vAlign w:val="center"/>
            <w:hideMark/>
          </w:tcPr>
          <w:p w14:paraId="558EAA1A" w14:textId="77777777" w:rsidR="00FC7BBF" w:rsidRPr="00FC7BBF" w:rsidRDefault="00FC7BBF" w:rsidP="00FC7BBF">
            <w:pPr>
              <w:pStyle w:val="Smalltabletext"/>
              <w:jc w:val="center"/>
            </w:pPr>
            <w:r w:rsidRPr="00FC7BBF">
              <w:t>Тайлант оны төсөв</w:t>
            </w:r>
          </w:p>
        </w:tc>
        <w:tc>
          <w:tcPr>
            <w:tcW w:w="1701" w:type="dxa"/>
            <w:shd w:val="clear" w:color="auto" w:fill="DEEAF6" w:themeFill="accent5" w:themeFillTint="33"/>
            <w:vAlign w:val="center"/>
            <w:hideMark/>
          </w:tcPr>
          <w:p w14:paraId="5D207C43" w14:textId="77777777" w:rsidR="00FC7BBF" w:rsidRPr="00FC7BBF" w:rsidRDefault="00FC7BBF" w:rsidP="00FC7BBF">
            <w:pPr>
              <w:pStyle w:val="Smalltabletext"/>
              <w:jc w:val="center"/>
            </w:pPr>
            <w:r w:rsidRPr="00FC7BBF">
              <w:t>Зөрүү</w:t>
            </w:r>
          </w:p>
        </w:tc>
      </w:tr>
      <w:tr w:rsidR="00FC7BBF" w:rsidRPr="00FC7BBF" w14:paraId="39325DC0" w14:textId="77777777" w:rsidTr="00292814">
        <w:trPr>
          <w:trHeight w:val="68"/>
        </w:trPr>
        <w:tc>
          <w:tcPr>
            <w:tcW w:w="3408" w:type="dxa"/>
          </w:tcPr>
          <w:p w14:paraId="79D63D83" w14:textId="77777777" w:rsidR="00FC7BBF" w:rsidRPr="00FC7BBF" w:rsidRDefault="00FC7BBF" w:rsidP="00FC7BBF">
            <w:pPr>
              <w:pStyle w:val="Smalltabletext"/>
            </w:pPr>
            <w:r w:rsidRPr="00FC7BBF">
              <w:t>2024 он</w:t>
            </w:r>
          </w:p>
        </w:tc>
        <w:tc>
          <w:tcPr>
            <w:tcW w:w="1402" w:type="dxa"/>
            <w:vAlign w:val="center"/>
          </w:tcPr>
          <w:p w14:paraId="2B02CC71" w14:textId="77777777" w:rsidR="00FC7BBF" w:rsidRPr="00FC7BBF" w:rsidRDefault="00FC7BBF" w:rsidP="00FC7BBF">
            <w:pPr>
              <w:pStyle w:val="Smalltabletext"/>
              <w:jc w:val="right"/>
            </w:pPr>
            <w:r w:rsidRPr="00FC7BBF">
              <w:t xml:space="preserve">356 </w:t>
            </w:r>
          </w:p>
        </w:tc>
        <w:tc>
          <w:tcPr>
            <w:tcW w:w="1433" w:type="dxa"/>
            <w:vAlign w:val="center"/>
          </w:tcPr>
          <w:p w14:paraId="2569DCA6" w14:textId="77777777" w:rsidR="00FC7BBF" w:rsidRPr="00FC7BBF" w:rsidRDefault="00FC7BBF" w:rsidP="00FC7BBF">
            <w:pPr>
              <w:pStyle w:val="Smalltabletext"/>
              <w:jc w:val="right"/>
            </w:pPr>
            <w:r w:rsidRPr="00FC7BBF">
              <w:t xml:space="preserve"> 2,077,862 </w:t>
            </w:r>
          </w:p>
        </w:tc>
        <w:tc>
          <w:tcPr>
            <w:tcW w:w="1701" w:type="dxa"/>
            <w:vAlign w:val="center"/>
          </w:tcPr>
          <w:p w14:paraId="69429EB9" w14:textId="77777777" w:rsidR="00FC7BBF" w:rsidRPr="00FC7BBF" w:rsidRDefault="00FC7BBF" w:rsidP="00FC7BBF">
            <w:pPr>
              <w:pStyle w:val="Smalltabletext"/>
              <w:jc w:val="right"/>
            </w:pPr>
            <w:r w:rsidRPr="00FC7BBF">
              <w:t xml:space="preserve">    3,361,957 </w:t>
            </w:r>
          </w:p>
        </w:tc>
        <w:tc>
          <w:tcPr>
            <w:tcW w:w="1701" w:type="dxa"/>
            <w:vAlign w:val="center"/>
          </w:tcPr>
          <w:p w14:paraId="3BD017EB" w14:textId="77777777" w:rsidR="00FC7BBF" w:rsidRPr="00FC7BBF" w:rsidRDefault="00FC7BBF" w:rsidP="00FC7BBF">
            <w:pPr>
              <w:pStyle w:val="Smalltabletext"/>
              <w:jc w:val="right"/>
            </w:pPr>
            <w:r w:rsidRPr="00FC7BBF">
              <w:t xml:space="preserve">    1,284,095 </w:t>
            </w:r>
          </w:p>
        </w:tc>
      </w:tr>
      <w:tr w:rsidR="00FC7BBF" w:rsidRPr="00FC7BBF" w14:paraId="2F149BB6" w14:textId="77777777" w:rsidTr="00292814">
        <w:trPr>
          <w:trHeight w:val="68"/>
        </w:trPr>
        <w:tc>
          <w:tcPr>
            <w:tcW w:w="3408" w:type="dxa"/>
          </w:tcPr>
          <w:p w14:paraId="5C435E3F" w14:textId="77777777" w:rsidR="00FC7BBF" w:rsidRPr="00FC7BBF" w:rsidRDefault="00FC7BBF" w:rsidP="00FC7BBF">
            <w:pPr>
              <w:pStyle w:val="Smalltabletext"/>
            </w:pPr>
            <w:r w:rsidRPr="00FC7BBF">
              <w:lastRenderedPageBreak/>
              <w:t>2025 он</w:t>
            </w:r>
          </w:p>
        </w:tc>
        <w:tc>
          <w:tcPr>
            <w:tcW w:w="1402" w:type="dxa"/>
            <w:vAlign w:val="center"/>
          </w:tcPr>
          <w:p w14:paraId="1F838C60" w14:textId="77777777" w:rsidR="00FC7BBF" w:rsidRPr="00FC7BBF" w:rsidRDefault="00FC7BBF" w:rsidP="00FC7BBF">
            <w:pPr>
              <w:pStyle w:val="Smalltabletext"/>
              <w:jc w:val="right"/>
            </w:pPr>
            <w:r w:rsidRPr="00FC7BBF">
              <w:t xml:space="preserve">71 </w:t>
            </w:r>
          </w:p>
        </w:tc>
        <w:tc>
          <w:tcPr>
            <w:tcW w:w="1433" w:type="dxa"/>
            <w:vAlign w:val="center"/>
          </w:tcPr>
          <w:p w14:paraId="14AD1186" w14:textId="77777777" w:rsidR="00FC7BBF" w:rsidRPr="00FC7BBF" w:rsidRDefault="00FC7BBF" w:rsidP="00FC7BBF">
            <w:pPr>
              <w:pStyle w:val="Smalltabletext"/>
              <w:jc w:val="right"/>
            </w:pPr>
            <w:r w:rsidRPr="00FC7BBF">
              <w:t xml:space="preserve">491,076 </w:t>
            </w:r>
          </w:p>
        </w:tc>
        <w:tc>
          <w:tcPr>
            <w:tcW w:w="1701" w:type="dxa"/>
            <w:vAlign w:val="center"/>
          </w:tcPr>
          <w:p w14:paraId="4E860291" w14:textId="77777777" w:rsidR="00FC7BBF" w:rsidRPr="00FC7BBF" w:rsidRDefault="00FC7BBF" w:rsidP="00FC7BBF">
            <w:pPr>
              <w:pStyle w:val="Smalltabletext"/>
              <w:jc w:val="right"/>
            </w:pPr>
            <w:r w:rsidRPr="00FC7BBF">
              <w:t xml:space="preserve">        745,497 </w:t>
            </w:r>
          </w:p>
        </w:tc>
        <w:tc>
          <w:tcPr>
            <w:tcW w:w="1701" w:type="dxa"/>
            <w:vAlign w:val="center"/>
          </w:tcPr>
          <w:p w14:paraId="061D5A0F" w14:textId="77777777" w:rsidR="00FC7BBF" w:rsidRPr="00FC7BBF" w:rsidRDefault="00FC7BBF" w:rsidP="00FC7BBF">
            <w:pPr>
              <w:pStyle w:val="Smalltabletext"/>
              <w:jc w:val="right"/>
            </w:pPr>
            <w:r w:rsidRPr="00FC7BBF">
              <w:t xml:space="preserve">        254,421 </w:t>
            </w:r>
          </w:p>
        </w:tc>
      </w:tr>
      <w:tr w:rsidR="00FC7BBF" w:rsidRPr="00FC7BBF" w14:paraId="73006077" w14:textId="77777777" w:rsidTr="00292814">
        <w:trPr>
          <w:trHeight w:val="68"/>
        </w:trPr>
        <w:tc>
          <w:tcPr>
            <w:tcW w:w="3408" w:type="dxa"/>
          </w:tcPr>
          <w:p w14:paraId="44A659AD" w14:textId="77777777" w:rsidR="00FC7BBF" w:rsidRPr="00FC7BBF" w:rsidRDefault="00FC7BBF" w:rsidP="00FC7BBF">
            <w:pPr>
              <w:pStyle w:val="Smalltabletext"/>
            </w:pPr>
            <w:r w:rsidRPr="00FC7BBF">
              <w:t>2026 он</w:t>
            </w:r>
          </w:p>
        </w:tc>
        <w:tc>
          <w:tcPr>
            <w:tcW w:w="1402" w:type="dxa"/>
            <w:vAlign w:val="center"/>
          </w:tcPr>
          <w:p w14:paraId="3CCB2368" w14:textId="77777777" w:rsidR="00FC7BBF" w:rsidRPr="00FC7BBF" w:rsidRDefault="00FC7BBF" w:rsidP="00FC7BBF">
            <w:pPr>
              <w:pStyle w:val="Smalltabletext"/>
              <w:jc w:val="right"/>
            </w:pPr>
            <w:r w:rsidRPr="00FC7BBF">
              <w:t xml:space="preserve">95 </w:t>
            </w:r>
          </w:p>
        </w:tc>
        <w:tc>
          <w:tcPr>
            <w:tcW w:w="1433" w:type="dxa"/>
            <w:vAlign w:val="center"/>
          </w:tcPr>
          <w:p w14:paraId="581A134A" w14:textId="77777777" w:rsidR="00FC7BBF" w:rsidRPr="00FC7BBF" w:rsidRDefault="00FC7BBF" w:rsidP="00FC7BBF">
            <w:pPr>
              <w:pStyle w:val="Smalltabletext"/>
              <w:jc w:val="right"/>
            </w:pPr>
            <w:r w:rsidRPr="00FC7BBF">
              <w:t xml:space="preserve">524,850 </w:t>
            </w:r>
          </w:p>
        </w:tc>
        <w:tc>
          <w:tcPr>
            <w:tcW w:w="1701" w:type="dxa"/>
            <w:vAlign w:val="center"/>
          </w:tcPr>
          <w:p w14:paraId="7B62D4CC" w14:textId="77777777" w:rsidR="00FC7BBF" w:rsidRPr="00FC7BBF" w:rsidRDefault="00FC7BBF" w:rsidP="00FC7BBF">
            <w:pPr>
              <w:pStyle w:val="Smalltabletext"/>
              <w:jc w:val="right"/>
            </w:pPr>
            <w:r w:rsidRPr="00FC7BBF">
              <w:t xml:space="preserve">        888,926 </w:t>
            </w:r>
          </w:p>
        </w:tc>
        <w:tc>
          <w:tcPr>
            <w:tcW w:w="1701" w:type="dxa"/>
            <w:vAlign w:val="center"/>
          </w:tcPr>
          <w:p w14:paraId="198A8AED" w14:textId="77777777" w:rsidR="00FC7BBF" w:rsidRPr="00FC7BBF" w:rsidRDefault="00FC7BBF" w:rsidP="00FC7BBF">
            <w:pPr>
              <w:pStyle w:val="Smalltabletext"/>
              <w:jc w:val="right"/>
            </w:pPr>
            <w:r w:rsidRPr="00FC7BBF">
              <w:t xml:space="preserve">        364,076 </w:t>
            </w:r>
          </w:p>
        </w:tc>
      </w:tr>
      <w:tr w:rsidR="00FC7BBF" w:rsidRPr="00FC7BBF" w14:paraId="290544C1" w14:textId="77777777" w:rsidTr="00292814">
        <w:trPr>
          <w:trHeight w:val="68"/>
        </w:trPr>
        <w:tc>
          <w:tcPr>
            <w:tcW w:w="3408" w:type="dxa"/>
          </w:tcPr>
          <w:p w14:paraId="7081A22C" w14:textId="77777777" w:rsidR="00FC7BBF" w:rsidRPr="00FC7BBF" w:rsidRDefault="00FC7BBF" w:rsidP="00FC7BBF">
            <w:pPr>
              <w:pStyle w:val="Smalltabletext"/>
              <w:rPr>
                <w:b/>
                <w:bCs/>
              </w:rPr>
            </w:pPr>
            <w:r w:rsidRPr="00FC7BBF">
              <w:rPr>
                <w:b/>
                <w:bCs/>
              </w:rPr>
              <w:t>Нийт 3 жилээр</w:t>
            </w:r>
          </w:p>
        </w:tc>
        <w:tc>
          <w:tcPr>
            <w:tcW w:w="1402" w:type="dxa"/>
            <w:vAlign w:val="center"/>
          </w:tcPr>
          <w:p w14:paraId="38377662" w14:textId="77777777" w:rsidR="00FC7BBF" w:rsidRPr="00FC7BBF" w:rsidRDefault="00FC7BBF" w:rsidP="00FC7BBF">
            <w:pPr>
              <w:pStyle w:val="Smalltabletext"/>
              <w:jc w:val="right"/>
              <w:rPr>
                <w:b/>
                <w:bCs/>
              </w:rPr>
            </w:pPr>
            <w:r w:rsidRPr="00FC7BBF">
              <w:rPr>
                <w:b/>
                <w:bCs/>
              </w:rPr>
              <w:t xml:space="preserve">522 </w:t>
            </w:r>
          </w:p>
        </w:tc>
        <w:tc>
          <w:tcPr>
            <w:tcW w:w="1433" w:type="dxa"/>
            <w:vAlign w:val="center"/>
          </w:tcPr>
          <w:p w14:paraId="42C565F1" w14:textId="77777777" w:rsidR="00FC7BBF" w:rsidRPr="00FC7BBF" w:rsidRDefault="00FC7BBF" w:rsidP="00FC7BBF">
            <w:pPr>
              <w:pStyle w:val="Smalltabletext"/>
              <w:jc w:val="right"/>
              <w:rPr>
                <w:b/>
                <w:bCs/>
              </w:rPr>
            </w:pPr>
            <w:r w:rsidRPr="00FC7BBF">
              <w:rPr>
                <w:b/>
                <w:bCs/>
              </w:rPr>
              <w:t xml:space="preserve">3,093,788 </w:t>
            </w:r>
          </w:p>
        </w:tc>
        <w:tc>
          <w:tcPr>
            <w:tcW w:w="1701" w:type="dxa"/>
            <w:vAlign w:val="center"/>
          </w:tcPr>
          <w:p w14:paraId="29E4AE50" w14:textId="77777777" w:rsidR="00FC7BBF" w:rsidRPr="00FC7BBF" w:rsidRDefault="00FC7BBF" w:rsidP="00FC7BBF">
            <w:pPr>
              <w:pStyle w:val="Smalltabletext"/>
              <w:jc w:val="right"/>
              <w:rPr>
                <w:b/>
                <w:bCs/>
              </w:rPr>
            </w:pPr>
            <w:r w:rsidRPr="00FC7BBF">
              <w:rPr>
                <w:b/>
                <w:bCs/>
              </w:rPr>
              <w:t xml:space="preserve">    4,996,380 </w:t>
            </w:r>
          </w:p>
        </w:tc>
        <w:tc>
          <w:tcPr>
            <w:tcW w:w="1701" w:type="dxa"/>
            <w:vAlign w:val="center"/>
          </w:tcPr>
          <w:p w14:paraId="44FFEBC9" w14:textId="77777777" w:rsidR="00FC7BBF" w:rsidRPr="00FC7BBF" w:rsidRDefault="00FC7BBF" w:rsidP="00FC7BBF">
            <w:pPr>
              <w:pStyle w:val="Smalltabletext"/>
              <w:jc w:val="right"/>
              <w:rPr>
                <w:b/>
                <w:bCs/>
              </w:rPr>
            </w:pPr>
            <w:r w:rsidRPr="00FC7BBF">
              <w:rPr>
                <w:b/>
                <w:bCs/>
              </w:rPr>
              <w:t xml:space="preserve">    1,902,591 </w:t>
            </w:r>
          </w:p>
        </w:tc>
      </w:tr>
    </w:tbl>
    <w:p w14:paraId="41A26C40" w14:textId="3306B59A" w:rsidR="00B33B29" w:rsidRDefault="00FC7BBF" w:rsidP="006A579A">
      <w:pPr>
        <w:ind w:firstLine="0"/>
      </w:pPr>
      <w:r>
        <w:t>Дээрх хүснэгтээс харахад сүүлийн 3 жилд УТХО-аар санхүүжүүлэх</w:t>
      </w:r>
      <w:r w:rsidR="00E46AF9">
        <w:t>э</w:t>
      </w:r>
      <w:r>
        <w:t>эр оруулсан ТАХ-</w:t>
      </w:r>
      <w:r w:rsidR="00E46AF9">
        <w:t>нээс</w:t>
      </w:r>
      <w:r>
        <w:t xml:space="preserve"> анх батлагдсан төсөвт өртөг нь нэмэгдсэн ТАХ-г ялгаж давхардлыг нь арилгаж үзэхэд нийт 522 ТАХ байгаагийн төсөвт өртөг нэмэгдсэн зөрүү нь 1.9 их наяд төгрөг буюу 960 хүүхдийн сургуулийг 100-г барих хэмжээний төсөв нэмэгдэж орж ирж улсын төсөвт дарамт учруулж байна.</w:t>
      </w:r>
    </w:p>
    <w:p w14:paraId="08DA5B80" w14:textId="1F0FA961" w:rsidR="006A579A" w:rsidRDefault="006A579A" w:rsidP="006A579A">
      <w:pPr>
        <w:ind w:firstLine="0"/>
      </w:pPr>
      <w:r>
        <w:t>Мөн Монгол Улсын 2026 оны нэгдсэн төсвийн төсөлд 2010 онд анх улсын төсөвт тусгагдаж санхүүжүүлж байсан ТАХ-ний төсөвт өртгийг өөрчлөн 475%-аар нэмэгдүүлж оруулж тусгасан жишээ ч байна.</w:t>
      </w:r>
    </w:p>
    <w:p w14:paraId="35E77DA9" w14:textId="77777777" w:rsidR="006A579A" w:rsidRDefault="006A579A" w:rsidP="006A579A">
      <w:pPr>
        <w:ind w:firstLine="0"/>
      </w:pPr>
      <w:r>
        <w:t>Жишээ нь:</w:t>
      </w:r>
      <w:r w:rsidRPr="006A579A">
        <w:t xml:space="preserve"> Улаанбаатар, Баянзүрх дүүр</w:t>
      </w:r>
      <w:r>
        <w:t xml:space="preserve">гийн </w:t>
      </w:r>
      <w:r w:rsidRPr="006A579A">
        <w:t xml:space="preserve">спорт цогцолбор, </w:t>
      </w:r>
    </w:p>
    <w:p w14:paraId="5664703D" w14:textId="77777777" w:rsidR="006A579A" w:rsidRDefault="006A579A" w:rsidP="006A579A">
      <w:pPr>
        <w:pStyle w:val="ListParagraph"/>
        <w:numPr>
          <w:ilvl w:val="0"/>
          <w:numId w:val="7"/>
        </w:numPr>
      </w:pPr>
      <w:r>
        <w:t xml:space="preserve">Хүчин чадал: </w:t>
      </w:r>
      <w:r w:rsidRPr="006A579A">
        <w:t>1000 суудал</w:t>
      </w:r>
      <w:r>
        <w:t>,</w:t>
      </w:r>
    </w:p>
    <w:p w14:paraId="0C7B1353" w14:textId="734BB440" w:rsidR="006A579A" w:rsidRDefault="006A579A" w:rsidP="006A579A">
      <w:pPr>
        <w:pStyle w:val="ListParagraph"/>
        <w:numPr>
          <w:ilvl w:val="0"/>
          <w:numId w:val="7"/>
        </w:numPr>
      </w:pPr>
      <w:r>
        <w:t>ТЕЗ: С</w:t>
      </w:r>
      <w:r w:rsidRPr="006A579A">
        <w:t>оёл, спорт, аялал жуулчлал, залуучуудын сайд</w:t>
      </w:r>
      <w:r>
        <w:t xml:space="preserve"> </w:t>
      </w:r>
    </w:p>
    <w:p w14:paraId="30DD3A8C" w14:textId="5B376C81" w:rsidR="006A579A" w:rsidRDefault="006A579A" w:rsidP="006A579A">
      <w:pPr>
        <w:pStyle w:val="ListParagraph"/>
        <w:numPr>
          <w:ilvl w:val="0"/>
          <w:numId w:val="7"/>
        </w:numPr>
      </w:pPr>
      <w:r>
        <w:t>ТАХ-ний төрөл: Барилга, байгууламж</w:t>
      </w:r>
    </w:p>
    <w:p w14:paraId="5D648519" w14:textId="4F58F506" w:rsidR="006A579A" w:rsidRDefault="006A579A" w:rsidP="006A579A">
      <w:pPr>
        <w:pStyle w:val="ListParagraph"/>
        <w:numPr>
          <w:ilvl w:val="0"/>
          <w:numId w:val="7"/>
        </w:numPr>
      </w:pPr>
      <w:r>
        <w:t xml:space="preserve">Төслийн код: </w:t>
      </w:r>
      <w:r w:rsidRPr="006A579A">
        <w:t>УТ2103100791</w:t>
      </w:r>
    </w:p>
    <w:p w14:paraId="3D7997AC" w14:textId="6FA1266E" w:rsidR="006A579A" w:rsidRDefault="006A579A" w:rsidP="006A579A">
      <w:pPr>
        <w:pStyle w:val="ListParagraph"/>
        <w:numPr>
          <w:ilvl w:val="0"/>
          <w:numId w:val="7"/>
        </w:numPr>
      </w:pPr>
      <w:r>
        <w:t>Улсын төсөвт анх суусан он: 2010 он</w:t>
      </w:r>
    </w:p>
    <w:p w14:paraId="7E7D4257" w14:textId="77777777" w:rsidR="00B5599A" w:rsidRDefault="006A579A" w:rsidP="00B5599A">
      <w:pPr>
        <w:pStyle w:val="ListParagraph"/>
        <w:numPr>
          <w:ilvl w:val="0"/>
          <w:numId w:val="7"/>
        </w:numPr>
      </w:pPr>
      <w:r>
        <w:t>Дуусгах он: 2026 он</w:t>
      </w:r>
    </w:p>
    <w:p w14:paraId="3F363CF9" w14:textId="77777777" w:rsidR="00B5599A" w:rsidRDefault="00B5599A" w:rsidP="00B5599A">
      <w:pPr>
        <w:pStyle w:val="ListParagraph"/>
        <w:numPr>
          <w:ilvl w:val="0"/>
          <w:numId w:val="7"/>
        </w:numPr>
      </w:pPr>
      <w:r>
        <w:t xml:space="preserve">Анхны төсөвт өртөг: </w:t>
      </w:r>
      <w:r w:rsidRPr="00B5599A">
        <w:t>2,561.30</w:t>
      </w:r>
      <w:r>
        <w:t xml:space="preserve"> сая төгрөг</w:t>
      </w:r>
    </w:p>
    <w:p w14:paraId="0216E5BE" w14:textId="77777777" w:rsidR="00B5599A" w:rsidRDefault="00B5599A" w:rsidP="00B5599A">
      <w:pPr>
        <w:pStyle w:val="ListParagraph"/>
        <w:numPr>
          <w:ilvl w:val="0"/>
          <w:numId w:val="7"/>
        </w:numPr>
      </w:pPr>
      <w:r>
        <w:t xml:space="preserve">Нэмэгдсэн төсөвт өртөг: </w:t>
      </w:r>
      <w:r w:rsidRPr="00B5599A">
        <w:t>14,732.90</w:t>
      </w:r>
      <w:r>
        <w:t xml:space="preserve"> сая төгрөг</w:t>
      </w:r>
    </w:p>
    <w:p w14:paraId="2408102C" w14:textId="52C66569" w:rsidR="00B5599A" w:rsidRDefault="00B5599A" w:rsidP="00B5599A">
      <w:pPr>
        <w:pStyle w:val="ListParagraph"/>
        <w:numPr>
          <w:ilvl w:val="0"/>
          <w:numId w:val="7"/>
        </w:numPr>
      </w:pPr>
      <w:r>
        <w:t xml:space="preserve">Нэмэгдсэн төсөвт өртгийн зөрүү, хувь: </w:t>
      </w:r>
      <w:r w:rsidRPr="00B5599A">
        <w:t>12,171.60</w:t>
      </w:r>
      <w:r>
        <w:t xml:space="preserve"> сая төгрөг, 475%-аар өссөн.</w:t>
      </w:r>
    </w:p>
    <w:p w14:paraId="0498BCC2" w14:textId="77777777" w:rsidR="00B5599A" w:rsidRDefault="00B5599A" w:rsidP="00B5599A">
      <w:pPr>
        <w:pStyle w:val="ListParagraph"/>
        <w:ind w:firstLine="0"/>
      </w:pPr>
    </w:p>
    <w:p w14:paraId="477D011D" w14:textId="7F679255" w:rsidR="00FF6AB2" w:rsidRDefault="00A116EF" w:rsidP="00FF6AB2">
      <w:r>
        <w:t xml:space="preserve">Энэ байдал засагдалгүй </w:t>
      </w:r>
      <w:r w:rsidR="006A579A">
        <w:t>өнөөг хүрч</w:t>
      </w:r>
      <w:r>
        <w:t xml:space="preserve"> </w:t>
      </w:r>
      <w:r w:rsidR="00B27DB7">
        <w:t xml:space="preserve">улсын төсөвт их хэмжээний санхүүгийн дарамт үүсгэж </w:t>
      </w:r>
      <w:r>
        <w:t xml:space="preserve">байгаа асуудлыг </w:t>
      </w:r>
      <w:r w:rsidR="00B27DB7">
        <w:t>ЗГ-ын түвшинд судлан</w:t>
      </w:r>
      <w:r>
        <w:t xml:space="preserve"> </w:t>
      </w:r>
      <w:r w:rsidR="00B27DB7">
        <w:t>санал</w:t>
      </w:r>
      <w:r>
        <w:t>, дүгнэлт гаргаж,</w:t>
      </w:r>
      <w:r w:rsidR="00B27DB7">
        <w:t xml:space="preserve"> арга хэмжээ авч ажиллахыг УИХ-аас</w:t>
      </w:r>
      <w:r>
        <w:t xml:space="preserve"> чиглэл өгөх шаардлага үүссэн байна.</w:t>
      </w:r>
    </w:p>
    <w:p w14:paraId="3983FB2D" w14:textId="6F2DD205" w:rsidR="002A3ECB" w:rsidRDefault="002A3ECB" w:rsidP="00C21E9A">
      <w:pPr>
        <w:pStyle w:val="Heading1"/>
      </w:pPr>
      <w:r w:rsidRPr="00A116EF">
        <w:t>Хоёр.Тогтоолын төслийн зорилго, ерөнхий бүтэц, зохицуулах харилцаа,</w:t>
      </w:r>
      <w:r w:rsidR="00A116EF" w:rsidRPr="00A116EF">
        <w:t xml:space="preserve"> </w:t>
      </w:r>
      <w:r w:rsidRPr="00A116EF">
        <w:t>хамрах хүрээ</w:t>
      </w:r>
    </w:p>
    <w:p w14:paraId="0E32EEE9" w14:textId="255A6C2E" w:rsidR="007D2028" w:rsidRPr="007D2028" w:rsidRDefault="00794155" w:rsidP="00EF1C51">
      <w:pPr>
        <w:ind w:firstLine="0"/>
      </w:pPr>
      <w:r>
        <w:t>Тогтоолын</w:t>
      </w:r>
      <w:r w:rsidR="007D2028">
        <w:t xml:space="preserve"> төсөл нь дараах бүтэц, агуулгатай байна.</w:t>
      </w:r>
    </w:p>
    <w:p w14:paraId="4C8037D7" w14:textId="7E5C216F" w:rsidR="007D2028" w:rsidRDefault="007D2028" w:rsidP="007D2028">
      <w:pPr>
        <w:pStyle w:val="NormalWeb"/>
        <w:numPr>
          <w:ilvl w:val="0"/>
          <w:numId w:val="9"/>
        </w:numPr>
        <w:shd w:val="clear" w:color="auto" w:fill="FFFFFF"/>
        <w:suppressAutoHyphens/>
        <w:autoSpaceDN w:val="0"/>
        <w:spacing w:before="0" w:beforeAutospacing="0" w:after="0" w:afterAutospacing="0" w:line="100" w:lineRule="atLeast"/>
        <w:jc w:val="both"/>
        <w:textAlignment w:val="baseline"/>
        <w:rPr>
          <w:rFonts w:ascii="Arial" w:eastAsia="Arial" w:hAnsi="Arial" w:cs="Arial"/>
          <w:lang w:val="mn-MN"/>
        </w:rPr>
      </w:pPr>
      <w:r>
        <w:rPr>
          <w:rFonts w:ascii="Arial" w:eastAsia="Arial" w:hAnsi="Arial" w:cs="Arial"/>
          <w:lang w:val="mn-MN"/>
        </w:rPr>
        <w:t xml:space="preserve">Улсын төсвийн хөрөнгө оруулалтаар хэрэгжүүлж буй төсөл арга хэмжээний талаар </w:t>
      </w:r>
      <w:r w:rsidRPr="00B973CF">
        <w:rPr>
          <w:rFonts w:ascii="Arial" w:eastAsia="Arial" w:hAnsi="Arial" w:cs="Arial"/>
          <w:lang w:val="mn-MN"/>
        </w:rPr>
        <w:t>арга хэмжээг авч хэрэгжүүлэхийг Монгол Улсын Засгийн газар</w:t>
      </w:r>
      <w:r>
        <w:rPr>
          <w:rFonts w:ascii="Arial" w:eastAsia="Arial" w:hAnsi="Arial" w:cs="Arial"/>
          <w:lang w:val="mn-MN"/>
        </w:rPr>
        <w:t xml:space="preserve"> даалгах </w:t>
      </w:r>
      <w:r w:rsidR="00EF1C51">
        <w:rPr>
          <w:rFonts w:ascii="Arial" w:eastAsia="Arial" w:hAnsi="Arial" w:cs="Arial"/>
          <w:lang w:val="mn-MN"/>
        </w:rPr>
        <w:t>заалт</w:t>
      </w:r>
      <w:r>
        <w:rPr>
          <w:rFonts w:ascii="Arial" w:eastAsia="Arial" w:hAnsi="Arial" w:cs="Arial"/>
          <w:lang w:val="mn-MN"/>
        </w:rPr>
        <w:t>,</w:t>
      </w:r>
    </w:p>
    <w:p w14:paraId="64418FB1" w14:textId="1C27F738" w:rsidR="007D2028" w:rsidRDefault="007D2028" w:rsidP="007D2028">
      <w:pPr>
        <w:pStyle w:val="ListParagraph"/>
        <w:numPr>
          <w:ilvl w:val="0"/>
          <w:numId w:val="9"/>
        </w:numPr>
        <w:rPr>
          <w:lang w:val="mn-MN"/>
        </w:rPr>
      </w:pPr>
      <w:r w:rsidRPr="007D2028">
        <w:rPr>
          <w:lang w:val="mn-MN"/>
        </w:rPr>
        <w:t>Тухайн жилийн төсвийн тухай хуулиар улсын төсвийн хөрөнгө оруулалтаар санхүүжүүлэх төсөл арга хэмжээний санал авах, эрэмбэлэх, төсөл арга хэмжээнд тавигдах шаардлагыг хянах хүрээнд хууль тогтоомжийг хэрэгжүүлэх зорилгоор баталсан нийтээр дагаж мөрдөх эрх зүйн актад дүн шинжилгээ хийж, хууль тогтоомжийн нийцлийг хангах, давхардал, хийдэл, зөрчлийг арилгах чиглэлд зохион байгуулалтын арга хэмжээг авч, тухай бүр мэдээлж ажиллахыг Монгол Улсын Их Хурлын Төсвийн байнгын хороо</w:t>
      </w:r>
      <w:r>
        <w:rPr>
          <w:lang w:val="mn-MN"/>
        </w:rPr>
        <w:t xml:space="preserve">нд даалгах </w:t>
      </w:r>
      <w:r w:rsidR="00EF1C51">
        <w:rPr>
          <w:lang w:val="mn-MN"/>
        </w:rPr>
        <w:t>заалт</w:t>
      </w:r>
      <w:r>
        <w:rPr>
          <w:lang w:val="mn-MN"/>
        </w:rPr>
        <w:t>,</w:t>
      </w:r>
    </w:p>
    <w:p w14:paraId="583585D7" w14:textId="7FA3463E" w:rsidR="00EF1C51" w:rsidRPr="00EF1C51" w:rsidRDefault="007D2028" w:rsidP="00EF1C51">
      <w:pPr>
        <w:pStyle w:val="ListParagraph"/>
        <w:numPr>
          <w:ilvl w:val="0"/>
          <w:numId w:val="9"/>
        </w:numPr>
        <w:rPr>
          <w:lang w:val="mn-MN"/>
        </w:rPr>
      </w:pPr>
      <w:r w:rsidRPr="007D2028">
        <w:rPr>
          <w:rFonts w:eastAsia="Arial"/>
          <w:lang w:val="mn-MN"/>
        </w:rPr>
        <w:t>Энэ тогтоолын 2 дахь заалтад заасан дүн шинжилгээ хийхэд шаардлагатай мэдээллээр хангаж, туслалцаа үзүүлж ажиллахыг Монгол Улсын Засгийн газар</w:t>
      </w:r>
      <w:r w:rsidR="00EF1C51">
        <w:rPr>
          <w:rFonts w:eastAsia="Arial"/>
          <w:lang w:val="mn-MN"/>
        </w:rPr>
        <w:t>т даалгах заалт,</w:t>
      </w:r>
    </w:p>
    <w:p w14:paraId="3C41FC3B" w14:textId="549ECD7C" w:rsidR="007D2028" w:rsidRPr="00EF1C51" w:rsidRDefault="00EF1C51" w:rsidP="00EF1C51">
      <w:pPr>
        <w:pStyle w:val="ListParagraph"/>
        <w:numPr>
          <w:ilvl w:val="0"/>
          <w:numId w:val="9"/>
        </w:numPr>
        <w:rPr>
          <w:lang w:val="mn-MN"/>
        </w:rPr>
      </w:pPr>
      <w:r>
        <w:rPr>
          <w:rFonts w:eastAsia="Arial"/>
          <w:lang w:val="mn-MN"/>
        </w:rPr>
        <w:t>Т</w:t>
      </w:r>
      <w:r w:rsidR="007D2028" w:rsidRPr="00EF1C51">
        <w:rPr>
          <w:rFonts w:eastAsia="Arial"/>
          <w:lang w:val="mn-MN"/>
        </w:rPr>
        <w:t>огтоолыг дагаж мөрд</w:t>
      </w:r>
      <w:r w:rsidR="00E46AF9">
        <w:rPr>
          <w:rFonts w:eastAsia="Arial"/>
          <w:lang w:val="mn-MN"/>
        </w:rPr>
        <w:t>ө</w:t>
      </w:r>
      <w:r>
        <w:rPr>
          <w:rFonts w:eastAsia="Arial"/>
          <w:lang w:val="mn-MN"/>
        </w:rPr>
        <w:t>х хугацаа тогтоох заалт гэсэн үндсэн бүтэц байна.</w:t>
      </w:r>
    </w:p>
    <w:p w14:paraId="32BDEC03" w14:textId="77777777" w:rsidR="00EF1C51" w:rsidRDefault="00EF1C51" w:rsidP="00EF1C51">
      <w:pPr>
        <w:pStyle w:val="NormalWeb"/>
        <w:shd w:val="clear" w:color="auto" w:fill="FFFFFF"/>
        <w:suppressAutoHyphens/>
        <w:autoSpaceDN w:val="0"/>
        <w:spacing w:before="0" w:beforeAutospacing="0" w:after="0" w:afterAutospacing="0" w:line="100" w:lineRule="atLeast"/>
        <w:ind w:left="360"/>
        <w:jc w:val="both"/>
        <w:textAlignment w:val="baseline"/>
        <w:rPr>
          <w:rFonts w:ascii="Arial" w:eastAsia="Arial" w:hAnsi="Arial" w:cs="Arial"/>
          <w:lang w:val="mn-MN"/>
        </w:rPr>
      </w:pPr>
      <w:r>
        <w:rPr>
          <w:rFonts w:ascii="Arial" w:eastAsia="Arial" w:hAnsi="Arial" w:cs="Arial"/>
          <w:lang w:val="mn-MN"/>
        </w:rPr>
        <w:lastRenderedPageBreak/>
        <w:t xml:space="preserve">Тогтоолын төслийн “Улсын төсвийн хөрөнгө оруулалтаар хэрэгжүүлж буй төсөл арга хэмжээний талаар </w:t>
      </w:r>
      <w:r w:rsidRPr="00B973CF">
        <w:rPr>
          <w:rFonts w:ascii="Arial" w:eastAsia="Arial" w:hAnsi="Arial" w:cs="Arial"/>
          <w:lang w:val="mn-MN"/>
        </w:rPr>
        <w:t>арга хэмжээг авч хэрэгжүүлэхийг Монгол Улсын Засгийн газар</w:t>
      </w:r>
      <w:r>
        <w:rPr>
          <w:rFonts w:ascii="Arial" w:eastAsia="Arial" w:hAnsi="Arial" w:cs="Arial"/>
          <w:lang w:val="mn-MN"/>
        </w:rPr>
        <w:t xml:space="preserve"> даалгах” 1-р заалт нь 5 дэд заалттай байх бөгөөд дараах агуулгыг тусгалаа.</w:t>
      </w:r>
    </w:p>
    <w:p w14:paraId="035CBB72" w14:textId="77777777" w:rsidR="00EF1C51" w:rsidRDefault="00EF1C51" w:rsidP="00EF1C51">
      <w:pPr>
        <w:pStyle w:val="NormalWeb"/>
        <w:shd w:val="clear" w:color="auto" w:fill="FFFFFF"/>
        <w:suppressAutoHyphens/>
        <w:autoSpaceDN w:val="0"/>
        <w:spacing w:before="0" w:beforeAutospacing="0" w:after="0" w:afterAutospacing="0" w:line="100" w:lineRule="atLeast"/>
        <w:ind w:left="360"/>
        <w:jc w:val="both"/>
        <w:textAlignment w:val="baseline"/>
        <w:rPr>
          <w:rFonts w:ascii="Arial" w:eastAsia="Arial" w:hAnsi="Arial" w:cs="Arial"/>
          <w:lang w:val="mn-MN"/>
        </w:rPr>
      </w:pPr>
      <w:r>
        <w:rPr>
          <w:rFonts w:ascii="Arial" w:eastAsia="Arial" w:hAnsi="Arial" w:cs="Arial"/>
          <w:lang w:val="mn-MN"/>
        </w:rPr>
        <w:t>Үүнд:</w:t>
      </w:r>
    </w:p>
    <w:p w14:paraId="1E51E382" w14:textId="77777777" w:rsidR="00EF1C51" w:rsidRDefault="00EF1C51" w:rsidP="00EF1C51">
      <w:pPr>
        <w:ind w:left="709" w:firstLine="0"/>
        <w:rPr>
          <w:rFonts w:eastAsia="Arial"/>
          <w:lang w:val="mn-MN"/>
        </w:rPr>
      </w:pPr>
      <w:r w:rsidRPr="00B973CF">
        <w:rPr>
          <w:rFonts w:eastAsia="Arial"/>
          <w:lang w:val="mn-MN"/>
        </w:rPr>
        <w:t>1/</w:t>
      </w:r>
      <w:r>
        <w:rPr>
          <w:rFonts w:eastAsia="Arial"/>
          <w:lang w:val="mn-MN"/>
        </w:rPr>
        <w:t xml:space="preserve">  Улсын төсвийн хөрөнгө оруулалтаар хэрэгжүүлэхээр төсвийн хуульд тусгаж санхүүжүүлсэн хэдий ч анх батлагдсан төсөвт өртөг нь хүрэлцэхгүй болсон, хугацаандаа ашиглалтад орохгүй зогссон төсөл арга хэмжээнүүдийн талаар </w:t>
      </w:r>
      <w:r w:rsidRPr="00B973CF">
        <w:rPr>
          <w:rFonts w:eastAsia="Arial"/>
          <w:lang w:val="mn-MN"/>
        </w:rPr>
        <w:t xml:space="preserve">судалж, </w:t>
      </w:r>
      <w:r>
        <w:rPr>
          <w:rFonts w:eastAsia="Arial"/>
          <w:lang w:val="mn-MN"/>
        </w:rPr>
        <w:t xml:space="preserve">ашиглалтад орохгүй зогссон шалтгаан, нийгэм, эдийн засагт үзүүлж буй сөрөг үр дагавар, улсын төсөвт үзүүлж буй ачаалал дарамт зэргийг тодорхой тайлан үзүүлэлтээр гарган </w:t>
      </w:r>
      <w:r w:rsidRPr="00B973CF">
        <w:rPr>
          <w:rFonts w:eastAsia="Arial"/>
          <w:lang w:val="mn-MN"/>
        </w:rPr>
        <w:t>202</w:t>
      </w:r>
      <w:r>
        <w:rPr>
          <w:rFonts w:eastAsia="Arial"/>
          <w:lang w:val="mn-MN"/>
        </w:rPr>
        <w:t>6</w:t>
      </w:r>
      <w:r w:rsidRPr="00B973CF">
        <w:rPr>
          <w:rFonts w:eastAsia="Arial"/>
          <w:lang w:val="mn-MN"/>
        </w:rPr>
        <w:t xml:space="preserve"> оны 0</w:t>
      </w:r>
      <w:r>
        <w:rPr>
          <w:rFonts w:eastAsia="Arial"/>
          <w:lang w:val="mn-MN"/>
        </w:rPr>
        <w:t>2</w:t>
      </w:r>
      <w:r w:rsidRPr="00B973CF">
        <w:rPr>
          <w:rFonts w:eastAsia="Arial"/>
          <w:lang w:val="mn-MN"/>
        </w:rPr>
        <w:t xml:space="preserve"> дугаар сарын 01-ний өдрийн дотор Улсын Их </w:t>
      </w:r>
      <w:r>
        <w:rPr>
          <w:rFonts w:eastAsia="Arial"/>
          <w:lang w:val="mn-MN"/>
        </w:rPr>
        <w:t>Х</w:t>
      </w:r>
      <w:r w:rsidRPr="00B973CF">
        <w:rPr>
          <w:rFonts w:eastAsia="Arial"/>
          <w:lang w:val="mn-MN"/>
        </w:rPr>
        <w:t xml:space="preserve">уралд </w:t>
      </w:r>
      <w:r>
        <w:rPr>
          <w:rFonts w:eastAsia="Arial"/>
          <w:lang w:val="mn-MN"/>
        </w:rPr>
        <w:t>ирүүлэх;</w:t>
      </w:r>
    </w:p>
    <w:p w14:paraId="4691C506" w14:textId="77777777" w:rsidR="00EF1C51" w:rsidRPr="00CE4F29" w:rsidRDefault="00EF1C51" w:rsidP="00EF1C51">
      <w:pPr>
        <w:ind w:left="709" w:firstLine="0"/>
        <w:rPr>
          <w:rFonts w:eastAsia="Arial"/>
        </w:rPr>
      </w:pPr>
      <w:r>
        <w:rPr>
          <w:rFonts w:eastAsia="Arial"/>
          <w:lang w:val="mn-MN"/>
        </w:rPr>
        <w:t>2</w:t>
      </w:r>
      <w:r>
        <w:rPr>
          <w:rFonts w:eastAsia="Arial"/>
        </w:rPr>
        <w:t xml:space="preserve">/ </w:t>
      </w:r>
      <w:r>
        <w:rPr>
          <w:rFonts w:eastAsia="Arial"/>
          <w:lang w:val="mn-MN"/>
        </w:rPr>
        <w:t xml:space="preserve">Улсын төсвийн хөрөнгө оруулалтаар санхүүжүүлсэн хэдий ч дуусгалгүй зогсоосон, цаашид улсын төсвийн хөрөнгөөр гүйцээн санхүүжүүлэх шаардлагагүй гэж дүгнэсэн төсөл арга хэмжээг хувьчлах, дуудлага худалдаагаар худалдан борлуулах санал, </w:t>
      </w:r>
      <w:r w:rsidRPr="00B973CF">
        <w:rPr>
          <w:rFonts w:eastAsia="Arial"/>
          <w:lang w:val="mn-MN"/>
        </w:rPr>
        <w:t>дүгнэлт</w:t>
      </w:r>
      <w:r>
        <w:rPr>
          <w:rFonts w:eastAsia="Arial"/>
          <w:lang w:val="mn-MN"/>
        </w:rPr>
        <w:t>ээ</w:t>
      </w:r>
      <w:r w:rsidRPr="00B973CF">
        <w:rPr>
          <w:rFonts w:eastAsia="Arial"/>
          <w:lang w:val="mn-MN"/>
        </w:rPr>
        <w:t xml:space="preserve"> 202</w:t>
      </w:r>
      <w:r>
        <w:rPr>
          <w:rFonts w:eastAsia="Arial"/>
          <w:lang w:val="mn-MN"/>
        </w:rPr>
        <w:t>5</w:t>
      </w:r>
      <w:r w:rsidRPr="00B973CF">
        <w:rPr>
          <w:rFonts w:eastAsia="Arial"/>
          <w:lang w:val="mn-MN"/>
        </w:rPr>
        <w:t xml:space="preserve"> оны 0</w:t>
      </w:r>
      <w:r>
        <w:rPr>
          <w:rFonts w:eastAsia="Arial"/>
          <w:lang w:val="mn-MN"/>
        </w:rPr>
        <w:t>3</w:t>
      </w:r>
      <w:r w:rsidRPr="00B973CF">
        <w:rPr>
          <w:rFonts w:eastAsia="Arial"/>
          <w:lang w:val="mn-MN"/>
        </w:rPr>
        <w:t xml:space="preserve"> дугаар сарын 01-ний өдрийн дотор Улсын Их </w:t>
      </w:r>
      <w:r>
        <w:rPr>
          <w:rFonts w:eastAsia="Arial"/>
          <w:lang w:val="mn-MN"/>
        </w:rPr>
        <w:t>Х</w:t>
      </w:r>
      <w:r w:rsidRPr="00B973CF">
        <w:rPr>
          <w:rFonts w:eastAsia="Arial"/>
          <w:lang w:val="mn-MN"/>
        </w:rPr>
        <w:t xml:space="preserve">уралд </w:t>
      </w:r>
      <w:r>
        <w:rPr>
          <w:rFonts w:eastAsia="Arial"/>
          <w:lang w:val="mn-MN"/>
        </w:rPr>
        <w:t>ирүүлэх</w:t>
      </w:r>
      <w:r>
        <w:rPr>
          <w:rFonts w:eastAsia="Arial"/>
        </w:rPr>
        <w:t>;</w:t>
      </w:r>
    </w:p>
    <w:p w14:paraId="61404601" w14:textId="77777777" w:rsidR="00EF1C51" w:rsidRDefault="00EF1C51" w:rsidP="00EF1C51">
      <w:pPr>
        <w:ind w:left="709" w:firstLine="0"/>
        <w:rPr>
          <w:rFonts w:eastAsia="Arial"/>
          <w:lang w:val="mn-MN"/>
        </w:rPr>
      </w:pPr>
      <w:r>
        <w:rPr>
          <w:rFonts w:eastAsia="Arial"/>
          <w:lang w:val="mn-MN"/>
        </w:rPr>
        <w:t>3</w:t>
      </w:r>
      <w:r w:rsidRPr="00B973CF">
        <w:rPr>
          <w:rFonts w:eastAsia="Arial"/>
          <w:lang w:val="mn-MN"/>
        </w:rPr>
        <w:t>/</w:t>
      </w:r>
      <w:r>
        <w:rPr>
          <w:rFonts w:eastAsia="Arial"/>
          <w:lang w:val="mn-MN"/>
        </w:rPr>
        <w:t xml:space="preserve"> Улсын төсвийн хөрөнгө оруулалтаар санхүүжүүлж буй барилга байгууламж бүхий төсөл арга хэмжээ хугацаандаа орохгүй саатаж буй болон анх батлагдсан төсөвт өртөг нь өөрчлөгдөж байгаа шалтгааныг судлан, жил бүрийн улсын төсөвт дарамт үүсгэж буй шалтгааныг арилгах</w:t>
      </w:r>
      <w:r w:rsidRPr="00B973CF">
        <w:rPr>
          <w:rFonts w:eastAsia="Arial"/>
          <w:lang w:val="mn-MN"/>
        </w:rPr>
        <w:t xml:space="preserve"> арга хэмжээ авах</w:t>
      </w:r>
      <w:r>
        <w:rPr>
          <w:rFonts w:eastAsia="Arial"/>
          <w:lang w:val="mn-MN"/>
        </w:rPr>
        <w:t>;</w:t>
      </w:r>
    </w:p>
    <w:p w14:paraId="79CA717F" w14:textId="77777777" w:rsidR="00EF1C51" w:rsidRPr="002358E0" w:rsidRDefault="00EF1C51" w:rsidP="00EF1C51">
      <w:pPr>
        <w:ind w:left="709" w:firstLine="0"/>
        <w:rPr>
          <w:rFonts w:eastAsia="Arial"/>
        </w:rPr>
      </w:pPr>
      <w:r>
        <w:rPr>
          <w:rFonts w:eastAsia="Arial"/>
          <w:lang w:val="mn-MN"/>
        </w:rPr>
        <w:t>4</w:t>
      </w:r>
      <w:r>
        <w:rPr>
          <w:rFonts w:eastAsia="Arial"/>
        </w:rPr>
        <w:t xml:space="preserve">/ </w:t>
      </w:r>
      <w:r>
        <w:rPr>
          <w:rFonts w:eastAsia="Arial"/>
          <w:lang w:val="mn-MN"/>
        </w:rPr>
        <w:t>Улсын төсвийн хөрөнгө оруулалтаар хэрэгжүүлэх төсөл арга хэмжээний санал авах, эрэмбэлэх,</w:t>
      </w:r>
      <w:r w:rsidRPr="00070D11">
        <w:rPr>
          <w:rFonts w:eastAsia="Arial"/>
          <w:lang w:val="mn-MN"/>
        </w:rPr>
        <w:t xml:space="preserve"> </w:t>
      </w:r>
      <w:r>
        <w:rPr>
          <w:rFonts w:eastAsia="Arial"/>
          <w:lang w:val="mn-MN"/>
        </w:rPr>
        <w:t>үнэлэх, төлөвлөх, батлах үйл явцын тоон мэдээллийг системчлэх, стандартчилах</w:t>
      </w:r>
      <w:r>
        <w:rPr>
          <w:rFonts w:eastAsia="Arial"/>
        </w:rPr>
        <w:t>;</w:t>
      </w:r>
    </w:p>
    <w:p w14:paraId="1A2A72D2" w14:textId="01B65ECA" w:rsidR="00EF1C51" w:rsidRDefault="00EF1C51" w:rsidP="00237CAE">
      <w:pPr>
        <w:ind w:left="709" w:firstLine="0"/>
        <w:rPr>
          <w:rFonts w:eastAsia="Arial"/>
          <w:lang w:val="mn-MN"/>
        </w:rPr>
      </w:pPr>
      <w:r>
        <w:rPr>
          <w:rFonts w:eastAsia="Arial"/>
          <w:lang w:val="mn-MN"/>
        </w:rPr>
        <w:t>5</w:t>
      </w:r>
      <w:r>
        <w:rPr>
          <w:rFonts w:eastAsia="Arial"/>
        </w:rPr>
        <w:t xml:space="preserve">/ </w:t>
      </w:r>
      <w:r>
        <w:rPr>
          <w:rFonts w:eastAsia="Arial"/>
          <w:lang w:val="mn-MN"/>
        </w:rPr>
        <w:t xml:space="preserve"> Улсын төсвийн хөрөнгө оруулалтаар хэрэгжүүлэх төсөл арга хэмжээний төсвийн төлөвлөлт, Улсын Их Хурлаар баталсан, өөрчлөн баталсан болон төсвийн гүйцэтгэлийн тоон мэдээллийн нэгдсэн сан үүсгэн шийдвэр гаргагчид үйл ажиллагаандаа ашиглахад хялбаршуулах.</w:t>
      </w:r>
    </w:p>
    <w:p w14:paraId="0C543239" w14:textId="44416FC8" w:rsidR="002A3ECB" w:rsidRDefault="002A3ECB" w:rsidP="00A116EF">
      <w:pPr>
        <w:pStyle w:val="Heading2"/>
      </w:pPr>
      <w:r>
        <w:t>Гурав.Тогтоолын төсөл батлагдсаны дараа үүсэж болох нийгэм, эдийн</w:t>
      </w:r>
      <w:r w:rsidR="00A116EF">
        <w:t xml:space="preserve"> </w:t>
      </w:r>
      <w:r>
        <w:t>засаг, хууль зүйн үр дагавар, тэдгээрийг шийдвэрлэх талаар авч хэрэгжүүлэх</w:t>
      </w:r>
      <w:r w:rsidR="00A116EF">
        <w:t xml:space="preserve"> </w:t>
      </w:r>
      <w:r>
        <w:t>арга хэмжээний санал</w:t>
      </w:r>
    </w:p>
    <w:p w14:paraId="0D4CBDE1" w14:textId="458A1778" w:rsidR="00A116EF" w:rsidRDefault="00A116EF" w:rsidP="00A116EF">
      <w:r>
        <w:t>Тогтоолын төсөл батлагдс</w:t>
      </w:r>
      <w:r w:rsidR="00E46AF9">
        <w:t>а</w:t>
      </w:r>
      <w:r>
        <w:t>наар</w:t>
      </w:r>
      <w:r w:rsidR="003D6FED">
        <w:t xml:space="preserve"> ЗГ-аас УТХО-аар санхүүжүүлсэн ч төсөвт өртөг нь нэмэгдсэн, зогссон, цаашид санхүүжүүлэхгүй зэрэг ТАХ-г нэг бүрчлэн суда</w:t>
      </w:r>
      <w:r w:rsidR="00E46AF9">
        <w:t>л</w:t>
      </w:r>
      <w:r w:rsidR="003D6FED">
        <w:t>ж дүгнэлт гарган, улмаар гүйцээн санхүүжүүлэх, худалдан борлуулах, хувьчлах зэрэг байдлаар шийдвэрлэж 2026 оны төсвийн төслөөс өмнөх бүх асуудал дагуулсан ТАХ-г цэгцлэх ажил хийгдэнэ.</w:t>
      </w:r>
    </w:p>
    <w:p w14:paraId="6814F22A" w14:textId="3B2ACC65" w:rsidR="003D6FED" w:rsidRDefault="003D6FED" w:rsidP="00A116EF">
      <w:r>
        <w:t>УИХ-ын тогтоол хэрэгжсэнээр дараах эерэг үр дүн бий болно гэж тооцож байна. Үүнд:</w:t>
      </w:r>
    </w:p>
    <w:p w14:paraId="3E3156BA" w14:textId="77777777" w:rsidR="003D6FED" w:rsidRDefault="003D6FED" w:rsidP="003D6FED">
      <w:pPr>
        <w:pStyle w:val="ListParagraph"/>
        <w:numPr>
          <w:ilvl w:val="0"/>
          <w:numId w:val="1"/>
        </w:numPr>
        <w:ind w:left="709"/>
      </w:pPr>
      <w:r>
        <w:t>Өмнө олон жилийн өмнө УТХО-аар санхүүжүүлэхээр улсын төсөвт тусгагдсан ч өнөөдрийг хүртэл дуусгаж чадаагүй зогссон төслүүдийн асуудал шийдвэрлэгдсэн байна. Ингэснээр 2027 оны төсөвт нэмэлт санхүүжилт тусгах байдлаар нэг мөр эцэслэх боломж бүрдэнэ</w:t>
      </w:r>
      <w:r w:rsidR="00A116EF" w:rsidRPr="00D81759">
        <w:t>;</w:t>
      </w:r>
    </w:p>
    <w:p w14:paraId="79577A65" w14:textId="2218A5E7" w:rsidR="003D6FED" w:rsidRDefault="003D6FED" w:rsidP="003D6FED">
      <w:pPr>
        <w:pStyle w:val="ListParagraph"/>
        <w:numPr>
          <w:ilvl w:val="0"/>
          <w:numId w:val="1"/>
        </w:numPr>
        <w:ind w:left="709"/>
      </w:pPr>
      <w:r>
        <w:t>Цаашид улсын төсөвт Төсвийн тухай хуулийн 29 дүгээр зүйлийн 29.4-т “</w:t>
      </w:r>
      <w:r w:rsidRPr="003B557F">
        <w:t xml:space="preserve">Хөрөнгө оруулалтын төсөвт техник, эдийн засгийн үндэслэл хийгдсэн, зураг төсвөө батлуулсан, хуульд заасан бусад зөвшөөрөл олгогдсон төсөл, арга хэмжээг </w:t>
      </w:r>
      <w:r w:rsidRPr="003B557F">
        <w:lastRenderedPageBreak/>
        <w:t>тусгана.</w:t>
      </w:r>
      <w:r>
        <w:t>” гэж зааснаар ТЭЗҮ-гүй, батлагдсан зураг төсөвгүй ТАХ-г тусгахгүй байх нөхцөл бүрдэнэ.</w:t>
      </w:r>
    </w:p>
    <w:p w14:paraId="55E533B7" w14:textId="77777777" w:rsidR="003D6FED" w:rsidRDefault="003D6FED" w:rsidP="003D6FED">
      <w:pPr>
        <w:pStyle w:val="ListParagraph"/>
        <w:numPr>
          <w:ilvl w:val="0"/>
          <w:numId w:val="1"/>
        </w:numPr>
        <w:ind w:left="709"/>
      </w:pPr>
      <w:r>
        <w:t xml:space="preserve">УТХО-аар санхүүжүүлэх ТАХ-г </w:t>
      </w:r>
      <w:r w:rsidRPr="0072400D">
        <w:t>төлөвлөх, санхүүжүүлэх, хянах, тайлагнах</w:t>
      </w:r>
      <w:r>
        <w:t xml:space="preserve"> үйл явцад ашиглаж буй “цахим сан”-ийн мэдээллийг шийдвэр гаргах түвшинд буй УИХ-ын гишүүд улсын төсөв хэлэлцэн батлахдаа ашигладаг болж, мэдээллээр хангагдах боломж бүрдэнэ.</w:t>
      </w:r>
    </w:p>
    <w:p w14:paraId="1612109F" w14:textId="4D4CA2A4" w:rsidR="003D6FED" w:rsidRDefault="003D6FED" w:rsidP="003D6FED">
      <w:pPr>
        <w:pStyle w:val="ListParagraph"/>
        <w:numPr>
          <w:ilvl w:val="0"/>
          <w:numId w:val="1"/>
        </w:numPr>
        <w:ind w:left="709"/>
      </w:pPr>
      <w:r>
        <w:t>УТХО-аар хэрэгжүүлэх ТАХ-г төсвийн төсөлд тусгахдаа улсын хөгжлийн тухайн жилийн төлөвлөгөөнд туссан ТАХ-г л санхүүжүүлэх тусгадаг болох бөгөөд УИХ-ын гишүүдэд орон нутгаас ирж буй төслүүдийг төсвийн төсөлд тусгахаас илүүтэй улсын хөгжлийн тухайн жилийн төлөвлөгөөнд тусгахад илүүтэй анхаарч ажиллах нөхцөл бүрдэх болно гэж урьдчилан таамаглаж байна.</w:t>
      </w:r>
    </w:p>
    <w:p w14:paraId="236FB589" w14:textId="3FFF04B4" w:rsidR="002A3ECB" w:rsidRPr="00C21E9A" w:rsidRDefault="002A3ECB" w:rsidP="00C21E9A">
      <w:pPr>
        <w:pStyle w:val="Heading1"/>
      </w:pPr>
      <w:r w:rsidRPr="00C21E9A">
        <w:t>Дөрөв.Тогтоолын төсөл нь бусад хууль тогтоомжтой хэрхэн уялдах, уг</w:t>
      </w:r>
      <w:r w:rsidR="00A116EF" w:rsidRPr="00C21E9A">
        <w:t xml:space="preserve"> </w:t>
      </w:r>
      <w:r w:rsidRPr="00C21E9A">
        <w:t>тогтоолыг хэрэгжүүлэхтэй холбогдон цаашид шинээр боловсруулах буюу</w:t>
      </w:r>
      <w:r w:rsidR="00A116EF" w:rsidRPr="00C21E9A">
        <w:t xml:space="preserve"> </w:t>
      </w:r>
      <w:r w:rsidRPr="00C21E9A">
        <w:t>нэмэлт, өөрчлөлт оруулах, хүчингүй болгох хууль тогтоомжийн талаар</w:t>
      </w:r>
    </w:p>
    <w:p w14:paraId="4002E320" w14:textId="175144FF" w:rsidR="002A3ECB" w:rsidRPr="008560F7" w:rsidRDefault="002A3ECB" w:rsidP="002409AE">
      <w:pPr>
        <w:rPr>
          <w:lang w:val="mn-MN"/>
        </w:rPr>
      </w:pPr>
      <w:r>
        <w:t>Тогтоолын төсөл нь Монгол Улсын Үндсэн хууль болон бусад хууль</w:t>
      </w:r>
      <w:r w:rsidR="002409AE">
        <w:t xml:space="preserve"> </w:t>
      </w:r>
      <w:r>
        <w:t>тогтоомжтой бүрэн нийцэж байгаа болно. Тогтоолын төсөлтэй холбогдуулан бусад</w:t>
      </w:r>
      <w:r w:rsidR="002409AE">
        <w:t xml:space="preserve"> </w:t>
      </w:r>
      <w:r>
        <w:t>хууль тогтоомжид нэмэлт, өөрчлөлт оруулах шаардлагагүй</w:t>
      </w:r>
      <w:r w:rsidR="00DA054F">
        <w:t>. Тогтоолын төсөл нь Төсвийн тухай хуулийн 29 дүгээр зүйл болох Хөрөнгө оруулалтын төсөвлөлтийн хэрэгжилтийг хангахад чиглэгдэх болно.</w:t>
      </w:r>
    </w:p>
    <w:p w14:paraId="74521056" w14:textId="77777777" w:rsidR="002409AE" w:rsidRPr="008560F7" w:rsidRDefault="002409AE" w:rsidP="002409AE">
      <w:pPr>
        <w:ind w:firstLine="0"/>
        <w:rPr>
          <w:lang w:val="mn-MN"/>
        </w:rPr>
      </w:pPr>
    </w:p>
    <w:p w14:paraId="2270B107" w14:textId="77777777" w:rsidR="002409AE" w:rsidRDefault="002409AE" w:rsidP="004D13EC"/>
    <w:p w14:paraId="49D01B31" w14:textId="0B499F4B" w:rsidR="002A3ECB" w:rsidRDefault="002A3ECB" w:rsidP="002409AE">
      <w:pPr>
        <w:ind w:firstLine="0"/>
        <w:jc w:val="center"/>
      </w:pPr>
      <w:r>
        <w:t>---oOo---</w:t>
      </w:r>
    </w:p>
    <w:sectPr w:rsidR="002A3ECB" w:rsidSect="002A3ECB">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8F4F1" w14:textId="77777777" w:rsidR="005141C9" w:rsidRDefault="005141C9" w:rsidP="002F42A4">
      <w:pPr>
        <w:spacing w:before="0" w:after="0"/>
      </w:pPr>
      <w:r>
        <w:separator/>
      </w:r>
    </w:p>
  </w:endnote>
  <w:endnote w:type="continuationSeparator" w:id="0">
    <w:p w14:paraId="58E50823" w14:textId="77777777" w:rsidR="005141C9" w:rsidRDefault="005141C9" w:rsidP="002F42A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EDF11" w14:textId="77777777" w:rsidR="005141C9" w:rsidRDefault="005141C9" w:rsidP="002F42A4">
      <w:pPr>
        <w:spacing w:before="0" w:after="0"/>
      </w:pPr>
      <w:r>
        <w:separator/>
      </w:r>
    </w:p>
  </w:footnote>
  <w:footnote w:type="continuationSeparator" w:id="0">
    <w:p w14:paraId="06757549" w14:textId="77777777" w:rsidR="005141C9" w:rsidRDefault="005141C9" w:rsidP="002F42A4">
      <w:pPr>
        <w:spacing w:before="0" w:after="0"/>
      </w:pPr>
      <w:r>
        <w:continuationSeparator/>
      </w:r>
    </w:p>
  </w:footnote>
  <w:footnote w:id="1">
    <w:p w14:paraId="7E2238F2" w14:textId="6E3DEA1B" w:rsidR="002F42A4" w:rsidRPr="002F42A4" w:rsidRDefault="002F42A4">
      <w:pPr>
        <w:pStyle w:val="FootnoteText"/>
        <w:rPr>
          <w:lang w:val="mn-MN"/>
        </w:rPr>
      </w:pPr>
      <w:r>
        <w:rPr>
          <w:rStyle w:val="FootnoteReference"/>
        </w:rPr>
        <w:footnoteRef/>
      </w:r>
      <w:r>
        <w:t xml:space="preserve"> </w:t>
      </w:r>
      <w:r>
        <w:rPr>
          <w:lang w:val="mn-MN"/>
        </w:rPr>
        <w:t xml:space="preserve">Төсвийн тухай хуулийн 8 дугаар зүйлийн </w:t>
      </w:r>
      <w:r>
        <w:t>8.4 дэх хэсэг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3E20"/>
    <w:multiLevelType w:val="hybridMultilevel"/>
    <w:tmpl w:val="0A246CC6"/>
    <w:lvl w:ilvl="0" w:tplc="E22E9A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24FD4"/>
    <w:multiLevelType w:val="hybridMultilevel"/>
    <w:tmpl w:val="9A183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8918C2"/>
    <w:multiLevelType w:val="hybridMultilevel"/>
    <w:tmpl w:val="94285F2A"/>
    <w:lvl w:ilvl="0" w:tplc="6A1AC2DE">
      <w:start w:val="1"/>
      <w:numFmt w:val="decimal"/>
      <w:lvlText w:val="%1."/>
      <w:lvlJc w:val="left"/>
      <w:pPr>
        <w:ind w:left="1440" w:hanging="360"/>
      </w:pPr>
      <w:rPr>
        <w:rFonts w:ascii="Arial" w:eastAsiaTheme="minorHAnsi" w:hAnsi="Arial"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7432A3"/>
    <w:multiLevelType w:val="hybridMultilevel"/>
    <w:tmpl w:val="CE9A9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3DF4046"/>
    <w:multiLevelType w:val="hybridMultilevel"/>
    <w:tmpl w:val="0DA0F1B4"/>
    <w:lvl w:ilvl="0" w:tplc="FBF234F6">
      <w:start w:val="202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8D54F6"/>
    <w:multiLevelType w:val="hybridMultilevel"/>
    <w:tmpl w:val="65001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370603E"/>
    <w:multiLevelType w:val="hybridMultilevel"/>
    <w:tmpl w:val="0CD467E0"/>
    <w:lvl w:ilvl="0" w:tplc="83DC09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F51F2F"/>
    <w:multiLevelType w:val="hybridMultilevel"/>
    <w:tmpl w:val="E2461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CB45CFF"/>
    <w:multiLevelType w:val="hybridMultilevel"/>
    <w:tmpl w:val="7886274E"/>
    <w:lvl w:ilvl="0" w:tplc="E22E9A9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03702548">
    <w:abstractNumId w:val="2"/>
  </w:num>
  <w:num w:numId="2" w16cid:durableId="218713572">
    <w:abstractNumId w:val="5"/>
  </w:num>
  <w:num w:numId="3" w16cid:durableId="176507464">
    <w:abstractNumId w:val="8"/>
  </w:num>
  <w:num w:numId="4" w16cid:durableId="1861121968">
    <w:abstractNumId w:val="7"/>
  </w:num>
  <w:num w:numId="5" w16cid:durableId="1734037269">
    <w:abstractNumId w:val="3"/>
  </w:num>
  <w:num w:numId="6" w16cid:durableId="2089692943">
    <w:abstractNumId w:val="1"/>
  </w:num>
  <w:num w:numId="7" w16cid:durableId="530610690">
    <w:abstractNumId w:val="4"/>
  </w:num>
  <w:num w:numId="8" w16cid:durableId="189149111">
    <w:abstractNumId w:val="6"/>
  </w:num>
  <w:num w:numId="9" w16cid:durableId="1325620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CB"/>
    <w:rsid w:val="000125CE"/>
    <w:rsid w:val="00020DC8"/>
    <w:rsid w:val="00050C88"/>
    <w:rsid w:val="000532DD"/>
    <w:rsid w:val="000C14A4"/>
    <w:rsid w:val="001B45C5"/>
    <w:rsid w:val="0021023D"/>
    <w:rsid w:val="00237CAE"/>
    <w:rsid w:val="002409AE"/>
    <w:rsid w:val="00292814"/>
    <w:rsid w:val="002A3ECB"/>
    <w:rsid w:val="002F42A4"/>
    <w:rsid w:val="003338CE"/>
    <w:rsid w:val="003A4785"/>
    <w:rsid w:val="003A6D8F"/>
    <w:rsid w:val="003B557F"/>
    <w:rsid w:val="003C0084"/>
    <w:rsid w:val="003D6FED"/>
    <w:rsid w:val="003F2989"/>
    <w:rsid w:val="00421F04"/>
    <w:rsid w:val="004D13EC"/>
    <w:rsid w:val="005136A4"/>
    <w:rsid w:val="005141C9"/>
    <w:rsid w:val="00530900"/>
    <w:rsid w:val="006041E9"/>
    <w:rsid w:val="006A579A"/>
    <w:rsid w:val="006D060F"/>
    <w:rsid w:val="00794155"/>
    <w:rsid w:val="007D2028"/>
    <w:rsid w:val="00810721"/>
    <w:rsid w:val="00815A0B"/>
    <w:rsid w:val="00822F98"/>
    <w:rsid w:val="008560F7"/>
    <w:rsid w:val="00883EAF"/>
    <w:rsid w:val="00885B7E"/>
    <w:rsid w:val="009C5263"/>
    <w:rsid w:val="00A077A4"/>
    <w:rsid w:val="00A116EF"/>
    <w:rsid w:val="00A158C2"/>
    <w:rsid w:val="00AF15A2"/>
    <w:rsid w:val="00B27DB7"/>
    <w:rsid w:val="00B33B29"/>
    <w:rsid w:val="00B5599A"/>
    <w:rsid w:val="00B744E6"/>
    <w:rsid w:val="00BB25E7"/>
    <w:rsid w:val="00C21E9A"/>
    <w:rsid w:val="00C97634"/>
    <w:rsid w:val="00CB74CB"/>
    <w:rsid w:val="00D61A61"/>
    <w:rsid w:val="00DA054F"/>
    <w:rsid w:val="00DC3926"/>
    <w:rsid w:val="00E02244"/>
    <w:rsid w:val="00E14813"/>
    <w:rsid w:val="00E24CD3"/>
    <w:rsid w:val="00E46AF9"/>
    <w:rsid w:val="00EA2A41"/>
    <w:rsid w:val="00EB00E7"/>
    <w:rsid w:val="00EF1C51"/>
    <w:rsid w:val="00F74BAF"/>
    <w:rsid w:val="00FC7BBF"/>
    <w:rsid w:val="00FF0700"/>
    <w:rsid w:val="00FF6AB2"/>
  </w:rsids>
  <m:mathPr>
    <m:mathFont m:val="Cambria Math"/>
    <m:brkBin m:val="before"/>
    <m:brkBinSub m:val="--"/>
    <m:smallFrac m:val="0"/>
    <m:dispDef/>
    <m:lMargin m:val="0"/>
    <m:rMargin m:val="0"/>
    <m:defJc m:val="centerGroup"/>
    <m:wrapIndent m:val="1440"/>
    <m:intLim m:val="subSup"/>
    <m:naryLim m:val="undOvr"/>
  </m:mathPr>
  <w:themeFontLang w:val="en-M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3CEA4AD"/>
  <w15:chartTrackingRefBased/>
  <w15:docId w15:val="{51422A7B-7D12-4F4A-AE73-082DA0F2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3EC"/>
    <w:pPr>
      <w:spacing w:before="120" w:after="120" w:line="240" w:lineRule="auto"/>
      <w:ind w:firstLine="720"/>
      <w:jc w:val="both"/>
    </w:pPr>
    <w:rPr>
      <w:rFonts w:ascii="Arial" w:hAnsi="Arial" w:cs="Arial"/>
    </w:rPr>
  </w:style>
  <w:style w:type="paragraph" w:styleId="Heading1">
    <w:name w:val="heading 1"/>
    <w:basedOn w:val="Normal"/>
    <w:next w:val="Normal"/>
    <w:link w:val="Heading1Char"/>
    <w:uiPriority w:val="9"/>
    <w:qFormat/>
    <w:rsid w:val="00C21E9A"/>
    <w:pPr>
      <w:spacing w:before="360" w:after="240"/>
      <w:outlineLvl w:val="0"/>
    </w:pPr>
    <w:rPr>
      <w:b/>
      <w:bCs/>
    </w:rPr>
  </w:style>
  <w:style w:type="paragraph" w:styleId="Heading2">
    <w:name w:val="heading 2"/>
    <w:basedOn w:val="Normal"/>
    <w:next w:val="Normal"/>
    <w:link w:val="Heading2Char"/>
    <w:uiPriority w:val="9"/>
    <w:unhideWhenUsed/>
    <w:qFormat/>
    <w:rsid w:val="00A116EF"/>
    <w:pPr>
      <w:spacing w:before="240" w:after="240"/>
      <w:outlineLvl w:val="1"/>
    </w:pPr>
    <w:rPr>
      <w:b/>
      <w:bCs/>
    </w:rPr>
  </w:style>
  <w:style w:type="paragraph" w:styleId="Heading3">
    <w:name w:val="heading 3"/>
    <w:basedOn w:val="Normal"/>
    <w:next w:val="Normal"/>
    <w:link w:val="Heading3Char"/>
    <w:uiPriority w:val="9"/>
    <w:semiHidden/>
    <w:unhideWhenUsed/>
    <w:qFormat/>
    <w:rsid w:val="002A3E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3E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3E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3E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E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E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E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E9A"/>
    <w:rPr>
      <w:rFonts w:ascii="Arial" w:hAnsi="Arial" w:cs="Arial"/>
      <w:b/>
      <w:bCs/>
    </w:rPr>
  </w:style>
  <w:style w:type="character" w:customStyle="1" w:styleId="Heading2Char">
    <w:name w:val="Heading 2 Char"/>
    <w:basedOn w:val="DefaultParagraphFont"/>
    <w:link w:val="Heading2"/>
    <w:uiPriority w:val="9"/>
    <w:rsid w:val="00A116EF"/>
    <w:rPr>
      <w:rFonts w:ascii="Arial" w:hAnsi="Arial" w:cs="Arial"/>
      <w:b/>
      <w:bCs/>
    </w:rPr>
  </w:style>
  <w:style w:type="character" w:customStyle="1" w:styleId="Heading3Char">
    <w:name w:val="Heading 3 Char"/>
    <w:basedOn w:val="DefaultParagraphFont"/>
    <w:link w:val="Heading3"/>
    <w:uiPriority w:val="9"/>
    <w:semiHidden/>
    <w:rsid w:val="002A3E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3E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3E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3E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E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E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ECB"/>
    <w:rPr>
      <w:rFonts w:eastAsiaTheme="majorEastAsia" w:cstheme="majorBidi"/>
      <w:color w:val="272727" w:themeColor="text1" w:themeTint="D8"/>
    </w:rPr>
  </w:style>
  <w:style w:type="paragraph" w:styleId="Title">
    <w:name w:val="Title"/>
    <w:basedOn w:val="Heading1"/>
    <w:next w:val="Normal"/>
    <w:link w:val="TitleChar"/>
    <w:uiPriority w:val="10"/>
    <w:qFormat/>
    <w:rsid w:val="00794155"/>
    <w:pPr>
      <w:spacing w:before="0" w:after="0"/>
      <w:ind w:firstLine="0"/>
      <w:jc w:val="center"/>
    </w:pPr>
    <w:rPr>
      <w:lang w:val="mn-MN"/>
    </w:rPr>
  </w:style>
  <w:style w:type="character" w:customStyle="1" w:styleId="TitleChar">
    <w:name w:val="Title Char"/>
    <w:basedOn w:val="DefaultParagraphFont"/>
    <w:link w:val="Title"/>
    <w:uiPriority w:val="10"/>
    <w:rsid w:val="00794155"/>
    <w:rPr>
      <w:rFonts w:ascii="Arial" w:hAnsi="Arial" w:cs="Arial"/>
      <w:b/>
      <w:bCs/>
      <w:lang w:val="mn-MN"/>
    </w:rPr>
  </w:style>
  <w:style w:type="paragraph" w:styleId="Subtitle">
    <w:name w:val="Subtitle"/>
    <w:basedOn w:val="Normal"/>
    <w:next w:val="Normal"/>
    <w:link w:val="SubtitleChar"/>
    <w:uiPriority w:val="11"/>
    <w:qFormat/>
    <w:rsid w:val="002A3ECB"/>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E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ECB"/>
    <w:pPr>
      <w:spacing w:before="160"/>
      <w:jc w:val="center"/>
    </w:pPr>
    <w:rPr>
      <w:i/>
      <w:iCs/>
      <w:color w:val="404040" w:themeColor="text1" w:themeTint="BF"/>
    </w:rPr>
  </w:style>
  <w:style w:type="character" w:customStyle="1" w:styleId="QuoteChar">
    <w:name w:val="Quote Char"/>
    <w:basedOn w:val="DefaultParagraphFont"/>
    <w:link w:val="Quote"/>
    <w:uiPriority w:val="29"/>
    <w:rsid w:val="002A3ECB"/>
    <w:rPr>
      <w:i/>
      <w:iCs/>
      <w:color w:val="404040" w:themeColor="text1" w:themeTint="BF"/>
    </w:rPr>
  </w:style>
  <w:style w:type="paragraph" w:styleId="ListParagraph">
    <w:name w:val="List Paragraph"/>
    <w:basedOn w:val="Normal"/>
    <w:uiPriority w:val="34"/>
    <w:qFormat/>
    <w:rsid w:val="002A3ECB"/>
    <w:pPr>
      <w:ind w:left="720"/>
      <w:contextualSpacing/>
    </w:pPr>
  </w:style>
  <w:style w:type="character" w:styleId="IntenseEmphasis">
    <w:name w:val="Intense Emphasis"/>
    <w:basedOn w:val="DefaultParagraphFont"/>
    <w:uiPriority w:val="21"/>
    <w:qFormat/>
    <w:rsid w:val="002A3ECB"/>
    <w:rPr>
      <w:i/>
      <w:iCs/>
      <w:color w:val="2F5496" w:themeColor="accent1" w:themeShade="BF"/>
    </w:rPr>
  </w:style>
  <w:style w:type="paragraph" w:styleId="IntenseQuote">
    <w:name w:val="Intense Quote"/>
    <w:basedOn w:val="Normal"/>
    <w:next w:val="Normal"/>
    <w:link w:val="IntenseQuoteChar"/>
    <w:uiPriority w:val="30"/>
    <w:qFormat/>
    <w:rsid w:val="002A3E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3ECB"/>
    <w:rPr>
      <w:i/>
      <w:iCs/>
      <w:color w:val="2F5496" w:themeColor="accent1" w:themeShade="BF"/>
    </w:rPr>
  </w:style>
  <w:style w:type="character" w:styleId="IntenseReference">
    <w:name w:val="Intense Reference"/>
    <w:basedOn w:val="DefaultParagraphFont"/>
    <w:uiPriority w:val="32"/>
    <w:qFormat/>
    <w:rsid w:val="002A3ECB"/>
    <w:rPr>
      <w:b/>
      <w:bCs/>
      <w:smallCaps/>
      <w:color w:val="2F5496" w:themeColor="accent1" w:themeShade="BF"/>
      <w:spacing w:val="5"/>
    </w:rPr>
  </w:style>
  <w:style w:type="paragraph" w:styleId="NoSpacing">
    <w:name w:val="No Spacing"/>
    <w:uiPriority w:val="1"/>
    <w:qFormat/>
    <w:rsid w:val="002A3ECB"/>
    <w:pPr>
      <w:spacing w:after="0" w:line="240" w:lineRule="auto"/>
    </w:pPr>
  </w:style>
  <w:style w:type="character" w:customStyle="1" w:styleId="highlight2">
    <w:name w:val="highlight2"/>
    <w:basedOn w:val="DefaultParagraphFont"/>
    <w:rsid w:val="00050C88"/>
  </w:style>
  <w:style w:type="paragraph" w:styleId="NormalWeb">
    <w:name w:val="Normal (Web)"/>
    <w:basedOn w:val="Normal"/>
    <w:link w:val="NormalWebChar"/>
    <w:uiPriority w:val="99"/>
    <w:unhideWhenUsed/>
    <w:qFormat/>
    <w:rsid w:val="003F2989"/>
    <w:pPr>
      <w:spacing w:before="100" w:beforeAutospacing="1" w:after="100" w:afterAutospacing="1"/>
      <w:ind w:firstLine="0"/>
      <w:jc w:val="left"/>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2F42A4"/>
    <w:pPr>
      <w:spacing w:before="0" w:after="0"/>
    </w:pPr>
    <w:rPr>
      <w:sz w:val="20"/>
      <w:szCs w:val="20"/>
    </w:rPr>
  </w:style>
  <w:style w:type="character" w:customStyle="1" w:styleId="FootnoteTextChar">
    <w:name w:val="Footnote Text Char"/>
    <w:basedOn w:val="DefaultParagraphFont"/>
    <w:link w:val="FootnoteText"/>
    <w:uiPriority w:val="99"/>
    <w:semiHidden/>
    <w:rsid w:val="002F42A4"/>
    <w:rPr>
      <w:rFonts w:ascii="Arial" w:hAnsi="Arial" w:cs="Arial"/>
      <w:sz w:val="20"/>
      <w:szCs w:val="20"/>
    </w:rPr>
  </w:style>
  <w:style w:type="character" w:styleId="FootnoteReference">
    <w:name w:val="footnote reference"/>
    <w:basedOn w:val="DefaultParagraphFont"/>
    <w:uiPriority w:val="99"/>
    <w:semiHidden/>
    <w:unhideWhenUsed/>
    <w:rsid w:val="002F42A4"/>
    <w:rPr>
      <w:vertAlign w:val="superscript"/>
    </w:rPr>
  </w:style>
  <w:style w:type="table" w:styleId="TableGrid">
    <w:name w:val="Table Grid"/>
    <w:basedOn w:val="TableNormal"/>
    <w:uiPriority w:val="39"/>
    <w:rsid w:val="003C0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tabletext">
    <w:name w:val="Small table text"/>
    <w:basedOn w:val="Normal"/>
    <w:qFormat/>
    <w:rsid w:val="003C0084"/>
    <w:pPr>
      <w:spacing w:before="0"/>
      <w:ind w:firstLine="0"/>
      <w:jc w:val="left"/>
    </w:pPr>
    <w:rPr>
      <w:rFonts w:eastAsia="Times New Roman"/>
      <w:kern w:val="0"/>
      <w:sz w:val="22"/>
      <w:szCs w:val="22"/>
      <w:lang w:val="mn-MN"/>
      <w14:ligatures w14:val="none"/>
    </w:rPr>
  </w:style>
  <w:style w:type="character" w:customStyle="1" w:styleId="NormalWebChar">
    <w:name w:val="Normal (Web) Char"/>
    <w:link w:val="NormalWeb"/>
    <w:uiPriority w:val="99"/>
    <w:locked/>
    <w:rsid w:val="007D2028"/>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55AAF-7A23-9B48-8954-727E0A0D0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6</Pages>
  <Words>2133</Words>
  <Characters>12162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Macintosh</dc:creator>
  <cp:keywords/>
  <dc:description/>
  <cp:lastModifiedBy>Nergui Banzaarai</cp:lastModifiedBy>
  <cp:revision>37</cp:revision>
  <cp:lastPrinted>2025-12-23T06:52:00Z</cp:lastPrinted>
  <dcterms:created xsi:type="dcterms:W3CDTF">2025-09-14T01:51:00Z</dcterms:created>
  <dcterms:modified xsi:type="dcterms:W3CDTF">2025-12-23T07:00:00Z</dcterms:modified>
</cp:coreProperties>
</file>