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029E" w14:textId="77777777" w:rsidR="00E73BEA" w:rsidRDefault="00E73BEA">
      <w:pPr>
        <w:pStyle w:val="FirstParagraph"/>
        <w:jc w:val="center"/>
        <w:rPr>
          <w:rFonts w:ascii="Arial" w:hAnsi="Arial"/>
          <w:b/>
          <w:bCs/>
        </w:rPr>
      </w:pPr>
    </w:p>
    <w:p w14:paraId="70A12F56" w14:textId="77777777" w:rsidR="00E73BEA" w:rsidRDefault="00E73BEA">
      <w:pPr>
        <w:pStyle w:val="FirstParagraph"/>
        <w:jc w:val="center"/>
        <w:rPr>
          <w:rFonts w:ascii="Arial" w:hAnsi="Arial"/>
          <w:b/>
          <w:bCs/>
        </w:rPr>
      </w:pPr>
    </w:p>
    <w:p w14:paraId="4AF99F44" w14:textId="77777777" w:rsidR="00E73BEA" w:rsidRDefault="00E73BEA">
      <w:pPr>
        <w:pStyle w:val="FirstParagraph"/>
        <w:jc w:val="center"/>
        <w:rPr>
          <w:rFonts w:ascii="Arial" w:hAnsi="Arial"/>
          <w:b/>
          <w:bCs/>
        </w:rPr>
      </w:pPr>
    </w:p>
    <w:p w14:paraId="284314D3" w14:textId="77777777" w:rsidR="00E73BEA" w:rsidRDefault="00E73BEA">
      <w:pPr>
        <w:pStyle w:val="FirstParagraph"/>
        <w:jc w:val="center"/>
        <w:rPr>
          <w:rFonts w:ascii="Arial" w:hAnsi="Arial"/>
          <w:b/>
          <w:bCs/>
        </w:rPr>
      </w:pPr>
    </w:p>
    <w:p w14:paraId="1F0AE78A" w14:textId="77777777" w:rsidR="00E73BEA" w:rsidRDefault="00E73BEA">
      <w:pPr>
        <w:pStyle w:val="FirstParagraph"/>
        <w:jc w:val="center"/>
        <w:rPr>
          <w:rFonts w:ascii="Arial" w:hAnsi="Arial"/>
          <w:b/>
          <w:bCs/>
        </w:rPr>
      </w:pPr>
    </w:p>
    <w:p w14:paraId="316E3B34" w14:textId="77777777" w:rsidR="00E73BEA" w:rsidRDefault="00E73BEA">
      <w:pPr>
        <w:pStyle w:val="FirstParagraph"/>
        <w:jc w:val="center"/>
        <w:rPr>
          <w:rFonts w:ascii="Arial" w:hAnsi="Arial"/>
          <w:b/>
          <w:bCs/>
        </w:rPr>
      </w:pPr>
    </w:p>
    <w:p w14:paraId="38A0070B" w14:textId="77777777" w:rsidR="00E73BEA" w:rsidRDefault="00E73BEA">
      <w:pPr>
        <w:pStyle w:val="FirstParagraph"/>
        <w:jc w:val="center"/>
        <w:rPr>
          <w:rFonts w:ascii="Arial" w:hAnsi="Arial"/>
          <w:b/>
          <w:bCs/>
        </w:rPr>
      </w:pPr>
    </w:p>
    <w:p w14:paraId="69A88A96" w14:textId="77777777" w:rsidR="00E73BEA" w:rsidRDefault="00E73BEA">
      <w:pPr>
        <w:pStyle w:val="FirstParagraph"/>
        <w:jc w:val="center"/>
        <w:rPr>
          <w:rFonts w:ascii="Arial" w:hAnsi="Arial"/>
          <w:b/>
          <w:bCs/>
        </w:rPr>
      </w:pPr>
    </w:p>
    <w:p w14:paraId="104119AC" w14:textId="77777777" w:rsidR="00E73BEA" w:rsidRDefault="00E73BEA">
      <w:pPr>
        <w:pStyle w:val="FirstParagraph"/>
        <w:jc w:val="center"/>
        <w:rPr>
          <w:rFonts w:ascii="Arial" w:hAnsi="Arial"/>
          <w:b/>
          <w:bCs/>
        </w:rPr>
      </w:pPr>
    </w:p>
    <w:p w14:paraId="2973C7DE" w14:textId="77777777" w:rsidR="00E73BEA" w:rsidRDefault="00E73BEA">
      <w:pPr>
        <w:pStyle w:val="FirstParagraph"/>
        <w:jc w:val="center"/>
        <w:rPr>
          <w:rFonts w:ascii="Arial" w:hAnsi="Arial"/>
          <w:b/>
          <w:bCs/>
        </w:rPr>
      </w:pPr>
    </w:p>
    <w:p w14:paraId="785D587D" w14:textId="77777777" w:rsidR="00E73BEA" w:rsidRPr="00E73BEA" w:rsidRDefault="00E73BEA" w:rsidP="00E73BEA">
      <w:pPr>
        <w:pStyle w:val="BodyText"/>
      </w:pPr>
    </w:p>
    <w:p w14:paraId="4C9D7A9A" w14:textId="77777777" w:rsidR="000854C2" w:rsidRDefault="00E73BEA" w:rsidP="00E73BEA">
      <w:pPr>
        <w:pStyle w:val="FirstParagraph"/>
        <w:jc w:val="center"/>
        <w:rPr>
          <w:rFonts w:ascii="Arial" w:hAnsi="Arial"/>
          <w:b/>
          <w:bCs/>
        </w:rPr>
      </w:pPr>
      <w:r>
        <w:rPr>
          <w:rFonts w:ascii="Arial" w:hAnsi="Arial"/>
          <w:b/>
          <w:bCs/>
        </w:rPr>
        <w:t xml:space="preserve">“ЭДИЙН ЗАСГИЙН ЭРХ ЧӨЛӨӨНИЙ ТУХАЙ” ХУУЛИЙН ТӨСЛИЙН </w:t>
      </w:r>
    </w:p>
    <w:p w14:paraId="4D92F3B2" w14:textId="21336B06" w:rsidR="00E73BEA" w:rsidRDefault="00E73BEA" w:rsidP="00E73BEA">
      <w:pPr>
        <w:pStyle w:val="FirstParagraph"/>
        <w:jc w:val="center"/>
        <w:rPr>
          <w:rFonts w:ascii="Arial" w:hAnsi="Arial"/>
          <w:b/>
          <w:bCs/>
        </w:rPr>
      </w:pPr>
      <w:r>
        <w:rPr>
          <w:rFonts w:ascii="Arial" w:hAnsi="Arial"/>
          <w:b/>
          <w:bCs/>
        </w:rPr>
        <w:t>ТОВЧ ТАНИЛЦУУЛГА</w:t>
      </w:r>
    </w:p>
    <w:p w14:paraId="232A60E5" w14:textId="77777777" w:rsidR="00E73BEA" w:rsidRDefault="00E73BEA">
      <w:pPr>
        <w:pStyle w:val="FirstParagraph"/>
        <w:jc w:val="center"/>
        <w:rPr>
          <w:rFonts w:ascii="Arial" w:hAnsi="Arial"/>
          <w:b/>
          <w:bCs/>
        </w:rPr>
      </w:pPr>
    </w:p>
    <w:p w14:paraId="7E1D2194" w14:textId="77777777" w:rsidR="00E73BEA" w:rsidRDefault="00E73BEA">
      <w:pPr>
        <w:pStyle w:val="FirstParagraph"/>
        <w:jc w:val="center"/>
        <w:rPr>
          <w:rFonts w:ascii="Arial" w:hAnsi="Arial"/>
          <w:b/>
          <w:bCs/>
        </w:rPr>
      </w:pPr>
    </w:p>
    <w:p w14:paraId="545F03CA" w14:textId="77777777" w:rsidR="00E73BEA" w:rsidRDefault="00E73BEA">
      <w:pPr>
        <w:pStyle w:val="FirstParagraph"/>
        <w:jc w:val="center"/>
        <w:rPr>
          <w:rFonts w:ascii="Arial" w:hAnsi="Arial"/>
          <w:b/>
          <w:bCs/>
        </w:rPr>
      </w:pPr>
    </w:p>
    <w:p w14:paraId="01CDD303" w14:textId="77777777" w:rsidR="00E73BEA" w:rsidRDefault="00E73BEA">
      <w:pPr>
        <w:pStyle w:val="FirstParagraph"/>
        <w:jc w:val="center"/>
        <w:rPr>
          <w:rFonts w:ascii="Arial" w:hAnsi="Arial"/>
          <w:b/>
          <w:bCs/>
        </w:rPr>
      </w:pPr>
    </w:p>
    <w:p w14:paraId="2E28AE46" w14:textId="77777777" w:rsidR="00E73BEA" w:rsidRDefault="00E73BEA">
      <w:pPr>
        <w:pStyle w:val="FirstParagraph"/>
        <w:jc w:val="center"/>
        <w:rPr>
          <w:rFonts w:ascii="Arial" w:hAnsi="Arial"/>
          <w:b/>
          <w:bCs/>
        </w:rPr>
      </w:pPr>
    </w:p>
    <w:p w14:paraId="01E261BE" w14:textId="77777777" w:rsidR="00E73BEA" w:rsidRDefault="00E73BEA">
      <w:pPr>
        <w:pStyle w:val="FirstParagraph"/>
        <w:jc w:val="center"/>
        <w:rPr>
          <w:rFonts w:ascii="Arial" w:hAnsi="Arial"/>
          <w:b/>
          <w:bCs/>
        </w:rPr>
      </w:pPr>
    </w:p>
    <w:p w14:paraId="10E6E5F4" w14:textId="77777777" w:rsidR="00E73BEA" w:rsidRDefault="00E73BEA">
      <w:pPr>
        <w:pStyle w:val="FirstParagraph"/>
        <w:jc w:val="center"/>
        <w:rPr>
          <w:rFonts w:ascii="Arial" w:hAnsi="Arial"/>
          <w:b/>
          <w:bCs/>
        </w:rPr>
      </w:pPr>
    </w:p>
    <w:p w14:paraId="64BFE22E" w14:textId="77777777" w:rsidR="00E73BEA" w:rsidRDefault="00E73BEA">
      <w:pPr>
        <w:pStyle w:val="FirstParagraph"/>
        <w:jc w:val="center"/>
        <w:rPr>
          <w:rFonts w:ascii="Arial" w:hAnsi="Arial"/>
          <w:b/>
          <w:bCs/>
        </w:rPr>
      </w:pPr>
    </w:p>
    <w:p w14:paraId="43323D51" w14:textId="77777777" w:rsidR="00E73BEA" w:rsidRDefault="00E73BEA">
      <w:pPr>
        <w:pStyle w:val="FirstParagraph"/>
        <w:jc w:val="center"/>
        <w:rPr>
          <w:rFonts w:ascii="Arial" w:hAnsi="Arial"/>
          <w:b/>
          <w:bCs/>
        </w:rPr>
      </w:pPr>
    </w:p>
    <w:p w14:paraId="038783A6" w14:textId="77777777" w:rsidR="00E73BEA" w:rsidRDefault="00E73BEA">
      <w:pPr>
        <w:pStyle w:val="FirstParagraph"/>
        <w:jc w:val="center"/>
        <w:rPr>
          <w:rFonts w:ascii="Arial" w:hAnsi="Arial"/>
          <w:b/>
          <w:bCs/>
        </w:rPr>
      </w:pPr>
    </w:p>
    <w:p w14:paraId="19BA4C97" w14:textId="77777777" w:rsidR="00E73BEA" w:rsidRDefault="00E73BEA">
      <w:pPr>
        <w:pStyle w:val="FirstParagraph"/>
        <w:jc w:val="center"/>
        <w:rPr>
          <w:rFonts w:ascii="Arial" w:hAnsi="Arial"/>
          <w:b/>
          <w:bCs/>
        </w:rPr>
      </w:pPr>
    </w:p>
    <w:p w14:paraId="27F3BC9B" w14:textId="77777777" w:rsidR="00E73BEA" w:rsidRDefault="00E73BEA">
      <w:pPr>
        <w:pStyle w:val="FirstParagraph"/>
        <w:jc w:val="center"/>
        <w:rPr>
          <w:rFonts w:ascii="Arial" w:hAnsi="Arial"/>
          <w:b/>
          <w:bCs/>
        </w:rPr>
      </w:pPr>
    </w:p>
    <w:p w14:paraId="15B4A10C" w14:textId="77777777" w:rsidR="00E73BEA" w:rsidRDefault="00E73BEA" w:rsidP="002E7DC3">
      <w:pPr>
        <w:pStyle w:val="FirstParagraph"/>
        <w:rPr>
          <w:rFonts w:ascii="Arial" w:hAnsi="Arial"/>
          <w:b/>
          <w:bCs/>
        </w:rPr>
      </w:pPr>
    </w:p>
    <w:p w14:paraId="6BBC259C" w14:textId="0FD3C3C0" w:rsidR="00E73BEA" w:rsidRPr="00E73BEA" w:rsidRDefault="00E73BEA" w:rsidP="00E73BEA">
      <w:pPr>
        <w:pStyle w:val="BodyText"/>
        <w:jc w:val="center"/>
        <w:rPr>
          <w:rFonts w:ascii="Arial" w:hAnsi="Arial" w:cs="Arial"/>
          <w:b/>
          <w:bCs/>
          <w:lang w:val="mn-MN"/>
        </w:rPr>
      </w:pPr>
      <w:r>
        <w:rPr>
          <w:rFonts w:ascii="Arial" w:hAnsi="Arial" w:cs="Arial"/>
          <w:b/>
          <w:bCs/>
          <w:lang w:val="mn-MN"/>
        </w:rPr>
        <w:t>Улаанбаатар хот, 202</w:t>
      </w:r>
      <w:r w:rsidR="002E7DC3">
        <w:rPr>
          <w:rFonts w:ascii="Arial" w:hAnsi="Arial" w:cs="Arial"/>
          <w:b/>
          <w:bCs/>
          <w:lang w:val="mn-MN"/>
        </w:rPr>
        <w:t>5</w:t>
      </w:r>
    </w:p>
    <w:p w14:paraId="29770369" w14:textId="611C4CA1" w:rsidR="003F2BC9" w:rsidRDefault="00000000">
      <w:pPr>
        <w:pStyle w:val="FirstParagraph"/>
        <w:jc w:val="center"/>
        <w:rPr>
          <w:rFonts w:ascii="Arial" w:hAnsi="Arial"/>
          <w:b/>
          <w:bCs/>
        </w:rPr>
      </w:pPr>
      <w:r>
        <w:rPr>
          <w:rFonts w:ascii="Arial" w:hAnsi="Arial"/>
          <w:b/>
          <w:bCs/>
        </w:rPr>
        <w:lastRenderedPageBreak/>
        <w:t>“ЭДИЙН ЗАСГИЙН ЭРХ ЧӨЛӨӨНИЙ ТУХАЙ” ХУУЛИЙН ТӨСЛИЙН ТОВЧ ТАНИЛЦУУЛГА</w:t>
      </w:r>
    </w:p>
    <w:p w14:paraId="55CA9980" w14:textId="77777777" w:rsidR="003F2BC9" w:rsidRDefault="003F2BC9">
      <w:pPr>
        <w:pStyle w:val="BodyText"/>
        <w:rPr>
          <w:rFonts w:ascii="Arial" w:hAnsi="Arial"/>
        </w:rPr>
      </w:pPr>
    </w:p>
    <w:p w14:paraId="586FB2D8" w14:textId="77777777" w:rsidR="003F2BC9" w:rsidRDefault="00000000" w:rsidP="00241311">
      <w:pPr>
        <w:pStyle w:val="BodyText"/>
        <w:jc w:val="both"/>
        <w:rPr>
          <w:rFonts w:ascii="Arial" w:hAnsi="Arial"/>
        </w:rPr>
      </w:pPr>
      <w:r>
        <w:rPr>
          <w:rFonts w:ascii="Arial" w:hAnsi="Arial"/>
        </w:rPr>
        <w:t>Монгол Улсын Үндсэн хуулийн Тавдугаар зүйлийн 2 дахь хэсэгт “Төр нь нийтийн болон хувийн өмчийн аливаа хэлбэрийг хүлээн зөвшөөрч, өмчлөгчийн эрхийг хуулиар хамгаална” гэж, мөн Арван зургадугаар зүйлийн 3 дахь хэсэгт Монгол Улсын иргэн “… хөдлөх, үл хөдлөх хөрөнгө хувийн өмчлөх”, 4 дэх хэсэгт “…ажил мэргэжлээ чөлөөтэй сонгох… хувийн аж ахуй эрхлэх эрхтэй” гэж тус тус баталгаажуулсан байдаг.</w:t>
      </w:r>
    </w:p>
    <w:p w14:paraId="502CDF29" w14:textId="77777777" w:rsidR="003F2BC9" w:rsidRDefault="00000000" w:rsidP="00241311">
      <w:pPr>
        <w:pStyle w:val="BodyText"/>
        <w:jc w:val="both"/>
        <w:rPr>
          <w:rFonts w:ascii="Arial" w:hAnsi="Arial"/>
        </w:rPr>
      </w:pPr>
      <w:r>
        <w:rPr>
          <w:rFonts w:ascii="Arial" w:hAnsi="Arial"/>
        </w:rPr>
        <w:t>Гэвч эдгээр Үндсэн хуулийн заалтыг бодит амьдралд хэрэгжүүлэх, хамгаалах эрх зүйн нэгдсэн, суурь тогтолцоо дутагдалтай байсны улмаас эдийн засгийн харилцааг зохицуулсан олон арван салбар хууль тогтоомж нь нэгдсэн үзэл баримтлалгүйгээр, зарим тохиолдолд хоорондоо зөрчилтэйгээр батлагдаж ирсэн. Энэхүү эрх зүйн орчны тогтворгүй, зөрчилтэй байдал нь улс орны эдийн засгийн хөгжилд сөргөөр нөлөөлж, өрсөлдөх чадварыг бууруулж буйг олон улсын хараат бус судалгаа, үнэлгээ харуулж байна.</w:t>
      </w:r>
    </w:p>
    <w:p w14:paraId="647A07CD" w14:textId="77777777" w:rsidR="003F2BC9" w:rsidRDefault="00000000" w:rsidP="00241311">
      <w:pPr>
        <w:pStyle w:val="BodyText"/>
        <w:jc w:val="both"/>
        <w:rPr>
          <w:rFonts w:ascii="Arial" w:hAnsi="Arial"/>
        </w:rPr>
      </w:pPr>
      <w:r>
        <w:rPr>
          <w:rFonts w:ascii="Arial" w:hAnsi="Arial"/>
        </w:rPr>
        <w:t>Тухайлбал, АНУ-ын “Heritage Foundation”-аас эрхлэн гаргадаг “Эдийн засгийн эрх чөлөөний индекс”-ийн 2025 оны үнэлгээгээр Монгол Улс 62.6 оноо авч, дэлхийн 184 орноос 74 дүгээр байранд эрэмбэлэгдсэн бөгөөд ялангуяа “Өмчийн эрхийн хамгаалалт” (49.0/100), “Төрийн үйл ажиллагааны шударга байдал” (35.0/100), “Шүүхийн үр нөлөө” (45.1/100) зэрэг хууль дээдлэх ёсны суурь үзүүлэлтүүд туйлын хангалтгүй үнэлэгдсэн нь хөрөнгө оруулалтын орчны эрсдэлийг нэмэгдүүлж, бизнесийн өсөлтийг боомилж байна.</w:t>
      </w:r>
    </w:p>
    <w:p w14:paraId="388A307E" w14:textId="77777777" w:rsidR="003F2BC9" w:rsidRDefault="00000000" w:rsidP="00241311">
      <w:pPr>
        <w:pStyle w:val="BodyText"/>
        <w:jc w:val="both"/>
        <w:rPr>
          <w:rFonts w:ascii="Arial" w:hAnsi="Arial"/>
        </w:rPr>
      </w:pPr>
      <w:r>
        <w:rPr>
          <w:rFonts w:ascii="Arial" w:hAnsi="Arial"/>
        </w:rPr>
        <w:t>Иймд Монгол Улсын Үндсэн хуулийн дээр дурдсан үзэл санааг бодит агуулгаар баяжуулах, эдийн засгийн харилцааг зохицуулсан бусад хууль тогтоомжийг тайлбарлах, хэрэглэхэд баримтлах суурь зарчмыг тогтоох, улмаар хууль дээдлэх ёсонд суурилсан, тогтвортой, урьдчилан таамаглахуйц, шударга эрх зүйн орчныг бүрдүүлэх зорилгоор “Эдийн засгийн эрх чөлөөний тухай” хуулийн төслийг боловсрууллаа.</w:t>
      </w:r>
    </w:p>
    <w:p w14:paraId="287336A1" w14:textId="77777777" w:rsidR="003F2BC9" w:rsidRDefault="00000000" w:rsidP="00241311">
      <w:pPr>
        <w:pStyle w:val="BodyText"/>
        <w:jc w:val="both"/>
        <w:rPr>
          <w:rFonts w:ascii="Arial" w:hAnsi="Arial"/>
        </w:rPr>
      </w:pPr>
      <w:r>
        <w:rPr>
          <w:rFonts w:ascii="Arial" w:hAnsi="Arial"/>
        </w:rPr>
        <w:t>Хуулийн төсөл нь эдийн засгийн харилцааны эрх зүйн суурийг цэгцлэх, Үндсэн хуулийн зарчмыг бодит агуулгаар баталгаажуулах хүрээнд дараах зарчмын шинжтэй зохицуулалтыг тусгасан болно. Үүнд:</w:t>
      </w:r>
    </w:p>
    <w:p w14:paraId="670384B2" w14:textId="77777777" w:rsidR="003F2BC9" w:rsidRDefault="00000000" w:rsidP="00241311">
      <w:pPr>
        <w:numPr>
          <w:ilvl w:val="0"/>
          <w:numId w:val="7"/>
        </w:numPr>
        <w:jc w:val="both"/>
        <w:rPr>
          <w:rFonts w:ascii="Arial" w:hAnsi="Arial"/>
        </w:rPr>
      </w:pPr>
      <w:r>
        <w:rPr>
          <w:rFonts w:ascii="Arial" w:hAnsi="Arial"/>
        </w:rPr>
        <w:t>Хууль ёсоор олж авсан өмчийн халдашгүй, дархан байдлыг баталгаажуулж, түүнд зөвхөн нийтийн зайлшгүй хэрэгцээг үндэслэн, шүүхийн шийдвэр, зах зээлийн бодит үнээр урьдчилан олгосон нөхөн олговортойгоор халдах нарийвчилсан журмыг тогтоосон;</w:t>
      </w:r>
    </w:p>
    <w:p w14:paraId="0D068213" w14:textId="77777777" w:rsidR="003F2BC9" w:rsidRDefault="00000000" w:rsidP="00241311">
      <w:pPr>
        <w:numPr>
          <w:ilvl w:val="0"/>
          <w:numId w:val="8"/>
        </w:numPr>
        <w:jc w:val="both"/>
        <w:rPr>
          <w:rFonts w:ascii="Arial" w:hAnsi="Arial"/>
        </w:rPr>
      </w:pPr>
      <w:r>
        <w:rPr>
          <w:rFonts w:ascii="Arial" w:hAnsi="Arial"/>
        </w:rPr>
        <w:t>Иргэн, хуулийн этгээдийн эрх зүйн байдлыг дордуулсан татварын болон бусад хууль тогтоомжийг буцаан хэрэглэхийг хориглож, эрх зүйн орчны тогтвортой байдлыг хангах;</w:t>
      </w:r>
    </w:p>
    <w:p w14:paraId="4DB8CB79" w14:textId="77777777" w:rsidR="003F2BC9" w:rsidRDefault="00000000" w:rsidP="00241311">
      <w:pPr>
        <w:numPr>
          <w:ilvl w:val="0"/>
          <w:numId w:val="9"/>
        </w:numPr>
        <w:jc w:val="both"/>
        <w:rPr>
          <w:rFonts w:ascii="Arial" w:hAnsi="Arial"/>
        </w:rPr>
      </w:pPr>
      <w:r>
        <w:rPr>
          <w:rFonts w:ascii="Arial" w:hAnsi="Arial"/>
        </w:rPr>
        <w:lastRenderedPageBreak/>
        <w:t>Талууд сайн дурын үндсэн дээр байгуулсан гэрээний эрх чөлөөг төр хүндэтгэх бөгөөд түүний биелэлтийг шударга, хараат бус шүүхээр хамгаалах баталгааг бий болгосон;</w:t>
      </w:r>
    </w:p>
    <w:p w14:paraId="4562C01E" w14:textId="77777777" w:rsidR="003F2BC9" w:rsidRDefault="00000000" w:rsidP="00241311">
      <w:pPr>
        <w:numPr>
          <w:ilvl w:val="0"/>
          <w:numId w:val="10"/>
        </w:numPr>
        <w:jc w:val="both"/>
        <w:rPr>
          <w:rFonts w:ascii="Arial" w:hAnsi="Arial"/>
        </w:rPr>
      </w:pPr>
      <w:r>
        <w:rPr>
          <w:rFonts w:ascii="Arial" w:hAnsi="Arial"/>
        </w:rPr>
        <w:t>Хуулиар хориглоогүй аливаа аж ахуйн үйл ажиллагааг чөлөөтэй эрхлэх эрхийг баталгаажуулж, шударга өрсөлдөөний орчныг бүрдүүлэх үүргийг төрд хүлээлгэсэн;</w:t>
      </w:r>
    </w:p>
    <w:p w14:paraId="78710C99" w14:textId="77777777" w:rsidR="003F2BC9" w:rsidRDefault="00000000" w:rsidP="00241311">
      <w:pPr>
        <w:numPr>
          <w:ilvl w:val="0"/>
          <w:numId w:val="11"/>
        </w:numPr>
        <w:jc w:val="both"/>
        <w:rPr>
          <w:rFonts w:ascii="Arial" w:hAnsi="Arial"/>
        </w:rPr>
      </w:pPr>
      <w:r>
        <w:rPr>
          <w:rFonts w:ascii="Arial" w:hAnsi="Arial"/>
        </w:rPr>
        <w:t>Энэхүү хуульд заасан эдийн засгийн суурь эрхийг зөвхөн Үндсэн хуульд заасан нийтийн эрх ашгийн үүднээс, зөвхөн хуулиар, зайлшгүй шаардлагатай, хамгийн бага хэмжээнд хязгаарлах зарчмыг тодорхойлсон.</w:t>
      </w:r>
    </w:p>
    <w:p w14:paraId="23FD3149" w14:textId="77777777" w:rsidR="003F2BC9" w:rsidRDefault="00000000" w:rsidP="00241311">
      <w:pPr>
        <w:pStyle w:val="BodyText"/>
        <w:jc w:val="both"/>
        <w:rPr>
          <w:rFonts w:ascii="Arial" w:hAnsi="Arial"/>
        </w:rPr>
      </w:pPr>
      <w:r>
        <w:rPr>
          <w:rFonts w:ascii="Arial" w:hAnsi="Arial"/>
        </w:rPr>
        <w:t>Хууль батлагдсанаар төрийн дур зоргыг хязгаарлаж, иргэн, аж ахуйн нэгжийн эрхийг баталгаажуулснаар хуулийн засаглал бэхжиж, хөрөнгө оруулалтын орчин сайжирч, эдийн засгийн тогтвортой өсөлтийг хангах суурь нөхцөл бүрдэх бөгөөд төрд итгэх олон нийтийн итгэлийг нэмэгдүүлэхэд чухал ач холбогдолтой гэж үзэж байна.</w:t>
      </w:r>
    </w:p>
    <w:p w14:paraId="43587FFB" w14:textId="77777777" w:rsidR="003F2BC9" w:rsidRDefault="00000000" w:rsidP="00241311">
      <w:pPr>
        <w:pStyle w:val="BodyText"/>
        <w:jc w:val="both"/>
        <w:rPr>
          <w:rFonts w:ascii="Arial" w:hAnsi="Arial"/>
        </w:rPr>
      </w:pPr>
      <w:r>
        <w:rPr>
          <w:rFonts w:ascii="Arial" w:hAnsi="Arial"/>
        </w:rPr>
        <w:t>Хуулийн төсөлд тусгагдсан эдгээр зарчмуудаас өмчийн эрхийн халдашгүй байдлыг баталгаажуулсан зохицуулалт нь эдийн засгийн тогтвортой байдлын суурь болдог. “Heritage Foundation”-ийн “Өмчийн эрхийн хамгаалалт” үзүүлэлтээр Монгол Улс 49.0 гэсэн туйлын хангалтгүй үнэлгээ авсан нь хууль ёсны өмчлөгчийн эрх нь бодит амьдрал дээр зөрчигдөх эрсдэл өндөр, төрийн зүгээс “нийтийн зайлшгүй хэрэгцээ” гэсэн тодорхойгүй үндэслэлээр хувийн өмчид халдах боломжтой, шүүхийн хамгаалалт сул байгаагийн илрэл юм. Энэхүү эрх зүйн орчны доголдол нь иргэд, аж ахуйн нэгжүүдийг урт хугацааны хөрөнгө оруулалт хийх, хуримтлал үүсгэх сонирхолгүй болгож, эдийн засгийн хөгжлийг сааруулж буй гол шалтгаануудын нэг болсон.</w:t>
      </w:r>
    </w:p>
    <w:p w14:paraId="35329E72" w14:textId="77777777" w:rsidR="003F2BC9" w:rsidRDefault="00000000" w:rsidP="00241311">
      <w:pPr>
        <w:pStyle w:val="BodyText"/>
        <w:jc w:val="both"/>
        <w:rPr>
          <w:rFonts w:ascii="Arial" w:hAnsi="Arial"/>
        </w:rPr>
      </w:pPr>
      <w:r>
        <w:rPr>
          <w:rFonts w:ascii="Arial" w:hAnsi="Arial"/>
        </w:rPr>
        <w:t>Иймд хуулийн төслийн долдугаар зүйлд хувийн өмчийг дайчлан авах ажиллагаанд зөвхөн “нийтийн зайлшгүй хэрэгцээ”-г үндэслэх, энэхүү хэрэгцээг зөвхөн “шүүхийн шийдвэр”-ээр нотлох, нөхөн олговрыг “зах зээлийн бодит үнэ”-ээр “урьдчилан” олгох гэсэн дөрвөн давхар хамгаалалтын механизмыг хуульчилсан болно. Энэхүү зохицуулалт нь төрийн дур зоргыг бодитойгоор хязгаарлаж, өмчлөгчийн эрхийг олон улсын жишигт нийцсэн түвшинд хамгаалах эрх зүйн бат бэх орчныг бүрдүүлнэ.</w:t>
      </w:r>
    </w:p>
    <w:p w14:paraId="71F54238" w14:textId="77777777" w:rsidR="003F2BC9" w:rsidRDefault="00000000" w:rsidP="00241311">
      <w:pPr>
        <w:pStyle w:val="BodyText"/>
        <w:jc w:val="both"/>
        <w:rPr>
          <w:rFonts w:ascii="Arial" w:hAnsi="Arial"/>
        </w:rPr>
      </w:pPr>
      <w:r>
        <w:rPr>
          <w:rFonts w:ascii="Arial" w:hAnsi="Arial"/>
        </w:rPr>
        <w:t>Түүнчлэн, наймдугаар зүйлд тусгагдсан “Татварын хууль тогтоомжийг иргэн, хуулийн этгээдийн эрх зүйн байдлыг дордуулсан байдлаар буцаан хэрэглэхийг хориглоно” гэсэн заалт нь хөрөнгө оруулалтын орчны хамгийн том сорилт болох эрх зүйн тогтворгүй, урьдчилан таамаглах боломжгүй байдлыг арилгахад чиглэгдсэн. Татварын болон бусад хууль тогтоомжийг байнга өөрчилдөг, зарим тохиолдолд буцаан хэрэглэж их хэмжээний нөхөн татвар, торгууль ногдуулдаг явдал нь бизнес эрхлэгчдийн төрд итгэх итгэлийг устгаж, урт хугацааны бизнес төлөвлөлт хийх боломжийг хязгаарладаг. Энэхүү заалт нь хөрөнгө оруулагчдад төрөөс өгч буй бат бэх баталгаа болж, “тоглоомын дүрмийг дундаас нь өөрчилдөггүй” гэсэн итгэлийг бий болгож, төр ба хувийн хэвшлийн хоорондын итгэлцлийг сэргээхэд чиглэгдэнэ.</w:t>
      </w:r>
    </w:p>
    <w:p w14:paraId="68FA5122" w14:textId="77777777" w:rsidR="003F2BC9" w:rsidRDefault="00000000" w:rsidP="00241311">
      <w:pPr>
        <w:pStyle w:val="BodyText"/>
        <w:jc w:val="both"/>
        <w:rPr>
          <w:rFonts w:ascii="Arial" w:hAnsi="Arial"/>
        </w:rPr>
      </w:pPr>
      <w:r>
        <w:rPr>
          <w:rFonts w:ascii="Arial" w:hAnsi="Arial"/>
        </w:rPr>
        <w:lastRenderedPageBreak/>
        <w:t>Хуулийн төсөлд тусгагдсан дараагийн чухал зарчим бол есдүгээр зүйлд заасан гэрээний эрх чөлөө юм. Эдийн засгийн харилцаа нь талуудын сайн дурын үндсэн дээр, харилцан ашигтай байдлаар байгуулсан гэрээгээр дамжин хэрэгждэг. Гэвч гэрээний үүргээ биелүүлээгүй талд хариуцлага хүлээлгэх, хохирлыг барагдуулах шүүхийн процесс нь хэт удаан, зардал өндөртэй, үр дүн нь тодорхойгүй байх нь гэрээний эрх чөлөөний зарчмыг бодит амьдрал дээр үнэгүйдүүлдэг. “World Justice Project”-ийн “Хууль дээдлэх ёс 2023” тайланд Монгол Улс “Иргэний эрх зүйн шударга ёс” гэсэн дэд үзүүлэлтээр дэлхийн 142 орноос 103-т эрэмбэлэгдсэн нь гэрээний маргааныг шүүхээр шударга, шуурхай шийдвэрлүүлэх боломж хангалтгүй байгааг илтгэнэ.</w:t>
      </w:r>
    </w:p>
    <w:p w14:paraId="660769AE" w14:textId="77777777" w:rsidR="003F2BC9" w:rsidRDefault="00000000" w:rsidP="00241311">
      <w:pPr>
        <w:pStyle w:val="BodyText"/>
        <w:jc w:val="both"/>
        <w:rPr>
          <w:rFonts w:ascii="Arial" w:hAnsi="Arial"/>
        </w:rPr>
      </w:pPr>
      <w:r>
        <w:rPr>
          <w:rFonts w:ascii="Arial" w:hAnsi="Arial"/>
        </w:rPr>
        <w:t>Энэхүү институцийн сул байдал нь эдийн засагт “гүйлгээний зардал”-ыг эрс нэмэгдүүлж, бизнес эрхлэгчдийг албан ёсны гэрээ байгуулахаас зайлсхийхэд хүргэдэг бөгөөд энэ нь эдийн засгийн цар хүрээг хязгаарлаж, томоохон, нарийн төвөгтэй төсөл хэрэгжүүлэхэд саад тотгор болдог. Иймд хуулийн төслийн 6.2 дахь хэсэгт “Төр нь … байгуулсан гэрээг шударга, хараат бус шүүхээр хамгаалах баталгааг хангана” хэмээн зааж, төрд анх удаа эдийн засгийн харилцааны энэхүү суурь институцийг хамгаалах идэвхтэй, эерэг үүргийг хуулиар ногдуулж байна. Энэ нь төрийг зөвхөн гэрээний харилцаанд хөндлөнгөөс оролцохгүй байх сөрөг үүргээс гадна, гэрээний үүрэг зөрчигдсөн тохиолдолд түүнийг бодитойгоор шийдвэрлэх институцийн чадавхыг бэхжүүлэх эерэг үүрэг хүлээлгэж байгаагаараа онцлог юм.</w:t>
      </w:r>
    </w:p>
    <w:p w14:paraId="456E1A5E" w14:textId="77777777" w:rsidR="003F2BC9" w:rsidRDefault="00000000" w:rsidP="00241311">
      <w:pPr>
        <w:pStyle w:val="BodyText"/>
        <w:jc w:val="both"/>
        <w:rPr>
          <w:rFonts w:ascii="Arial" w:hAnsi="Arial"/>
        </w:rPr>
      </w:pPr>
      <w:r>
        <w:rPr>
          <w:rFonts w:ascii="Arial" w:hAnsi="Arial"/>
        </w:rPr>
        <w:t>Түүнчлэн, аравдугаар зүйлд аж ахуй эрхлэх, чөлөөтэй өрсөлдөх эрхийг баталгаажуулсан. Бодит байдал дээр бизнес эрхлэгчид үйл ажиллагаагаа явуулахын тулд олон арван хууль, дүрмийн дагуу тоо томшгүй олон зөвшөөрөл, лицензийг хэд хэдэн төрийн байгууллагаас авах шаардлагатай болдог нь хүнд суртал үүсгэж, авлигын эрсдэлийг нэмэгдүүлдэг. Иймд хуулийн төслийн 7.1 дэх хэсэгт “Хувь хүн, хуулийн этгээд нь хуулиар хориглоогүй аливаа аж ахуйн үйл ажиллагааг чөлөөтэй эрхлэх эрхтэй” хэмээн заасан нь “төр зөвшөөрвөл хийнэ” гэсэн хүнд сурталт сэтгэлгээнээс “хуулиар хориглоогүй л бол хийх нь иргэний суурь эрх” гэсэн зарчимд шилжих эрх зүйн үндэс болно. Энэ нь төрийн байгууллагууд дур мэдэн, шинээр зөвшөөрөл, хориг хязгаарлалт бий болгох боломжийг хааж, аливаа зохицуулалт нь нийтийн эрх ашигт зайлшгүй шаардлагатай гэдгээ нотлох үүргийг төрд хүлээлгэх юм.</w:t>
      </w:r>
    </w:p>
    <w:p w14:paraId="2BF6600A" w14:textId="77777777" w:rsidR="003F2BC9" w:rsidRDefault="00000000" w:rsidP="00241311">
      <w:pPr>
        <w:pStyle w:val="BodyText"/>
        <w:jc w:val="both"/>
        <w:rPr>
          <w:rFonts w:ascii="Arial" w:hAnsi="Arial"/>
        </w:rPr>
      </w:pPr>
      <w:r>
        <w:rPr>
          <w:rFonts w:ascii="Arial" w:hAnsi="Arial"/>
        </w:rPr>
        <w:t>Хуулийн төслийн арваннэг дүгээр зүйлд “Эдийн засгийн харилцаанд оролцогч бүр хуулийн өмнө эрх тэгш байна” гэж заасан нь улс төрийн холбоо сүлбээ, албан тушаал, өмчийн хэлбэрээс үл хамааран, “тоглоомын дүрэм” бүх этгээдэд ижил, тэгш үйлчлэх ёстой гэсэн эрх зүйт төрийн суурь зарчмыг эдийн засгийн харилцаанд бодитоор хэрэгжүүлэх баталгаа болно. Бодит байдал дээр улс төрийн нөлөө бүхий, эсвэл авлигын замаар тодорхой аж ахуйн нэгжүүд тендер, зөвшөөрөл, газрын эрх зэрэгт давуу байдал олж авдаг нь шударга өрсөлдөөнийг устгаж, нийгмийн баялгийг үр ашиггүй хуваарилахад хүргэдэг. Энэхүү заалт нь төрийн байгууллага, албан тушаалтны зүгээс тодорхой нэг компанид давуу байдал олгох, эсвэл нөгөөг нь ялгаварлан гадуурхах явдлыг хуулиар хязгаарлаж, шударга бус өрсөлдөөний нэгэн том үүд хаалгыг хааж буй хэрэг мөн.</w:t>
      </w:r>
    </w:p>
    <w:p w14:paraId="25CF3BF2" w14:textId="77777777" w:rsidR="003F2BC9" w:rsidRDefault="00000000" w:rsidP="00241311">
      <w:pPr>
        <w:pStyle w:val="BodyText"/>
        <w:jc w:val="both"/>
        <w:rPr>
          <w:rFonts w:ascii="Arial" w:hAnsi="Arial"/>
        </w:rPr>
      </w:pPr>
      <w:r>
        <w:rPr>
          <w:rFonts w:ascii="Arial" w:hAnsi="Arial"/>
        </w:rPr>
        <w:lastRenderedPageBreak/>
        <w:t>Түүнчлэн, арван хоёр, арван гуравдугаар зүйлд мөнгө, санхүүгийн харилцаа болон эдийн засгийн мэдээллийн халдашгүй байдлыг баталгаажуулсан. Мөнгө, санхүүгийн харилцаа нь эдийн засгийн “цусны эргэлт” болдог тул энэхүү эргэлтэд төр дур зоргоороо саад учруулахыг хориглох нь чухал. “Heritage Foundation”-ийн “Санхүүгийн эрх чөлөө” үзүүлэлтээр 50.0 гэсэн хангалтгүй үнэлгээ авсан нь манай улсын санхүүгийн систем хязгаарлагдмал, төрийн оролцоо ихтэй байгааг илтгэнэ. Мөн мэдээллийн эрин зуунд бизнесийн үнэ цэнэтэй хөрөнгө болох технологи, ноу-хау, бизнесийн нууц зэрэг мэдээллийг хууль хяналтын байгууллагын хууль бус шалгалт, шахалтаас хамгаалах нь инновацийг дэмжих суурь нөхцөл болдог тул эдийн засгийн мэдээллийн халдашгүй байдлыг хуульчлан баталгаажуулсан болно.</w:t>
      </w:r>
    </w:p>
    <w:p w14:paraId="1A3B845D" w14:textId="77777777" w:rsidR="003F2BC9" w:rsidRDefault="00000000" w:rsidP="00241311">
      <w:pPr>
        <w:pStyle w:val="BodyText"/>
        <w:jc w:val="both"/>
        <w:rPr>
          <w:rFonts w:ascii="Arial" w:hAnsi="Arial"/>
        </w:rPr>
      </w:pPr>
      <w:r>
        <w:rPr>
          <w:rFonts w:ascii="Arial" w:hAnsi="Arial"/>
        </w:rPr>
        <w:t>Хуулийн төсөлд баталгаажуулсан эдийн засгийн суурь эрх, эрх чөлөөг хязгаарлах нөхцөл, журмыг нарийвчлан зааж өгсөн. Эрх чөлөө нь хязгааргүй дур зоргоороо авирлахын нэр бус, харин бусдын эрх, эрх чөлөөгөөр хязгаарлагдсан, нийгмийн өмнө хүлээх хариуцлагатай салшгүй холбоотой ойлголт юм. Иймд хувь хүний эдийн засгийн үйл ажиллагаа нь бусдын эрүүл мэнд, аюулгүй байдал, хүрээлэн буй орчинд хохирол учруулж байвал төр түүнд хязгаарлалт тогтоох хууль ёсны эрхтэй. Гэвч энэхүү хязгаарлалт нь өөрөө дур зоргын шинжтэй, хэтэрсэн байж болохгүй. Иймд энэ зүйлд хязгаарлалтыг зөвхөн Монгол Улсын Үндсэн хуульд заасан тодорхой зорилгууд, тухайлбал, үндэсний аюулгүй байдал, нийтийн хэв журам, бусдын эрх, эрх чөлөө, нийгмийн эрүүл мэндийг хамгаалах гэсэн зайлшгүй шаардлагаар, зөвхөн хуулиар, мөн тухайн зорилгодоо хүрэхэд зайлшгүй шаардлагатай, хамгийн бага хэмжээнд л хийж болно гэсэн олон улсын эрх зүйн практикт нийцсэн нарийн шалгууруудыг тогтоосон. Энэ нь төрийн байгууллагууд “нийтийн эрх ашиг” гэсэн ерөнхий нэрийн дор иргэдийн эрхэнд дур мэдэн халдах боломжийг хааж, аливаа шийдвэрээ бодитойгоор нотлох үүргийг хүлээлгэж, улмаар иргэн, аж ахуйн нэгж нь төрийн шийдвэрийг шүүхэд гомдоллох, түүний хууль зүйн үндэслэлийг хянуулах бодит эрх зүйн үндсийг бий болгож буйгаараа онцгой ач холбогдолтой юм.</w:t>
      </w:r>
    </w:p>
    <w:p w14:paraId="7851A844" w14:textId="77777777" w:rsidR="003F2BC9" w:rsidRDefault="00000000" w:rsidP="00241311">
      <w:pPr>
        <w:pStyle w:val="BodyText"/>
        <w:jc w:val="both"/>
        <w:rPr>
          <w:rFonts w:ascii="Arial" w:hAnsi="Arial"/>
        </w:rPr>
      </w:pPr>
      <w:r>
        <w:rPr>
          <w:rFonts w:ascii="Arial" w:hAnsi="Arial"/>
        </w:rPr>
        <w:t>Хуулийн төслийн Тавдугаар бүлэгт хуулийн хэрэгжилттэй холбоотой шилжилтийн үеийн зохицуулалтыг тусгасан болно. Эдгээрээс арван долдугаар зүйлд заасан бусад хууль тогтоомжийг нийцүүлэх, тайлбарлахтай холбоотой зохицуулалт нь онцгой ач холбогдолтой юм. Энэхүү зүйлд “Эдийн засгийн харилцааг зохицуулсан бусад хууль тогтоомжийг тайлбарлах, хэрэглэхдээ энэхүү хуульд заасан эдийн засгийн эрх чөлөөний суурь зарчимд нийцүүлнэ” хэмээн заасан нь энэхүү хуулийн эрх зүйн тогтолцоонд эзлэх онцгой, “засаглагч” байр суурийг тодорхойлж байна. Энэ нь эдийн засгийн харилцааны хувьд Үндсэн хуулийн дараа орох суурь хэм хэмжээ болж, Үндсэн хуулийн цэц, захиргааны хэргийн болон иргэний хэргийн бүх шатны шүүхэд эдийн засгийн харилцааг зохицуулсан бусад салбар хуулиудын хоорондын зөрчил, хийдлийг тайлбарлах, маргааныг шийдвэрлэхдээ баримтлах үндсэн чиг баримжаа, тулгуур хэмжүүр болох юм. Энэхүү заалт нь одоогийн эрх зүйн системийн эмх замбараагүй байдлыг цэгцэлж, хууль хэрэглээний нэгдмэл практикийг тогтооход чухал үүрэг гүйцэтгэнэ.</w:t>
      </w:r>
    </w:p>
    <w:p w14:paraId="6FB139A7" w14:textId="77777777" w:rsidR="003F2BC9" w:rsidRDefault="003F2BC9" w:rsidP="00241311">
      <w:pPr>
        <w:pStyle w:val="BodyText"/>
        <w:jc w:val="both"/>
        <w:rPr>
          <w:rFonts w:ascii="Arial" w:hAnsi="Arial"/>
        </w:rPr>
      </w:pPr>
    </w:p>
    <w:p w14:paraId="7CFDACBB" w14:textId="77777777" w:rsidR="003F2BC9" w:rsidRDefault="00000000" w:rsidP="00241311">
      <w:pPr>
        <w:pStyle w:val="BodyText"/>
        <w:jc w:val="both"/>
        <w:rPr>
          <w:rFonts w:ascii="Arial" w:hAnsi="Arial"/>
        </w:rPr>
      </w:pPr>
      <w:r>
        <w:rPr>
          <w:rFonts w:ascii="Arial" w:hAnsi="Arial"/>
        </w:rPr>
        <w:lastRenderedPageBreak/>
        <w:t>Арван дөрөвдүгээр зүйлд энэхүү хуулийг зөрчсөн төрийн байгууллага, албан тушаалтан, хувь хүн, хуулийн этгээдэд холбогдох бусад хуульд заасны дагуу хариуцлага хүлээлгэхээр заасан нь эдийн засгийн эрх чөлөөний суурь зарчмуудыг зүгээр нэг тунхаглал бус, харин бодитойгоор сахин хамгаалах механизмтай хууль болгож буй хэрэг юм. Энэ нь төрийн албан тушаалтан иргэн, аж ахуйн нэгжийн өмчийн эрхэнд хууль бусаар халдсан, эсвэл шударга өрсөлдөөнийг гажуудуулсан шийдвэр гаргасан тохиолдолд түүнд Төрийн албаны тухай хууль, Зөрчлийн тухай хууль, Эрүүгийн хууль зэрэг холбогдох хуулиудын дагуу хариуцлага хүлээлгэх эрх зүйн үндэслэлийг нээж өгч байна.</w:t>
      </w:r>
    </w:p>
    <w:p w14:paraId="2AD885E2" w14:textId="77777777" w:rsidR="003F2BC9" w:rsidRDefault="00000000" w:rsidP="00241311">
      <w:pPr>
        <w:pStyle w:val="BodyText"/>
        <w:jc w:val="both"/>
        <w:rPr>
          <w:rFonts w:ascii="Arial" w:hAnsi="Arial"/>
        </w:rPr>
      </w:pPr>
      <w:r>
        <w:rPr>
          <w:rFonts w:ascii="Arial" w:hAnsi="Arial"/>
        </w:rPr>
        <w:t>Эцэст нь, арван есдүгээр зүйлд хуулийг дагаж мөрдөх хугацааг тодорхой зааж өгснөөр, нийгэм, эдийн засагт оролцогчдод шинэ эрх зүйн орчинд бэлтгэх, өөрсдийн үйл ажиллагааг нийцүүлэх боломжийг олгож байна. Хууль батлагдсанаар эрх зүйн орчны нэгдмэл, цогц байдал хангагдаж, хууль дээдлэх ёсонд суурилсан, тогтвортой, урьдчилан таамаглахуйц, шударга эдийн засгийн харилцааны суурь бүрдэх ач холбогдолтой болно.</w:t>
      </w:r>
    </w:p>
    <w:p w14:paraId="4F9503FF" w14:textId="77777777" w:rsidR="003F2BC9" w:rsidRDefault="00000000" w:rsidP="00241311">
      <w:pPr>
        <w:pStyle w:val="BodyText"/>
        <w:jc w:val="both"/>
        <w:rPr>
          <w:rFonts w:ascii="Arial" w:hAnsi="Arial"/>
        </w:rPr>
      </w:pPr>
      <w:r>
        <w:rPr>
          <w:rFonts w:ascii="Arial" w:hAnsi="Arial"/>
        </w:rPr>
        <w:t>“Эдийн засгийн эрх чөлөөний тухай” хуулийн төсөл нь Монгол Улсын Үндсэн хуульд тунхагласан иргэний эдийн засгийн суурь эрхийг бодит агуулгаар баталгаажуулах, улмаар эдийн засгийн харилцааны эрх зүйн суурийг нэгтгэн цэгцлэх, хууль хэрэглээний нэгдмэл практикийг бий болгох замаар эрх зүйн орчны тогтвортой, урьдчилан таамаглахуйц байдлыг бэхжүүлэхэд чиглэсэн цогц зохицуулалт болсон.</w:t>
      </w:r>
    </w:p>
    <w:p w14:paraId="22C71FC3" w14:textId="77777777" w:rsidR="003F2BC9" w:rsidRDefault="00000000" w:rsidP="00241311">
      <w:pPr>
        <w:pStyle w:val="BodyText"/>
        <w:jc w:val="both"/>
        <w:rPr>
          <w:rFonts w:ascii="Arial" w:hAnsi="Arial"/>
        </w:rPr>
      </w:pPr>
      <w:r>
        <w:rPr>
          <w:rFonts w:ascii="Arial" w:hAnsi="Arial"/>
        </w:rPr>
        <w:t>Хуулийн төсөл нь өөрийн мөн чанарын хувьд шинээр үүрэг, хариуцлага, хүнд суртал бий болгох бус, харин одоогийн эрх зүйн орчинд оршиж буй зөрчил, хийдлийг арилгаж, эдийн засагт оролцогчдын хувьд “тоглоомын дүрэм”-ийг илүү ойлгомжтой, энгийн, шударга болгох зорилгыг агуулж байна.</w:t>
      </w:r>
    </w:p>
    <w:p w14:paraId="4C1A3250" w14:textId="77777777" w:rsidR="003F2BC9" w:rsidRDefault="00000000" w:rsidP="00241311">
      <w:pPr>
        <w:pStyle w:val="BodyText"/>
        <w:jc w:val="both"/>
        <w:rPr>
          <w:rFonts w:ascii="Arial" w:hAnsi="Arial"/>
        </w:rPr>
      </w:pPr>
      <w:r>
        <w:rPr>
          <w:rFonts w:ascii="Arial" w:hAnsi="Arial"/>
        </w:rPr>
        <w:t>Өмчийн эрхийн халдашгүй байдлыг баталгаажуулсан, татварын орчны тогтвортой байдлыг хангах, гэрээний эрх чөлөөг хүндэтгэх, аж ахуй эрхлэх, чөлөөтэй өрсөлдөх нөхцөлийг бүрдүүлэх зэрэг хуулийн төсөлд тусгагдсан суурь зарчмууд нь тус бүрдээ болон нийлбэр дүнгээрээ хөрөнгө оруулалтын орчныг сайжруулах, жижиг, дунд бизнесийн хөгжлийг дэмжих, улмаар эдийн засгийн бүтцийг төрөлжүүлж, тогтвортой өсөлтийг хангах эерэг үр дагавартай болно.</w:t>
      </w:r>
    </w:p>
    <w:p w14:paraId="240902ED" w14:textId="77777777" w:rsidR="003F2BC9" w:rsidRDefault="00000000" w:rsidP="00241311">
      <w:pPr>
        <w:pStyle w:val="BodyText"/>
        <w:jc w:val="both"/>
        <w:rPr>
          <w:rFonts w:ascii="Arial" w:hAnsi="Arial"/>
        </w:rPr>
      </w:pPr>
      <w:r>
        <w:rPr>
          <w:rFonts w:ascii="Arial" w:hAnsi="Arial"/>
        </w:rPr>
        <w:t>Хууль батлагдсанаар эдийн засгийн харилцаатай холбоотой хууль хоорондын хийдэл, зөрчил арилж, төрийн нийтийн өмчид хамаарах газар, байгалийн баялаг болон бусад өмчийн хөрөнгийн удирдлагын нэгдмэл тогтолцоо хангагдаж, Монгол Улсын Үндсэн хуулиар тодорхойлсон байгалийн баялаг ард түмний мэдэлд байх зарчим бодитой хэрэгжих суурь нөхцөл бүрдэнэ.</w:t>
      </w:r>
    </w:p>
    <w:p w14:paraId="08C20C1A" w14:textId="77777777" w:rsidR="003F2BC9" w:rsidRDefault="00000000" w:rsidP="00241311">
      <w:pPr>
        <w:pStyle w:val="BodyText"/>
        <w:jc w:val="both"/>
        <w:rPr>
          <w:rFonts w:ascii="Arial" w:hAnsi="Arial"/>
        </w:rPr>
      </w:pPr>
      <w:r>
        <w:rPr>
          <w:rFonts w:ascii="Arial" w:hAnsi="Arial"/>
        </w:rPr>
        <w:t>Түүнчлэн, төрийн зүгээс иргэний эдийн засгийн эрх, эрх чөлөөнд халдах нөхцөл, хязгаарыг тодорхой болгож, хууль хэрэглээний нэгдмэл байдлыг хангах механизмыг тусгаж өгсөн нь хуулийн засаглалыг бэхжүүлэх, иргэд, аж ахуйн нэгжийн төрд итгэх итгэлийг сэргээхэд чухал ач холбогдолтой гэж үзэж байна.</w:t>
      </w:r>
    </w:p>
    <w:sectPr w:rsidR="003F2BC9">
      <w:headerReference w:type="default" r:id="rId7"/>
      <w:footerReference w:type="default" r:id="rId8"/>
      <w:pgSz w:w="12240" w:h="15840"/>
      <w:pgMar w:top="1666" w:right="1440" w:bottom="1440" w:left="1440" w:header="60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1169" w14:textId="77777777" w:rsidR="00C84DFE" w:rsidRDefault="00C84DFE">
      <w:pPr>
        <w:spacing w:after="0"/>
      </w:pPr>
      <w:r>
        <w:separator/>
      </w:r>
    </w:p>
  </w:endnote>
  <w:endnote w:type="continuationSeparator" w:id="0">
    <w:p w14:paraId="0ED44D4C" w14:textId="77777777" w:rsidR="00C84DFE" w:rsidRDefault="00C84D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FreeSan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8944" w14:textId="77777777" w:rsidR="00E73BEA" w:rsidRDefault="00E73BE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86E83F3" w14:textId="77777777" w:rsidR="00E73BEA" w:rsidRDefault="00E73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EFE5" w14:textId="77777777" w:rsidR="00C84DFE" w:rsidRDefault="00C84DFE">
      <w:pPr>
        <w:spacing w:after="0"/>
      </w:pPr>
      <w:r>
        <w:separator/>
      </w:r>
    </w:p>
  </w:footnote>
  <w:footnote w:type="continuationSeparator" w:id="0">
    <w:p w14:paraId="0FDECC31" w14:textId="77777777" w:rsidR="00C84DFE" w:rsidRDefault="00C84D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FD4E" w14:textId="1FE782CE" w:rsidR="003F2BC9" w:rsidRDefault="003F2BC9">
    <w:pPr>
      <w:pStyle w:val="Header"/>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36B"/>
    <w:multiLevelType w:val="multilevel"/>
    <w:tmpl w:val="E5D80C4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13154FCE"/>
    <w:multiLevelType w:val="multilevel"/>
    <w:tmpl w:val="8A346DC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1C5A67EC"/>
    <w:multiLevelType w:val="multilevel"/>
    <w:tmpl w:val="48821DF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15:restartNumberingAfterBreak="0">
    <w:nsid w:val="504E0276"/>
    <w:multiLevelType w:val="multilevel"/>
    <w:tmpl w:val="511872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3B022C8"/>
    <w:multiLevelType w:val="multilevel"/>
    <w:tmpl w:val="12163A2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5" w15:restartNumberingAfterBreak="0">
    <w:nsid w:val="6C135136"/>
    <w:multiLevelType w:val="multilevel"/>
    <w:tmpl w:val="ABAA3C5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2011637117">
    <w:abstractNumId w:val="2"/>
  </w:num>
  <w:num w:numId="2" w16cid:durableId="149755480">
    <w:abstractNumId w:val="1"/>
  </w:num>
  <w:num w:numId="3" w16cid:durableId="617299444">
    <w:abstractNumId w:val="0"/>
  </w:num>
  <w:num w:numId="4" w16cid:durableId="1725369708">
    <w:abstractNumId w:val="5"/>
  </w:num>
  <w:num w:numId="5" w16cid:durableId="1328360742">
    <w:abstractNumId w:val="4"/>
  </w:num>
  <w:num w:numId="6" w16cid:durableId="874728883">
    <w:abstractNumId w:val="3"/>
  </w:num>
  <w:num w:numId="7" w16cid:durableId="1205022604">
    <w:abstractNumId w:val="2"/>
    <w:lvlOverride w:ilvl="0">
      <w:startOverride w:val="1"/>
    </w:lvlOverride>
  </w:num>
  <w:num w:numId="8" w16cid:durableId="1449543360">
    <w:abstractNumId w:val="2"/>
  </w:num>
  <w:num w:numId="9" w16cid:durableId="984089906">
    <w:abstractNumId w:val="2"/>
  </w:num>
  <w:num w:numId="10" w16cid:durableId="2056008143">
    <w:abstractNumId w:val="2"/>
  </w:num>
  <w:num w:numId="11" w16cid:durableId="269162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2BC9"/>
    <w:rsid w:val="000854C2"/>
    <w:rsid w:val="000A3659"/>
    <w:rsid w:val="001970C3"/>
    <w:rsid w:val="00241311"/>
    <w:rsid w:val="002E7DC3"/>
    <w:rsid w:val="003F2BC9"/>
    <w:rsid w:val="00611FC1"/>
    <w:rsid w:val="0061567A"/>
    <w:rsid w:val="00637A7B"/>
    <w:rsid w:val="00760C9C"/>
    <w:rsid w:val="008E674E"/>
    <w:rsid w:val="00BB6C35"/>
    <w:rsid w:val="00C84DFE"/>
    <w:rsid w:val="00E73B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F6707E6"/>
  <w15:docId w15:val="{2789F294-5A08-2843-A759-4047AD1A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Characters">
    <w:name w:val="Footnote Characters"/>
    <w:basedOn w:val="CaptionChar"/>
    <w:qFormat/>
    <w:rPr>
      <w:vertAlign w:val="superscript"/>
    </w:rPr>
  </w:style>
  <w:style w:type="character" w:customStyle="1" w:styleId="FootnoteAnchor">
    <w:name w:val="Footnote Anchor"/>
    <w:rPr>
      <w:vertAlign w:val="superscript"/>
    </w:rPr>
  </w:style>
  <w:style w:type="character" w:styleId="Hyperlink">
    <w:name w:val="Hyperlink"/>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qFormat/>
    <w:pPr>
      <w:spacing w:before="180" w:after="180"/>
    </w:pPr>
  </w:style>
  <w:style w:type="paragraph" w:styleId="List">
    <w:name w:val="List"/>
    <w:basedOn w:val="BodyText"/>
    <w:rPr>
      <w:rFonts w:cs="FreeSan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FreeSans"/>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IndexHeading">
    <w:name w:val="index heading"/>
    <w:basedOn w:val="Heading"/>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qFormat/>
  </w:style>
  <w:style w:type="paragraph" w:customStyle="1" w:styleId="HeaderandFooter">
    <w:name w:val="Header and Footer"/>
    <w:basedOn w:val="Normal"/>
    <w:qFormat/>
    <w:pPr>
      <w:suppressLineNumbers/>
      <w:tabs>
        <w:tab w:val="center" w:pos="4680"/>
        <w:tab w:val="right" w:pos="9360"/>
      </w:tabs>
    </w:pPr>
  </w:style>
  <w:style w:type="paragraph" w:styleId="Header">
    <w:name w:val="header"/>
    <w:basedOn w:val="HeaderandFooter"/>
  </w:style>
  <w:style w:type="table" w:customStyle="1" w:styleId="Table">
    <w:name w:val="Table"/>
    <w:semiHidden/>
    <w:unhideWhenUsed/>
    <w:qFormat/>
    <w:tblPr>
      <w:tblCellMar>
        <w:top w:w="0" w:type="dxa"/>
        <w:left w:w="108" w:type="dxa"/>
        <w:bottom w:w="0" w:type="dxa"/>
        <w:right w:w="108" w:type="dxa"/>
      </w:tblCellMar>
    </w:tblPr>
  </w:style>
  <w:style w:type="paragraph" w:styleId="Footer">
    <w:name w:val="footer"/>
    <w:basedOn w:val="Normal"/>
    <w:link w:val="FooterChar"/>
    <w:uiPriority w:val="99"/>
    <w:rsid w:val="00760C9C"/>
    <w:pPr>
      <w:tabs>
        <w:tab w:val="center" w:pos="4680"/>
        <w:tab w:val="right" w:pos="9360"/>
      </w:tabs>
      <w:spacing w:after="0"/>
    </w:pPr>
  </w:style>
  <w:style w:type="character" w:customStyle="1" w:styleId="FooterChar">
    <w:name w:val="Footer Char"/>
    <w:basedOn w:val="DefaultParagraphFont"/>
    <w:link w:val="Footer"/>
    <w:uiPriority w:val="99"/>
    <w:rsid w:val="00760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2129</Words>
  <Characters>12139</Characters>
  <Application>Microsoft Office Word</Application>
  <DocSecurity>0</DocSecurity>
  <Lines>101</Lines>
  <Paragraphs>28</Paragraphs>
  <ScaleCrop>false</ScaleCrop>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Nomuunzul Turmunkh</cp:lastModifiedBy>
  <cp:revision>22</cp:revision>
  <dcterms:created xsi:type="dcterms:W3CDTF">2025-10-05T06:28:00Z</dcterms:created>
  <dcterms:modified xsi:type="dcterms:W3CDTF">2025-12-30T02:16:00Z</dcterms:modified>
  <dc:language>en-US</dc:language>
</cp:coreProperties>
</file>