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2E48" w14:textId="2231C269" w:rsidR="00464EB2" w:rsidRPr="00D559CF" w:rsidRDefault="00422DCE" w:rsidP="00C562E0">
      <w:pPr>
        <w:spacing w:after="0"/>
        <w:jc w:val="center"/>
        <w:rPr>
          <w:rFonts w:asciiTheme="minorBidi" w:hAnsiTheme="minorBidi"/>
          <w:b/>
          <w:bCs/>
          <w:color w:val="000000" w:themeColor="text1"/>
          <w:lang w:val="mn-MN"/>
        </w:rPr>
      </w:pPr>
      <w:r w:rsidRPr="00D559CF">
        <w:rPr>
          <w:rFonts w:asciiTheme="minorBidi" w:hAnsiTheme="minorBidi"/>
          <w:b/>
          <w:bCs/>
          <w:color w:val="000000" w:themeColor="text1"/>
          <w:lang w:val="mn-MN"/>
        </w:rPr>
        <w:t>ТАТВАРЫН ЕРӨНХИЙ ХУУЛЬД НЭМЭЛТ, ӨӨРЧЛӨЛТ ОРУУЛАХ ТУХАЙ ХУУЛИЙН ТӨСӨЛ</w:t>
      </w:r>
      <w:r w:rsidR="00966562">
        <w:rPr>
          <w:rFonts w:asciiTheme="minorBidi" w:hAnsiTheme="minorBidi"/>
          <w:b/>
          <w:bCs/>
          <w:color w:val="000000" w:themeColor="text1"/>
          <w:lang w:val="mn-MN"/>
        </w:rPr>
        <w:t xml:space="preserve"> БОЛОН </w:t>
      </w:r>
      <w:r w:rsidR="00816DD4">
        <w:rPr>
          <w:rFonts w:asciiTheme="minorBidi" w:hAnsiTheme="minorBidi"/>
          <w:b/>
          <w:bCs/>
          <w:color w:val="000000" w:themeColor="text1"/>
          <w:lang w:val="mn-MN"/>
        </w:rPr>
        <w:t xml:space="preserve">ДАГАЛДУУЛАН БОЛОВСРУУЛСАН </w:t>
      </w:r>
      <w:r w:rsidR="00F9422C">
        <w:rPr>
          <w:rFonts w:asciiTheme="minorBidi" w:hAnsiTheme="minorBidi"/>
          <w:b/>
          <w:bCs/>
          <w:color w:val="000000" w:themeColor="text1"/>
          <w:lang w:val="mn-MN"/>
        </w:rPr>
        <w:t xml:space="preserve">ХУУЛИЙН ТӨСЛҮҮДЭД ИРҮҮЛСЭН </w:t>
      </w:r>
      <w:r w:rsidRPr="00D559CF">
        <w:rPr>
          <w:rFonts w:asciiTheme="minorBidi" w:hAnsiTheme="minorBidi"/>
          <w:b/>
          <w:bCs/>
          <w:color w:val="000000" w:themeColor="text1"/>
          <w:lang w:val="mn-MN"/>
        </w:rPr>
        <w:t>САНАЛЫН ТОВЬЁГ</w:t>
      </w:r>
    </w:p>
    <w:p w14:paraId="5E6D3106" w14:textId="77777777" w:rsidR="00C562E0" w:rsidRPr="00D559CF" w:rsidRDefault="00C562E0" w:rsidP="00C562E0">
      <w:pPr>
        <w:spacing w:after="0"/>
        <w:jc w:val="center"/>
        <w:rPr>
          <w:rFonts w:asciiTheme="minorBidi" w:hAnsiTheme="minorBidi"/>
          <w:b/>
          <w:bCs/>
          <w:color w:val="000000" w:themeColor="text1"/>
          <w:sz w:val="20"/>
          <w:szCs w:val="20"/>
          <w:lang w:val="mn-MN"/>
        </w:rPr>
      </w:pP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655"/>
        <w:gridCol w:w="5505"/>
        <w:gridCol w:w="1217"/>
        <w:gridCol w:w="5443"/>
      </w:tblGrid>
      <w:tr w:rsidR="00B06D96" w:rsidRPr="00D559CF" w14:paraId="64724533" w14:textId="77777777" w:rsidTr="00B06D96">
        <w:trPr>
          <w:trHeight w:val="510"/>
          <w:jc w:val="center"/>
        </w:trPr>
        <w:tc>
          <w:tcPr>
            <w:tcW w:w="1655" w:type="dxa"/>
            <w:vAlign w:val="center"/>
          </w:tcPr>
          <w:p w14:paraId="6ADD0B5D" w14:textId="29EBA4FA" w:rsidR="00373CDE" w:rsidRPr="00D559CF" w:rsidRDefault="00373CDE" w:rsidP="00B06D96">
            <w:pPr>
              <w:spacing w:after="0" w:line="240" w:lineRule="auto"/>
              <w:jc w:val="center"/>
              <w:rPr>
                <w:rFonts w:asciiTheme="minorBidi" w:eastAsia="Times New Roman" w:hAnsiTheme="minorBidi"/>
                <w:b/>
                <w:bCs/>
                <w:color w:val="000000" w:themeColor="text1"/>
                <w:kern w:val="0"/>
                <w:sz w:val="20"/>
                <w:szCs w:val="20"/>
                <w:lang w:val="mn-MN"/>
                <w14:ligatures w14:val="none"/>
              </w:rPr>
            </w:pPr>
            <w:r w:rsidRPr="00D559CF">
              <w:rPr>
                <w:rFonts w:asciiTheme="minorBidi" w:eastAsia="Times New Roman" w:hAnsiTheme="minorBidi"/>
                <w:b/>
                <w:bCs/>
                <w:color w:val="000000" w:themeColor="text1"/>
                <w:kern w:val="0"/>
                <w:sz w:val="20"/>
                <w:szCs w:val="20"/>
                <w:lang w:val="mn-MN"/>
                <w14:ligatures w14:val="none"/>
              </w:rPr>
              <w:t>Ирүүлсэн байгууллага</w:t>
            </w:r>
          </w:p>
        </w:tc>
        <w:tc>
          <w:tcPr>
            <w:tcW w:w="1655" w:type="dxa"/>
            <w:vAlign w:val="center"/>
            <w:hideMark/>
          </w:tcPr>
          <w:p w14:paraId="154FAD09" w14:textId="3364FD54" w:rsidR="00B06D96" w:rsidRPr="00D559CF" w:rsidRDefault="00373CDE" w:rsidP="00373CDE">
            <w:pPr>
              <w:spacing w:after="0" w:line="240" w:lineRule="auto"/>
              <w:jc w:val="center"/>
              <w:rPr>
                <w:rFonts w:asciiTheme="minorBidi" w:eastAsia="Times New Roman" w:hAnsiTheme="minorBidi"/>
                <w:b/>
                <w:bCs/>
                <w:color w:val="000000" w:themeColor="text1"/>
                <w:kern w:val="0"/>
                <w:sz w:val="20"/>
                <w:szCs w:val="20"/>
                <w:lang w:val="mn-MN"/>
                <w14:ligatures w14:val="none"/>
              </w:rPr>
            </w:pPr>
            <w:r>
              <w:rPr>
                <w:rFonts w:asciiTheme="minorBidi" w:eastAsia="Times New Roman" w:hAnsiTheme="minorBidi"/>
                <w:b/>
                <w:bCs/>
                <w:color w:val="000000" w:themeColor="text1"/>
                <w:kern w:val="0"/>
                <w:sz w:val="20"/>
                <w:szCs w:val="20"/>
                <w:lang w:val="mn-MN"/>
                <w14:ligatures w14:val="none"/>
              </w:rPr>
              <w:t>Холбогдох хууль</w:t>
            </w:r>
          </w:p>
        </w:tc>
        <w:tc>
          <w:tcPr>
            <w:tcW w:w="5505" w:type="dxa"/>
            <w:vAlign w:val="center"/>
            <w:hideMark/>
          </w:tcPr>
          <w:p w14:paraId="2CADDC62" w14:textId="77777777" w:rsidR="00B06D96" w:rsidRPr="00D559CF" w:rsidRDefault="00B06D96" w:rsidP="00D559CF">
            <w:pPr>
              <w:spacing w:after="0" w:line="240" w:lineRule="auto"/>
              <w:jc w:val="center"/>
              <w:rPr>
                <w:rFonts w:asciiTheme="minorBidi" w:eastAsia="Times New Roman" w:hAnsiTheme="minorBidi"/>
                <w:b/>
                <w:bCs/>
                <w:color w:val="000000" w:themeColor="text1"/>
                <w:kern w:val="0"/>
                <w:sz w:val="20"/>
                <w:szCs w:val="20"/>
                <w:lang w:val="mn-MN"/>
                <w14:ligatures w14:val="none"/>
              </w:rPr>
            </w:pPr>
            <w:r w:rsidRPr="00D559CF">
              <w:rPr>
                <w:rFonts w:asciiTheme="minorBidi" w:eastAsia="Times New Roman" w:hAnsiTheme="minorBidi"/>
                <w:b/>
                <w:bCs/>
                <w:color w:val="000000" w:themeColor="text1"/>
                <w:kern w:val="0"/>
                <w:sz w:val="20"/>
                <w:szCs w:val="20"/>
                <w:lang w:val="mn-MN"/>
                <w14:ligatures w14:val="none"/>
              </w:rPr>
              <w:t>Ирүүлсэн санал</w:t>
            </w:r>
          </w:p>
        </w:tc>
        <w:tc>
          <w:tcPr>
            <w:tcW w:w="1217" w:type="dxa"/>
            <w:vAlign w:val="center"/>
            <w:hideMark/>
          </w:tcPr>
          <w:p w14:paraId="24EC5DBA" w14:textId="77777777" w:rsidR="00B06D96" w:rsidRPr="00D559CF" w:rsidRDefault="00B06D96" w:rsidP="00D559CF">
            <w:pPr>
              <w:spacing w:after="0" w:line="240" w:lineRule="auto"/>
              <w:jc w:val="center"/>
              <w:rPr>
                <w:rFonts w:asciiTheme="minorBidi" w:eastAsia="Times New Roman" w:hAnsiTheme="minorBidi"/>
                <w:b/>
                <w:bCs/>
                <w:color w:val="000000" w:themeColor="text1"/>
                <w:kern w:val="0"/>
                <w:sz w:val="20"/>
                <w:szCs w:val="20"/>
                <w:lang w:val="mn-MN"/>
                <w14:ligatures w14:val="none"/>
              </w:rPr>
            </w:pPr>
            <w:r w:rsidRPr="00D559CF">
              <w:rPr>
                <w:rFonts w:asciiTheme="minorBidi" w:eastAsia="Times New Roman" w:hAnsiTheme="minorBidi"/>
                <w:b/>
                <w:bCs/>
                <w:color w:val="000000" w:themeColor="text1"/>
                <w:kern w:val="0"/>
                <w:sz w:val="20"/>
                <w:szCs w:val="20"/>
                <w:lang w:val="mn-MN"/>
                <w14:ligatures w14:val="none"/>
              </w:rPr>
              <w:t>Ирсэн бичгийн огноо, дугаар</w:t>
            </w:r>
          </w:p>
        </w:tc>
        <w:tc>
          <w:tcPr>
            <w:tcW w:w="5443" w:type="dxa"/>
            <w:vAlign w:val="center"/>
            <w:hideMark/>
          </w:tcPr>
          <w:p w14:paraId="1AD47AA8" w14:textId="77777777" w:rsidR="00B06D96" w:rsidRPr="00D559CF" w:rsidRDefault="00B06D96" w:rsidP="00D559CF">
            <w:pPr>
              <w:spacing w:after="0" w:line="240" w:lineRule="auto"/>
              <w:jc w:val="center"/>
              <w:rPr>
                <w:rFonts w:asciiTheme="minorBidi" w:eastAsia="Times New Roman" w:hAnsiTheme="minorBidi"/>
                <w:b/>
                <w:bCs/>
                <w:color w:val="000000" w:themeColor="text1"/>
                <w:kern w:val="0"/>
                <w:sz w:val="20"/>
                <w:szCs w:val="20"/>
                <w:lang w:val="mn-MN"/>
                <w14:ligatures w14:val="none"/>
              </w:rPr>
            </w:pPr>
            <w:r w:rsidRPr="00D559CF">
              <w:rPr>
                <w:rFonts w:asciiTheme="minorBidi" w:eastAsia="Times New Roman" w:hAnsiTheme="minorBidi"/>
                <w:b/>
                <w:bCs/>
                <w:color w:val="000000" w:themeColor="text1"/>
                <w:kern w:val="0"/>
                <w:sz w:val="20"/>
                <w:szCs w:val="20"/>
                <w:lang w:val="mn-MN"/>
                <w14:ligatures w14:val="none"/>
              </w:rPr>
              <w:t>Тайлбар</w:t>
            </w:r>
          </w:p>
        </w:tc>
      </w:tr>
      <w:tr w:rsidR="00D40FB9" w:rsidRPr="009C6C7D" w14:paraId="712B7FDD" w14:textId="77777777" w:rsidTr="00B06D96">
        <w:trPr>
          <w:trHeight w:val="510"/>
          <w:jc w:val="center"/>
        </w:trPr>
        <w:tc>
          <w:tcPr>
            <w:tcW w:w="1655" w:type="dxa"/>
            <w:vMerge w:val="restart"/>
            <w:vAlign w:val="center"/>
          </w:tcPr>
          <w:p w14:paraId="736A3FA8" w14:textId="1C1BB0DC" w:rsidR="00D40FB9" w:rsidRPr="00073FA0"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r w:rsidRPr="00073FA0">
              <w:rPr>
                <w:rFonts w:asciiTheme="minorBidi" w:eastAsia="Times New Roman" w:hAnsiTheme="minorBidi"/>
                <w:color w:val="000000" w:themeColor="text1"/>
                <w:kern w:val="0"/>
                <w:sz w:val="20"/>
                <w:szCs w:val="20"/>
                <w:lang w:val="mn-MN"/>
                <w14:ligatures w14:val="none"/>
              </w:rPr>
              <w:t>Монгол Улсын ерөнхий прокурорын газар</w:t>
            </w:r>
          </w:p>
        </w:tc>
        <w:tc>
          <w:tcPr>
            <w:tcW w:w="1655" w:type="dxa"/>
            <w:vMerge w:val="restart"/>
            <w:vAlign w:val="center"/>
          </w:tcPr>
          <w:p w14:paraId="5010B274" w14:textId="00E15C4F" w:rsidR="00D40FB9" w:rsidRPr="00C65F7E"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r w:rsidRPr="00C65F7E">
              <w:rPr>
                <w:rFonts w:asciiTheme="minorBidi" w:eastAsia="Times New Roman" w:hAnsiTheme="minorBidi"/>
                <w:color w:val="000000" w:themeColor="text1"/>
                <w:kern w:val="0"/>
                <w:sz w:val="20"/>
                <w:szCs w:val="20"/>
                <w:lang w:val="mn-MN"/>
                <w14:ligatures w14:val="none"/>
              </w:rPr>
              <w:t>Татварын ерөнхий хуульд нэмэлт, өөрчлөлт оруулах тухай</w:t>
            </w:r>
          </w:p>
        </w:tc>
        <w:tc>
          <w:tcPr>
            <w:tcW w:w="5505" w:type="dxa"/>
            <w:vAlign w:val="center"/>
          </w:tcPr>
          <w:p w14:paraId="0108E2E2"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651746">
              <w:rPr>
                <w:rFonts w:asciiTheme="minorBidi" w:eastAsia="Times New Roman" w:hAnsiTheme="minorBidi"/>
                <w:color w:val="000000" w:themeColor="text1"/>
                <w:kern w:val="0"/>
                <w:sz w:val="20"/>
                <w:szCs w:val="20"/>
                <w:lang w:val="mn-MN"/>
                <w14:ligatures w14:val="none"/>
              </w:rPr>
              <w:t>41 дүгээр зүйлийн 41.14 дэх хэсэг:</w:t>
            </w:r>
          </w:p>
          <w:p w14:paraId="4CF4A9C7"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6122218A"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651746">
              <w:rPr>
                <w:rFonts w:asciiTheme="minorBidi" w:eastAsia="Times New Roman" w:hAnsiTheme="minorBidi"/>
                <w:color w:val="000000" w:themeColor="text1"/>
                <w:kern w:val="0"/>
                <w:sz w:val="20"/>
                <w:szCs w:val="20"/>
                <w:lang w:val="mn-MN"/>
                <w14:ligatures w14:val="none"/>
              </w:rPr>
              <w:t>“Энэ хуулийн 35.12-т заасны дагуу үнэлэгдэж эрсдэлтэйд тооцоололд тохиолдолд татварын асуудал хариуцсан төрийн захиргааны байгууллагын удирдамж, томилолтоор энэ хуульд заасан журмын дагуу тухайн татвар төлөгчийн татвар ногдуулалт, төлөлтийн байдалд татварын хяналт шалгалт хийх замаар холбогдох хууль хяналтын байгууллагатай хамтран ажиллаж болно.”</w:t>
            </w:r>
          </w:p>
          <w:p w14:paraId="756DA62A"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0A8C7CD7"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651746">
              <w:rPr>
                <w:rFonts w:asciiTheme="minorBidi" w:eastAsia="Times New Roman" w:hAnsiTheme="minorBidi"/>
                <w:color w:val="000000" w:themeColor="text1"/>
                <w:kern w:val="0"/>
                <w:sz w:val="20"/>
                <w:szCs w:val="20"/>
                <w:lang w:val="mn-MN"/>
                <w14:ligatures w14:val="none"/>
              </w:rPr>
              <w:t>Татварын ерөнхий хуулийн 35 дугаар зүйл нь 11 хэсэгтэй байхад хуульд байхгүй “35.12” гэх хэсгийг иш татсан байна.</w:t>
            </w:r>
          </w:p>
          <w:p w14:paraId="4A9E0704" w14:textId="77777777"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2B9AF125" w14:textId="2B800629"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651746">
              <w:rPr>
                <w:rFonts w:asciiTheme="minorBidi" w:eastAsia="Times New Roman" w:hAnsiTheme="minorBidi"/>
                <w:color w:val="000000" w:themeColor="text1"/>
                <w:kern w:val="0"/>
                <w:sz w:val="20"/>
                <w:szCs w:val="20"/>
                <w:lang w:val="mn-MN"/>
                <w14:ligatures w14:val="none"/>
              </w:rPr>
              <w:t>Хууль хяналтын байгууллагын хуулиар тогтоосон үндсэн чиг үүрэгт татварын хяналт шалгалт хамаарахгүй тул уг зохицуулалтыг хасах.</w:t>
            </w:r>
          </w:p>
        </w:tc>
        <w:tc>
          <w:tcPr>
            <w:tcW w:w="1217" w:type="dxa"/>
            <w:vMerge w:val="restart"/>
            <w:vAlign w:val="center"/>
          </w:tcPr>
          <w:p w14:paraId="7221EC95" w14:textId="08AB2881" w:rsidR="00D40FB9" w:rsidRPr="00183AF8"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r w:rsidRPr="00183AF8">
              <w:rPr>
                <w:rFonts w:asciiTheme="minorBidi" w:eastAsia="Times New Roman" w:hAnsiTheme="minorBidi"/>
                <w:color w:val="000000" w:themeColor="text1"/>
                <w:kern w:val="0"/>
                <w:sz w:val="20"/>
                <w:szCs w:val="20"/>
                <w:lang w:val="mn-MN"/>
                <w14:ligatures w14:val="none"/>
              </w:rPr>
              <w:t>2025.10.16 02/4655</w:t>
            </w:r>
          </w:p>
        </w:tc>
        <w:tc>
          <w:tcPr>
            <w:tcW w:w="5443" w:type="dxa"/>
            <w:vAlign w:val="center"/>
          </w:tcPr>
          <w:p w14:paraId="1A7E0FA9" w14:textId="4292C284" w:rsidR="00D40FB9" w:rsidRPr="00183AF8" w:rsidRDefault="00CF4EAA" w:rsidP="00B06D96">
            <w:pPr>
              <w:spacing w:after="0" w:line="240" w:lineRule="auto"/>
              <w:jc w:val="both"/>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Саналыг хүлээн авч х</w:t>
            </w:r>
            <w:r w:rsidR="00EB0566">
              <w:rPr>
                <w:rFonts w:asciiTheme="minorBidi" w:eastAsia="Times New Roman" w:hAnsiTheme="minorBidi"/>
                <w:color w:val="000000" w:themeColor="text1"/>
                <w:kern w:val="0"/>
                <w:sz w:val="20"/>
                <w:szCs w:val="20"/>
                <w:lang w:val="mn-MN"/>
                <w14:ligatures w14:val="none"/>
              </w:rPr>
              <w:t>уулийн төслөөс</w:t>
            </w:r>
            <w:r w:rsidR="00651E38">
              <w:rPr>
                <w:rFonts w:asciiTheme="minorBidi" w:eastAsia="Times New Roman" w:hAnsiTheme="minorBidi"/>
                <w:color w:val="000000" w:themeColor="text1"/>
                <w:kern w:val="0"/>
                <w:sz w:val="20"/>
                <w:szCs w:val="20"/>
                <w:lang w:val="mn-MN"/>
                <w14:ligatures w14:val="none"/>
              </w:rPr>
              <w:t xml:space="preserve"> 41.14 дэх хэсгийг </w:t>
            </w:r>
            <w:r>
              <w:rPr>
                <w:rFonts w:asciiTheme="minorBidi" w:eastAsia="Times New Roman" w:hAnsiTheme="minorBidi"/>
                <w:color w:val="000000" w:themeColor="text1"/>
                <w:kern w:val="0"/>
                <w:sz w:val="20"/>
                <w:szCs w:val="20"/>
                <w:lang w:val="mn-MN"/>
                <w14:ligatures w14:val="none"/>
              </w:rPr>
              <w:t>хассан.</w:t>
            </w:r>
          </w:p>
        </w:tc>
      </w:tr>
      <w:tr w:rsidR="00D40FB9" w:rsidRPr="009C6C7D" w14:paraId="54E4D792" w14:textId="77777777" w:rsidTr="00A0556B">
        <w:trPr>
          <w:trHeight w:val="510"/>
          <w:jc w:val="center"/>
        </w:trPr>
        <w:tc>
          <w:tcPr>
            <w:tcW w:w="1655" w:type="dxa"/>
            <w:vMerge/>
          </w:tcPr>
          <w:p w14:paraId="51F078D8" w14:textId="77777777" w:rsidR="00D40FB9" w:rsidRDefault="00D40FB9" w:rsidP="00B06D96">
            <w:pPr>
              <w:spacing w:after="0" w:line="240" w:lineRule="auto"/>
              <w:jc w:val="center"/>
              <w:rPr>
                <w:rFonts w:asciiTheme="minorBidi" w:eastAsia="Times New Roman" w:hAnsiTheme="minorBidi"/>
                <w:b/>
                <w:bCs/>
                <w:color w:val="000000" w:themeColor="text1"/>
                <w:kern w:val="0"/>
                <w:sz w:val="20"/>
                <w:szCs w:val="20"/>
                <w:lang w:val="mn-MN"/>
                <w14:ligatures w14:val="none"/>
              </w:rPr>
            </w:pPr>
          </w:p>
        </w:tc>
        <w:tc>
          <w:tcPr>
            <w:tcW w:w="1655" w:type="dxa"/>
            <w:vMerge/>
          </w:tcPr>
          <w:p w14:paraId="1C1380A2" w14:textId="1B881AB9" w:rsidR="00D40FB9" w:rsidRDefault="00D40FB9" w:rsidP="00B06D96">
            <w:pPr>
              <w:spacing w:after="0" w:line="240" w:lineRule="auto"/>
              <w:jc w:val="center"/>
              <w:rPr>
                <w:rFonts w:asciiTheme="minorBidi" w:eastAsia="Times New Roman" w:hAnsiTheme="minorBidi"/>
                <w:b/>
                <w:bCs/>
                <w:color w:val="000000" w:themeColor="text1"/>
                <w:kern w:val="0"/>
                <w:sz w:val="20"/>
                <w:szCs w:val="20"/>
                <w:lang w:val="mn-MN"/>
                <w14:ligatures w14:val="none"/>
              </w:rPr>
            </w:pPr>
          </w:p>
        </w:tc>
        <w:tc>
          <w:tcPr>
            <w:tcW w:w="5505" w:type="dxa"/>
            <w:vAlign w:val="center"/>
          </w:tcPr>
          <w:p w14:paraId="5389B73B"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"6 дугаар зүйл. Татварын ерөнхий хуулийн 18 дугаар зүйлийн 18.15 дахь хэсгийг, 75 дугаар зүйлийн 75.6, 75.7, 75.8 дахь хэсгийг, 82 дугаар зүйлийн 82.2 дахь хэсгийг, 83 дугаар зүйлийн 83.3 дахь хэсгийг, 84 дугаар зүйлийн 84.2 дахь хэсгийг тус тус хүчингүйд тооцсугай."</w:t>
            </w:r>
          </w:p>
          <w:p w14:paraId="654733C3"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7799BE2A"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 xml:space="preserve">Татвар төлөхөөс зайлсхийх гэмт хэргийг Эрүүгийн хуулийн 18.3 дугаар зүйлд хуульчилсан, харин татвар төлөхөөс зайлсхийх зөрчлийг Зөрчлийн тухай хуульд хуульчлаагүй атлаа Татварын ерөнхий /салбар/ хуулиар хүн, хуулийн этгээдэд шийтгэл оногдуулахаар хуульчилсан байна. Энэ нь Эрүүгийн болон зөрчлийн хууль тогтоомж хоорондын харилцан нөхцөлдсөн байдал, харилцан хамаарал, уялдаа холбоог алдагдуулсан, төрийн хяналт шалгалт болон зөрчил </w:t>
            </w:r>
            <w:r w:rsidRPr="00B06D96">
              <w:rPr>
                <w:rFonts w:asciiTheme="minorBidi" w:eastAsia="Times New Roman" w:hAnsiTheme="minorBidi"/>
                <w:color w:val="000000" w:themeColor="text1"/>
                <w:kern w:val="0"/>
                <w:sz w:val="20"/>
                <w:szCs w:val="20"/>
                <w:lang w:val="mn-MN"/>
                <w14:ligatures w14:val="none"/>
              </w:rPr>
              <w:lastRenderedPageBreak/>
              <w:t>шалган шийдвэрлэх ажиллагаа хоёрыг хуулийн хүрээнд зааглан зохицуулсан, төрлөөсөн хуулийн зорилготой зөрчилдсөн байна.</w:t>
            </w:r>
          </w:p>
          <w:p w14:paraId="60215AE6"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7AA91D51"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Иймд Татварын ерөнхий хуулийн 82, 83, 84 дүгээр зүйлтийг Зөрчлийн тухай хуулийн 11.19 дүгээр зүйлд хуульчлах.</w:t>
            </w:r>
          </w:p>
          <w:p w14:paraId="44D69E9E" w14:textId="77777777" w:rsidR="00D40FB9" w:rsidRPr="00B06D9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p>
          <w:p w14:paraId="333A8352" w14:textId="05DC2E96" w:rsidR="00D40FB9" w:rsidRPr="00651746" w:rsidRDefault="00D40FB9"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w:t>
            </w:r>
            <w:r w:rsidR="002546C3">
              <w:rPr>
                <w:rFonts w:asciiTheme="minorBidi" w:eastAsia="Times New Roman" w:hAnsiTheme="minorBidi"/>
                <w:color w:val="000000" w:themeColor="text1"/>
                <w:kern w:val="0"/>
                <w:sz w:val="20"/>
                <w:szCs w:val="20"/>
                <w:lang w:val="mn-MN"/>
                <w14:ligatures w14:val="none"/>
              </w:rPr>
              <w:t xml:space="preserve"> </w:t>
            </w:r>
            <w:r w:rsidRPr="00B06D96">
              <w:rPr>
                <w:rFonts w:asciiTheme="minorBidi" w:eastAsia="Times New Roman" w:hAnsiTheme="minorBidi"/>
                <w:color w:val="000000" w:themeColor="text1"/>
                <w:kern w:val="0"/>
                <w:sz w:val="20"/>
                <w:szCs w:val="20"/>
                <w:lang w:val="mn-MN"/>
                <w14:ligatures w14:val="none"/>
              </w:rPr>
              <w:t>82 дугаар зүйлийн 82.2 дахь хэсгийг, 83 дугаар зүйлийн 83.3 дахь хэсгийг, 84 дугаар зүйлийн 84.2 дахь хэсгийг” гэснийг “…82, 83, 84 дугаар зүйлүүд” гэж өөрчлөх.</w:t>
            </w:r>
          </w:p>
        </w:tc>
        <w:tc>
          <w:tcPr>
            <w:tcW w:w="1217" w:type="dxa"/>
            <w:vMerge/>
            <w:vAlign w:val="center"/>
          </w:tcPr>
          <w:p w14:paraId="66CCAAAB" w14:textId="77777777" w:rsidR="00D40FB9" w:rsidRPr="00183AF8"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p>
        </w:tc>
        <w:tc>
          <w:tcPr>
            <w:tcW w:w="5443" w:type="dxa"/>
            <w:vAlign w:val="center"/>
          </w:tcPr>
          <w:p w14:paraId="5D975568" w14:textId="70C11361" w:rsidR="00D40FB9" w:rsidRPr="00B06D96" w:rsidRDefault="00D40FB9" w:rsidP="00A0556B">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Зөрчлийн тухай хууль нь хууль тогтоомж зөрчсөн хүн, хуулийн этгээдэд захиргааны зөрчилд хариуцлага оногдуулах нийтлэг зорилготой</w:t>
            </w:r>
            <w:r>
              <w:rPr>
                <w:rFonts w:asciiTheme="minorBidi" w:eastAsia="Times New Roman" w:hAnsiTheme="minorBidi"/>
                <w:color w:val="000000" w:themeColor="text1"/>
                <w:kern w:val="0"/>
                <w:sz w:val="20"/>
                <w:szCs w:val="20"/>
                <w:lang w:val="mn-MN"/>
                <w14:ligatures w14:val="none"/>
              </w:rPr>
              <w:t xml:space="preserve"> </w:t>
            </w:r>
            <w:r w:rsidRPr="00B06D96">
              <w:rPr>
                <w:rFonts w:asciiTheme="minorBidi" w:eastAsia="Times New Roman" w:hAnsiTheme="minorBidi"/>
                <w:color w:val="000000" w:themeColor="text1"/>
                <w:kern w:val="0"/>
                <w:sz w:val="20"/>
                <w:szCs w:val="20"/>
                <w:lang w:val="mn-MN"/>
                <w14:ligatures w14:val="none"/>
              </w:rPr>
              <w:t>бөгөөд зөрчил шалган шийдвэрлэх ажиллагааны тусгай журмыг зохицуулдаг. Харин Татварын ерөнхий хуулийн 82, 83, 84 дүгээр зүйлүүд нь татварын харилцаанд оролцогч этгээд татварын хуулиар хүлээсэн тодорхой үүргээ биелүүлээгүй, эсхүл зөрчсөн тохиолдолд татварын удирдлагын хүрээнд хүлээлгэх хариуцлагын зохицуулалт юм.</w:t>
            </w:r>
          </w:p>
          <w:p w14:paraId="11B46262" w14:textId="77777777" w:rsidR="00D40FB9" w:rsidRPr="00B06D96" w:rsidRDefault="00D40FB9" w:rsidP="00A0556B">
            <w:pPr>
              <w:spacing w:after="0" w:line="240" w:lineRule="auto"/>
              <w:jc w:val="both"/>
              <w:rPr>
                <w:rFonts w:asciiTheme="minorBidi" w:eastAsia="Times New Roman" w:hAnsiTheme="minorBidi"/>
                <w:color w:val="000000" w:themeColor="text1"/>
                <w:kern w:val="0"/>
                <w:sz w:val="20"/>
                <w:szCs w:val="20"/>
                <w:lang w:val="mn-MN"/>
                <w14:ligatures w14:val="none"/>
              </w:rPr>
            </w:pPr>
          </w:p>
          <w:p w14:paraId="54BC3FB5" w14:textId="502EF6C8" w:rsidR="00D40FB9" w:rsidRPr="00183AF8" w:rsidRDefault="00D40FB9" w:rsidP="00A0556B">
            <w:pPr>
              <w:spacing w:after="0" w:line="240" w:lineRule="auto"/>
              <w:jc w:val="both"/>
              <w:rPr>
                <w:rFonts w:asciiTheme="minorBidi" w:eastAsia="Times New Roman" w:hAnsiTheme="minorBidi"/>
                <w:color w:val="000000" w:themeColor="text1"/>
                <w:kern w:val="0"/>
                <w:sz w:val="20"/>
                <w:szCs w:val="20"/>
                <w:lang w:val="mn-MN"/>
                <w14:ligatures w14:val="none"/>
              </w:rPr>
            </w:pPr>
            <w:r w:rsidRPr="00B06D96">
              <w:rPr>
                <w:rFonts w:asciiTheme="minorBidi" w:eastAsia="Times New Roman" w:hAnsiTheme="minorBidi"/>
                <w:color w:val="000000" w:themeColor="text1"/>
                <w:kern w:val="0"/>
                <w:sz w:val="20"/>
                <w:szCs w:val="20"/>
                <w:lang w:val="mn-MN"/>
                <w14:ligatures w14:val="none"/>
              </w:rPr>
              <w:t xml:space="preserve">Иймд эдгээр заалтууд нь Эрүүгийн хууль болон Зөрчлийн тухай хуулиар зохицуулагддаг гэмт хэрэг, захиргааны зөрчлийн хариуцлагыг давхардуулж тогтоосон бус, харин татварын сахилга бат, татварын </w:t>
            </w:r>
            <w:r w:rsidRPr="00B06D96">
              <w:rPr>
                <w:rFonts w:asciiTheme="minorBidi" w:eastAsia="Times New Roman" w:hAnsiTheme="minorBidi"/>
                <w:color w:val="000000" w:themeColor="text1"/>
                <w:kern w:val="0"/>
                <w:sz w:val="20"/>
                <w:szCs w:val="20"/>
                <w:lang w:val="mn-MN"/>
                <w14:ligatures w14:val="none"/>
              </w:rPr>
              <w:lastRenderedPageBreak/>
              <w:t>хууль тогтоомжийн хэрэгжилтийг хангах зорилготой тусгай зохицуулалт бөгөөд эрх зүйн шинж, зорилгын хувьд хоорондоо ялгаатай юм.</w:t>
            </w:r>
          </w:p>
        </w:tc>
      </w:tr>
      <w:tr w:rsidR="00D40FB9" w:rsidRPr="009C6C7D" w14:paraId="24D182ED" w14:textId="77777777" w:rsidTr="002E095E">
        <w:trPr>
          <w:trHeight w:val="510"/>
          <w:jc w:val="center"/>
        </w:trPr>
        <w:tc>
          <w:tcPr>
            <w:tcW w:w="1655" w:type="dxa"/>
            <w:vMerge/>
          </w:tcPr>
          <w:p w14:paraId="0BB14249" w14:textId="77777777" w:rsidR="00D40FB9" w:rsidRDefault="00D40FB9" w:rsidP="00B06D96">
            <w:pPr>
              <w:spacing w:after="0" w:line="240" w:lineRule="auto"/>
              <w:jc w:val="center"/>
              <w:rPr>
                <w:rFonts w:asciiTheme="minorBidi" w:eastAsia="Times New Roman" w:hAnsiTheme="minorBidi"/>
                <w:b/>
                <w:bCs/>
                <w:color w:val="000000" w:themeColor="text1"/>
                <w:kern w:val="0"/>
                <w:sz w:val="20"/>
                <w:szCs w:val="20"/>
                <w:lang w:val="mn-MN"/>
                <w14:ligatures w14:val="none"/>
              </w:rPr>
            </w:pPr>
          </w:p>
        </w:tc>
        <w:tc>
          <w:tcPr>
            <w:tcW w:w="1655" w:type="dxa"/>
            <w:vAlign w:val="center"/>
          </w:tcPr>
          <w:p w14:paraId="2A4895AE" w14:textId="718DEE85" w:rsidR="00D40FB9" w:rsidRPr="007C4C4F" w:rsidRDefault="00D40FB9" w:rsidP="002E095E">
            <w:pPr>
              <w:spacing w:after="0" w:line="240" w:lineRule="auto"/>
              <w:jc w:val="center"/>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Эрүүгийн хуульд өөрчлөлт оруулах тухай</w:t>
            </w:r>
          </w:p>
        </w:tc>
        <w:tc>
          <w:tcPr>
            <w:tcW w:w="5505" w:type="dxa"/>
            <w:vAlign w:val="center"/>
          </w:tcPr>
          <w:p w14:paraId="376105A0"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 xml:space="preserve">Татварын ерөнхий хуулийн 6 дугаар зүйлийн 6.1.23-т заасан “татвар төлөхөөс зугтах” үйлдэл, эс үйлдэхүй, 6.1.24-т заасан “татвараас зайлсхийх” үйлдэл Эрүүгийн хуулийн 18.3 дугаар зүйлд заасан “Татвар төлөхөөс зайлсхийх” гэмт хэргийн </w:t>
            </w:r>
            <w:proofErr w:type="spellStart"/>
            <w:r w:rsidRPr="007C4C4F">
              <w:rPr>
                <w:rFonts w:asciiTheme="minorBidi" w:eastAsia="Times New Roman" w:hAnsiTheme="minorBidi"/>
                <w:color w:val="000000" w:themeColor="text1"/>
                <w:kern w:val="0"/>
                <w:sz w:val="20"/>
                <w:szCs w:val="20"/>
                <w:lang w:val="mn-MN"/>
                <w14:ligatures w14:val="none"/>
              </w:rPr>
              <w:t>обьектив</w:t>
            </w:r>
            <w:proofErr w:type="spellEnd"/>
            <w:r w:rsidRPr="007C4C4F">
              <w:rPr>
                <w:rFonts w:asciiTheme="minorBidi" w:eastAsia="Times New Roman" w:hAnsiTheme="minorBidi"/>
                <w:color w:val="000000" w:themeColor="text1"/>
                <w:kern w:val="0"/>
                <w:sz w:val="20"/>
                <w:szCs w:val="20"/>
                <w:lang w:val="mn-MN"/>
                <w14:ligatures w14:val="none"/>
              </w:rPr>
              <w:t xml:space="preserve"> талын шинжид хамаарна.</w:t>
            </w:r>
          </w:p>
          <w:p w14:paraId="20219EE6"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p>
          <w:p w14:paraId="44D993E1"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Татварын ерөнхий хуульд “татвараас зайлсхийх” гэж татварын ногдлыг бууруулах, татварын суурь багасгах, эсхүл алдагдлыг нэмэгдүүлэх үндсэн зорилготой ... “үйлдлийг ойлгоно” гэж хуульчилсан нь татвараас зайлсхийх гэмт хэргийн “татвар ногдох орлогыг зориуд худал тодорхойлсон” шинжтэй нийцэж байна.</w:t>
            </w:r>
          </w:p>
          <w:p w14:paraId="6A0AECA9"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p>
          <w:p w14:paraId="40260C00"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 xml:space="preserve">Эрүүгийн хуулийн тусгай ангид заасан гэмт хэргийн шинж </w:t>
            </w:r>
            <w:proofErr w:type="spellStart"/>
            <w:r w:rsidRPr="007C4C4F">
              <w:rPr>
                <w:rFonts w:asciiTheme="minorBidi" w:eastAsia="Times New Roman" w:hAnsiTheme="minorBidi"/>
                <w:color w:val="000000" w:themeColor="text1"/>
                <w:kern w:val="0"/>
                <w:sz w:val="20"/>
                <w:szCs w:val="20"/>
                <w:lang w:val="mn-MN"/>
                <w14:ligatures w14:val="none"/>
              </w:rPr>
              <w:t>обьектив</w:t>
            </w:r>
            <w:proofErr w:type="spellEnd"/>
            <w:r w:rsidRPr="007C4C4F">
              <w:rPr>
                <w:rFonts w:asciiTheme="minorBidi" w:eastAsia="Times New Roman" w:hAnsiTheme="minorBidi"/>
                <w:color w:val="000000" w:themeColor="text1"/>
                <w:kern w:val="0"/>
                <w:sz w:val="20"/>
                <w:szCs w:val="20"/>
                <w:lang w:val="mn-MN"/>
                <w14:ligatures w14:val="none"/>
              </w:rPr>
              <w:t xml:space="preserve"> болон субьектив шинжүүдийн нэгдлээр тодорхойлогддог. Хууль санаачлагчийн зүгээс гэмт хэргийн шинжийг өөрчлөх бус, зөвхөн нэршлийг өөрчлөх замаар хууль хэрэглээний давхардлыг арилгах боломжтой гэж дүгнэсэн нь үндэслэлгүй.</w:t>
            </w:r>
          </w:p>
          <w:p w14:paraId="0EA73877"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 xml:space="preserve">Татвараас зайлсхийх (tax avoidance) болон татвараас зугтах (tax evasion) үйлдлүүд эрх зүйн хувьд ялгаатай ойлголтууд боловч Татварын ерөнхий хуульд ижил төстэй байдлаар томьёолсон нь хууль хэрэглээний хувьд ойлгомжгүй тул Татварын ерөнхий хууль, Зөрчлийн болон Эрүүгийн хуульд дээрх ойлголтыг олон улсын чиг хандлага, татварын эрх зүйн суурь зарчимд нийцүүлэн тайлбарлаж өөрчилсний үндсэн дээр “татвар төлөхөөс </w:t>
            </w:r>
            <w:r w:rsidRPr="007C4C4F">
              <w:rPr>
                <w:rFonts w:asciiTheme="minorBidi" w:eastAsia="Times New Roman" w:hAnsiTheme="minorBidi"/>
                <w:color w:val="000000" w:themeColor="text1"/>
                <w:kern w:val="0"/>
                <w:sz w:val="20"/>
                <w:szCs w:val="20"/>
                <w:lang w:val="mn-MN"/>
                <w14:ligatures w14:val="none"/>
              </w:rPr>
              <w:lastRenderedPageBreak/>
              <w:t>зайлсхийх” гэмт хэргийн шинж, нэршилд өөрчлөлт оруулах эсэхийг шийдвэрлэх нь зүйтэй.</w:t>
            </w:r>
          </w:p>
          <w:p w14:paraId="402DE640" w14:textId="77777777" w:rsidR="00D40FB9" w:rsidRPr="007C4C4F"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p>
          <w:p w14:paraId="3DA2FFAA" w14:textId="3BE707DB" w:rsidR="00D40FB9" w:rsidRPr="00B06D96" w:rsidRDefault="00D40FB9" w:rsidP="007C4C4F">
            <w:pPr>
              <w:spacing w:after="0" w:line="240" w:lineRule="auto"/>
              <w:jc w:val="both"/>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Иймд Эрүүгийн хуульд өөрчлөлт оруулах тухай хуулийн төслийг бүхэлд нь хасах.</w:t>
            </w:r>
          </w:p>
        </w:tc>
        <w:tc>
          <w:tcPr>
            <w:tcW w:w="1217" w:type="dxa"/>
            <w:vMerge/>
            <w:vAlign w:val="center"/>
          </w:tcPr>
          <w:p w14:paraId="3136F33A" w14:textId="77777777" w:rsidR="00D40FB9" w:rsidRPr="00183AF8"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p>
        </w:tc>
        <w:tc>
          <w:tcPr>
            <w:tcW w:w="5443" w:type="dxa"/>
            <w:vAlign w:val="center"/>
          </w:tcPr>
          <w:p w14:paraId="241DC313" w14:textId="7CEFB8E3" w:rsidR="00D40FB9" w:rsidRPr="00B06D96" w:rsidRDefault="0023027F"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23027F">
              <w:rPr>
                <w:rFonts w:asciiTheme="minorBidi" w:eastAsia="Times New Roman" w:hAnsiTheme="minorBidi"/>
                <w:color w:val="000000" w:themeColor="text1"/>
                <w:kern w:val="0"/>
                <w:sz w:val="20"/>
                <w:szCs w:val="20"/>
                <w:lang w:val="mn-MN"/>
                <w14:ligatures w14:val="none"/>
              </w:rPr>
              <w:t>Саналыг хүлээн авч хуулийн төслийг бүхэлд нь хассан</w:t>
            </w:r>
            <w:r>
              <w:rPr>
                <w:rFonts w:asciiTheme="minorBidi" w:eastAsia="Times New Roman" w:hAnsiTheme="minorBidi"/>
                <w:color w:val="000000" w:themeColor="text1"/>
                <w:kern w:val="0"/>
                <w:sz w:val="20"/>
                <w:szCs w:val="20"/>
                <w:lang w:val="mn-MN"/>
                <w14:ligatures w14:val="none"/>
              </w:rPr>
              <w:t>.</w:t>
            </w:r>
          </w:p>
        </w:tc>
      </w:tr>
      <w:tr w:rsidR="00D40FB9" w:rsidRPr="009C6C7D" w14:paraId="7CCAE66A" w14:textId="77777777" w:rsidTr="002E095E">
        <w:trPr>
          <w:trHeight w:val="510"/>
          <w:jc w:val="center"/>
        </w:trPr>
        <w:tc>
          <w:tcPr>
            <w:tcW w:w="1655" w:type="dxa"/>
            <w:vMerge/>
          </w:tcPr>
          <w:p w14:paraId="03F8CC15" w14:textId="77777777" w:rsidR="00D40FB9" w:rsidRDefault="00D40FB9" w:rsidP="00B06D96">
            <w:pPr>
              <w:spacing w:after="0" w:line="240" w:lineRule="auto"/>
              <w:jc w:val="center"/>
              <w:rPr>
                <w:rFonts w:asciiTheme="minorBidi" w:eastAsia="Times New Roman" w:hAnsiTheme="minorBidi"/>
                <w:b/>
                <w:bCs/>
                <w:color w:val="000000" w:themeColor="text1"/>
                <w:kern w:val="0"/>
                <w:sz w:val="20"/>
                <w:szCs w:val="20"/>
                <w:lang w:val="mn-MN"/>
                <w14:ligatures w14:val="none"/>
              </w:rPr>
            </w:pPr>
          </w:p>
        </w:tc>
        <w:tc>
          <w:tcPr>
            <w:tcW w:w="1655" w:type="dxa"/>
            <w:vAlign w:val="center"/>
          </w:tcPr>
          <w:p w14:paraId="7ABA02E3" w14:textId="45F4FC2F" w:rsidR="00D40FB9" w:rsidRPr="007C4C4F" w:rsidRDefault="00D40FB9" w:rsidP="002E095E">
            <w:pPr>
              <w:spacing w:after="0" w:line="240" w:lineRule="auto"/>
              <w:jc w:val="center"/>
              <w:rPr>
                <w:rFonts w:asciiTheme="minorBidi" w:eastAsia="Times New Roman" w:hAnsiTheme="minorBidi"/>
                <w:color w:val="000000" w:themeColor="text1"/>
                <w:kern w:val="0"/>
                <w:sz w:val="20"/>
                <w:szCs w:val="20"/>
                <w:lang w:val="mn-MN"/>
                <w14:ligatures w14:val="none"/>
              </w:rPr>
            </w:pPr>
            <w:r w:rsidRPr="007C4C4F">
              <w:rPr>
                <w:rFonts w:asciiTheme="minorBidi" w:eastAsia="Times New Roman" w:hAnsiTheme="minorBidi"/>
                <w:color w:val="000000" w:themeColor="text1"/>
                <w:kern w:val="0"/>
                <w:sz w:val="20"/>
                <w:szCs w:val="20"/>
                <w:lang w:val="mn-MN"/>
                <w14:ligatures w14:val="none"/>
              </w:rPr>
              <w:t>Зөрлийн тухай хуульд нэмэлт, өөрчлөлт оруулах тухай</w:t>
            </w:r>
          </w:p>
        </w:tc>
        <w:tc>
          <w:tcPr>
            <w:tcW w:w="5505" w:type="dxa"/>
            <w:vAlign w:val="center"/>
          </w:tcPr>
          <w:p w14:paraId="10961E60" w14:textId="7777777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Зөрчлийн тухай хуулийн 11.19 дүгээр зүйл. Татварын хууль зөрчих</w:t>
            </w:r>
          </w:p>
          <w:p w14:paraId="6A180F4E" w14:textId="7777777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“8. Бараа, ажил, үйлчилгээ борлуулж байгаа хүн, хуулийн этгээдэд:</w:t>
            </w:r>
          </w:p>
          <w:p w14:paraId="381019A6" w14:textId="6DFA226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8.1.төлбөрийн баримт олгоогүй бол өмнөх тайлант сарын хугацаанд олсон орлогын үнийн дүнгийн 2 хувь;</w:t>
            </w:r>
          </w:p>
          <w:p w14:paraId="5CB4C7E0" w14:textId="3006CC3E"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8.2.төлбөрийн баримтыг борлуулалтын үнийн дүнгээс зөрүүтэй олгосон бол өмнөх тайлант сарын хугацаанд олсон орлогын үнийн дүнгийн 20 хувьд тэнцэх хэмжээний төгрөгөөр торгоно.”</w:t>
            </w:r>
          </w:p>
          <w:p w14:paraId="1E64BCA9" w14:textId="7777777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p>
          <w:p w14:paraId="19A66288" w14:textId="7777777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Хүн, хуулийн этгээдийн төлбөрийн баримт олгох үүргээ биелүүлээгүй зөрчил санаатайгаар үйлдэгддэг тул оногдуулах шийтгэлийн хэмжээг нэмэгдүүлэх, харин олгох үүргээ биелүүлсэн боловч зөрүүтэй дүнгээр олгосон хүн, хуулийн этгээдэд оногдуулах шийтгэлийн хэмжээг багасган ялгамжтай байдлаар хуульчлах.</w:t>
            </w:r>
          </w:p>
          <w:p w14:paraId="1F1ECBA8" w14:textId="77777777"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p>
          <w:p w14:paraId="7B77B41C" w14:textId="0FD6460F" w:rsidR="00D40FB9"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“8.1.төлбөрийн баримт олгоогүй бол өмнөх тайлант улирлын хугацаанд олсон орлогын үнийн дүнгийн 2 хувь;</w:t>
            </w:r>
          </w:p>
          <w:p w14:paraId="4D0DC6AF" w14:textId="2A4A77A1" w:rsidR="00D40FB9" w:rsidRPr="00B06D96"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sidRPr="002E095E">
              <w:rPr>
                <w:rFonts w:asciiTheme="minorBidi" w:eastAsia="Times New Roman" w:hAnsiTheme="minorBidi"/>
                <w:color w:val="000000" w:themeColor="text1"/>
                <w:kern w:val="0"/>
                <w:sz w:val="20"/>
                <w:szCs w:val="20"/>
                <w:lang w:val="mn-MN"/>
                <w14:ligatures w14:val="none"/>
              </w:rPr>
              <w:t>8.2.төлбөрийн баримтыг борлуулалтын үнийн дүнгээс зөрүүтэй олгосон бол өмнөх тайлант сарын хугацаанд олсон орлогын үнийн дүнгийн 2 хувтай тэнцэх хэмжээний төгрөгөөр торгоно.”</w:t>
            </w:r>
          </w:p>
        </w:tc>
        <w:tc>
          <w:tcPr>
            <w:tcW w:w="1217" w:type="dxa"/>
            <w:vMerge/>
            <w:vAlign w:val="center"/>
          </w:tcPr>
          <w:p w14:paraId="248C0A1B" w14:textId="77777777" w:rsidR="00D40FB9" w:rsidRPr="00183AF8"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p>
        </w:tc>
        <w:tc>
          <w:tcPr>
            <w:tcW w:w="5443" w:type="dxa"/>
            <w:vAlign w:val="center"/>
          </w:tcPr>
          <w:p w14:paraId="2B6C822E" w14:textId="4915A38A" w:rsidR="00D40FB9" w:rsidRPr="00B06D96" w:rsidRDefault="0023027F" w:rsidP="00B06D96">
            <w:pPr>
              <w:spacing w:after="0" w:line="240" w:lineRule="auto"/>
              <w:jc w:val="both"/>
              <w:rPr>
                <w:rFonts w:asciiTheme="minorBidi" w:eastAsia="Times New Roman" w:hAnsiTheme="minorBidi"/>
                <w:color w:val="000000" w:themeColor="text1"/>
                <w:kern w:val="0"/>
                <w:sz w:val="20"/>
                <w:szCs w:val="20"/>
                <w:lang w:val="mn-MN"/>
                <w14:ligatures w14:val="none"/>
              </w:rPr>
            </w:pPr>
            <w:r w:rsidRPr="0023027F">
              <w:rPr>
                <w:rFonts w:asciiTheme="minorBidi" w:eastAsia="Times New Roman" w:hAnsiTheme="minorBidi"/>
                <w:color w:val="000000" w:themeColor="text1"/>
                <w:kern w:val="0"/>
                <w:sz w:val="20"/>
                <w:szCs w:val="20"/>
                <w:lang w:val="mn-MN"/>
                <w14:ligatures w14:val="none"/>
              </w:rPr>
              <w:t>Саналыг хүлээн авч хуулийн төсөлд тусгасан</w:t>
            </w:r>
            <w:r>
              <w:rPr>
                <w:rFonts w:asciiTheme="minorBidi" w:eastAsia="Times New Roman" w:hAnsiTheme="minorBidi"/>
                <w:color w:val="000000" w:themeColor="text1"/>
                <w:kern w:val="0"/>
                <w:sz w:val="20"/>
                <w:szCs w:val="20"/>
                <w:lang w:val="mn-MN"/>
                <w14:ligatures w14:val="none"/>
              </w:rPr>
              <w:t>.</w:t>
            </w:r>
          </w:p>
        </w:tc>
      </w:tr>
      <w:tr w:rsidR="00073FA0" w:rsidRPr="00651746" w14:paraId="6A8C74FD" w14:textId="77777777" w:rsidTr="00D40FB9">
        <w:trPr>
          <w:trHeight w:val="510"/>
          <w:jc w:val="center"/>
        </w:trPr>
        <w:tc>
          <w:tcPr>
            <w:tcW w:w="1655" w:type="dxa"/>
          </w:tcPr>
          <w:p w14:paraId="1264E42E" w14:textId="658F093B" w:rsidR="00073FA0" w:rsidRPr="00D40FB9" w:rsidRDefault="00935877" w:rsidP="00B06D96">
            <w:pPr>
              <w:spacing w:after="0" w:line="240" w:lineRule="auto"/>
              <w:jc w:val="center"/>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 xml:space="preserve">Монгол </w:t>
            </w:r>
            <w:r w:rsidR="00D40FB9" w:rsidRPr="00D40FB9">
              <w:rPr>
                <w:rFonts w:asciiTheme="minorBidi" w:eastAsia="Times New Roman" w:hAnsiTheme="minorBidi"/>
                <w:color w:val="000000" w:themeColor="text1"/>
                <w:kern w:val="0"/>
                <w:sz w:val="20"/>
                <w:szCs w:val="20"/>
                <w:lang w:val="mn-MN"/>
                <w14:ligatures w14:val="none"/>
              </w:rPr>
              <w:t>Улсын дээд шүүх</w:t>
            </w:r>
          </w:p>
        </w:tc>
        <w:tc>
          <w:tcPr>
            <w:tcW w:w="1655" w:type="dxa"/>
            <w:vAlign w:val="center"/>
          </w:tcPr>
          <w:p w14:paraId="439280B8" w14:textId="028B62CF" w:rsidR="00073FA0" w:rsidRPr="007C4C4F" w:rsidRDefault="00D40FB9" w:rsidP="002E095E">
            <w:pPr>
              <w:spacing w:after="0" w:line="240" w:lineRule="auto"/>
              <w:jc w:val="center"/>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w:t>
            </w:r>
          </w:p>
        </w:tc>
        <w:tc>
          <w:tcPr>
            <w:tcW w:w="5505" w:type="dxa"/>
            <w:vAlign w:val="center"/>
          </w:tcPr>
          <w:p w14:paraId="6660DBAC" w14:textId="55079732" w:rsidR="00073FA0" w:rsidRPr="002E095E" w:rsidRDefault="00D40FB9" w:rsidP="002E095E">
            <w:pPr>
              <w:spacing w:after="0" w:line="240" w:lineRule="auto"/>
              <w:jc w:val="both"/>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Санал ирүүлээгүй.</w:t>
            </w:r>
          </w:p>
        </w:tc>
        <w:tc>
          <w:tcPr>
            <w:tcW w:w="1217" w:type="dxa"/>
            <w:vAlign w:val="center"/>
          </w:tcPr>
          <w:p w14:paraId="2CD8449B" w14:textId="222F7C22" w:rsidR="00073FA0" w:rsidRPr="00183AF8" w:rsidRDefault="00D40FB9" w:rsidP="00B06D96">
            <w:pPr>
              <w:spacing w:after="0" w:line="240" w:lineRule="auto"/>
              <w:jc w:val="center"/>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w:t>
            </w:r>
          </w:p>
        </w:tc>
        <w:tc>
          <w:tcPr>
            <w:tcW w:w="5443" w:type="dxa"/>
            <w:vAlign w:val="center"/>
          </w:tcPr>
          <w:p w14:paraId="7FCCB018" w14:textId="12B9FA39" w:rsidR="00073FA0" w:rsidRPr="00B06D96" w:rsidRDefault="00D40FB9" w:rsidP="00D40FB9">
            <w:pPr>
              <w:spacing w:after="0" w:line="240" w:lineRule="auto"/>
              <w:jc w:val="center"/>
              <w:rPr>
                <w:rFonts w:asciiTheme="minorBidi" w:eastAsia="Times New Roman" w:hAnsiTheme="minorBidi"/>
                <w:color w:val="000000" w:themeColor="text1"/>
                <w:kern w:val="0"/>
                <w:sz w:val="20"/>
                <w:szCs w:val="20"/>
                <w:lang w:val="mn-MN"/>
                <w14:ligatures w14:val="none"/>
              </w:rPr>
            </w:pPr>
            <w:r>
              <w:rPr>
                <w:rFonts w:asciiTheme="minorBidi" w:eastAsia="Times New Roman" w:hAnsiTheme="minorBidi"/>
                <w:color w:val="000000" w:themeColor="text1"/>
                <w:kern w:val="0"/>
                <w:sz w:val="20"/>
                <w:szCs w:val="20"/>
                <w:lang w:val="mn-MN"/>
                <w14:ligatures w14:val="none"/>
              </w:rPr>
              <w:t>-</w:t>
            </w:r>
          </w:p>
        </w:tc>
      </w:tr>
    </w:tbl>
    <w:p w14:paraId="4D6E5CB5" w14:textId="77777777" w:rsidR="00C562E0" w:rsidRPr="00D559CF" w:rsidRDefault="00C562E0" w:rsidP="001F6E2E">
      <w:pPr>
        <w:spacing w:after="0"/>
        <w:rPr>
          <w:rFonts w:asciiTheme="minorBidi" w:hAnsiTheme="minorBidi"/>
          <w:b/>
          <w:bCs/>
          <w:color w:val="000000" w:themeColor="text1"/>
          <w:sz w:val="20"/>
          <w:szCs w:val="20"/>
          <w:lang w:val="mn-MN"/>
        </w:rPr>
      </w:pPr>
    </w:p>
    <w:sectPr w:rsidR="00C562E0" w:rsidRPr="00D559CF" w:rsidSect="00F74A29">
      <w:pgSz w:w="16838" w:h="11906" w:orient="landscape" w:code="9"/>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CE"/>
    <w:rsid w:val="00073FA0"/>
    <w:rsid w:val="000E0D6B"/>
    <w:rsid w:val="00107D5F"/>
    <w:rsid w:val="00183AF8"/>
    <w:rsid w:val="001F6E2E"/>
    <w:rsid w:val="00205E0D"/>
    <w:rsid w:val="0023027F"/>
    <w:rsid w:val="002546C3"/>
    <w:rsid w:val="00263131"/>
    <w:rsid w:val="002E095E"/>
    <w:rsid w:val="0030298F"/>
    <w:rsid w:val="00330EF1"/>
    <w:rsid w:val="00345F0E"/>
    <w:rsid w:val="00357594"/>
    <w:rsid w:val="00370F66"/>
    <w:rsid w:val="00373CDE"/>
    <w:rsid w:val="003E4CDF"/>
    <w:rsid w:val="00405D6F"/>
    <w:rsid w:val="00407666"/>
    <w:rsid w:val="00421020"/>
    <w:rsid w:val="00422DCE"/>
    <w:rsid w:val="00442E6C"/>
    <w:rsid w:val="00464EB2"/>
    <w:rsid w:val="00483E35"/>
    <w:rsid w:val="0053285F"/>
    <w:rsid w:val="00651746"/>
    <w:rsid w:val="00651E38"/>
    <w:rsid w:val="006773AA"/>
    <w:rsid w:val="006F5D39"/>
    <w:rsid w:val="00734721"/>
    <w:rsid w:val="00791E8B"/>
    <w:rsid w:val="007C4AFB"/>
    <w:rsid w:val="007C4C4F"/>
    <w:rsid w:val="00816DD4"/>
    <w:rsid w:val="008A0BE5"/>
    <w:rsid w:val="00935877"/>
    <w:rsid w:val="00966562"/>
    <w:rsid w:val="00975A92"/>
    <w:rsid w:val="00980C1F"/>
    <w:rsid w:val="009C6C7D"/>
    <w:rsid w:val="00A03CF9"/>
    <w:rsid w:val="00A0556B"/>
    <w:rsid w:val="00A30FA1"/>
    <w:rsid w:val="00A5140C"/>
    <w:rsid w:val="00B06D96"/>
    <w:rsid w:val="00C562E0"/>
    <w:rsid w:val="00C65F7E"/>
    <w:rsid w:val="00CF4EAA"/>
    <w:rsid w:val="00D37831"/>
    <w:rsid w:val="00D40FB9"/>
    <w:rsid w:val="00D559CF"/>
    <w:rsid w:val="00EB0566"/>
    <w:rsid w:val="00EF30E9"/>
    <w:rsid w:val="00F165CD"/>
    <w:rsid w:val="00F74A29"/>
    <w:rsid w:val="00F94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8508"/>
  <w15:chartTrackingRefBased/>
  <w15:docId w15:val="{C3D676DF-AA9E-4A51-9FEC-4005B06E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D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D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D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D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D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D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D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D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D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D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D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D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D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D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D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DCE"/>
    <w:rPr>
      <w:rFonts w:eastAsiaTheme="majorEastAsia" w:cstheme="majorBidi"/>
      <w:color w:val="272727" w:themeColor="text1" w:themeTint="D8"/>
    </w:rPr>
  </w:style>
  <w:style w:type="paragraph" w:styleId="Title">
    <w:name w:val="Title"/>
    <w:basedOn w:val="Normal"/>
    <w:next w:val="Normal"/>
    <w:link w:val="TitleChar"/>
    <w:uiPriority w:val="10"/>
    <w:qFormat/>
    <w:rsid w:val="00422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D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D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D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DCE"/>
    <w:pPr>
      <w:spacing w:before="160"/>
      <w:jc w:val="center"/>
    </w:pPr>
    <w:rPr>
      <w:i/>
      <w:iCs/>
      <w:color w:val="404040" w:themeColor="text1" w:themeTint="BF"/>
    </w:rPr>
  </w:style>
  <w:style w:type="character" w:customStyle="1" w:styleId="QuoteChar">
    <w:name w:val="Quote Char"/>
    <w:basedOn w:val="DefaultParagraphFont"/>
    <w:link w:val="Quote"/>
    <w:uiPriority w:val="29"/>
    <w:rsid w:val="00422DCE"/>
    <w:rPr>
      <w:i/>
      <w:iCs/>
      <w:color w:val="404040" w:themeColor="text1" w:themeTint="BF"/>
    </w:rPr>
  </w:style>
  <w:style w:type="paragraph" w:styleId="ListParagraph">
    <w:name w:val="List Paragraph"/>
    <w:basedOn w:val="Normal"/>
    <w:uiPriority w:val="34"/>
    <w:qFormat/>
    <w:rsid w:val="00422DCE"/>
    <w:pPr>
      <w:ind w:left="720"/>
      <w:contextualSpacing/>
    </w:pPr>
  </w:style>
  <w:style w:type="character" w:styleId="IntenseEmphasis">
    <w:name w:val="Intense Emphasis"/>
    <w:basedOn w:val="DefaultParagraphFont"/>
    <w:uiPriority w:val="21"/>
    <w:qFormat/>
    <w:rsid w:val="00422DCE"/>
    <w:rPr>
      <w:i/>
      <w:iCs/>
      <w:color w:val="0F4761" w:themeColor="accent1" w:themeShade="BF"/>
    </w:rPr>
  </w:style>
  <w:style w:type="paragraph" w:styleId="IntenseQuote">
    <w:name w:val="Intense Quote"/>
    <w:basedOn w:val="Normal"/>
    <w:next w:val="Normal"/>
    <w:link w:val="IntenseQuoteChar"/>
    <w:uiPriority w:val="30"/>
    <w:qFormat/>
    <w:rsid w:val="00422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DCE"/>
    <w:rPr>
      <w:i/>
      <w:iCs/>
      <w:color w:val="0F4761" w:themeColor="accent1" w:themeShade="BF"/>
    </w:rPr>
  </w:style>
  <w:style w:type="character" w:styleId="IntenseReference">
    <w:name w:val="Intense Reference"/>
    <w:basedOn w:val="DefaultParagraphFont"/>
    <w:uiPriority w:val="32"/>
    <w:qFormat/>
    <w:rsid w:val="00422D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A2BA264-B9AD-4155-ABEE-272D0AA82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A0D00-9FB2-428D-92A5-ECA0346777DC}">
  <ds:schemaRefs>
    <ds:schemaRef ds:uri="http://schemas.microsoft.com/sharepoint/v3/contenttype/forms"/>
  </ds:schemaRefs>
</ds:datastoreItem>
</file>

<file path=customXml/itemProps3.xml><?xml version="1.0" encoding="utf-8"?>
<ds:datastoreItem xmlns:ds="http://schemas.openxmlformats.org/officeDocument/2006/customXml" ds:itemID="{515F6119-4B57-4745-9595-3B048ED0A692}">
  <ds:schemaRefs>
    <ds:schemaRef ds:uri="http://www.w3.org/XML/1998/namespace"/>
    <ds:schemaRef ds:uri="http://purl.org/dc/terms/"/>
    <ds:schemaRef ds:uri="http://schemas.openxmlformats.org/package/2006/metadata/core-properties"/>
    <ds:schemaRef ds:uri="ae4463b2-e8b1-4da3-a06c-0ee4fb348e4b"/>
    <ds:schemaRef ds:uri="http://purl.org/dc/dcmitype/"/>
    <ds:schemaRef ds:uri="9a94900b-eed3-4fb5-9887-0403a5d7b76c"/>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4840</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Баасандаш Дамцагдорж</dc:creator>
  <cp:keywords/>
  <dc:description/>
  <cp:lastModifiedBy>Баасандаш Дамцагдорж</cp:lastModifiedBy>
  <cp:revision>7</cp:revision>
  <cp:lastPrinted>2025-12-30T08:09:00Z</cp:lastPrinted>
  <dcterms:created xsi:type="dcterms:W3CDTF">2025-12-30T08:12:00Z</dcterms:created>
  <dcterms:modified xsi:type="dcterms:W3CDTF">2025-12-30T08:18:00Z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