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375" w:rsidRPr="00B03B6A" w:rsidRDefault="002F0375" w:rsidP="002F0375">
      <w:pPr>
        <w:spacing w:after="0" w:line="240" w:lineRule="auto"/>
        <w:jc w:val="center"/>
        <w:rPr>
          <w:rFonts w:ascii="Arial" w:eastAsia="Times New Roman" w:hAnsi="Arial" w:cs="Arial"/>
          <w:b/>
          <w:bCs/>
          <w:sz w:val="24"/>
          <w:szCs w:val="24"/>
          <w:lang w:eastAsia="mn-MN"/>
        </w:rPr>
      </w:pPr>
      <w:r w:rsidRPr="00B03B6A">
        <w:rPr>
          <w:rFonts w:ascii="Arial" w:eastAsia="Times New Roman" w:hAnsi="Arial" w:cs="Arial"/>
          <w:b/>
          <w:bCs/>
          <w:sz w:val="24"/>
          <w:szCs w:val="24"/>
          <w:lang w:eastAsia="mn-MN"/>
        </w:rPr>
        <w:t>БНМАУ-ЫН ЗАСГИЙН ГАЗАРТ ЭРХ ОЛГОХ ТУХАЙ ХУУЛЬ </w:t>
      </w:r>
    </w:p>
    <w:p w:rsidR="002F0375" w:rsidRPr="00B03B6A" w:rsidRDefault="002F0375" w:rsidP="002F0375">
      <w:pPr>
        <w:spacing w:after="0" w:line="240" w:lineRule="auto"/>
        <w:jc w:val="center"/>
        <w:rPr>
          <w:rFonts w:ascii="Arial" w:eastAsia="Times New Roman" w:hAnsi="Arial" w:cs="Arial"/>
          <w:b/>
          <w:bCs/>
          <w:sz w:val="24"/>
          <w:szCs w:val="24"/>
          <w:lang w:eastAsia="mn-MN"/>
        </w:rPr>
      </w:pPr>
      <w:r w:rsidRPr="00B03B6A">
        <w:rPr>
          <w:rFonts w:ascii="Arial" w:eastAsia="Times New Roman" w:hAnsi="Arial" w:cs="Arial"/>
          <w:b/>
          <w:bCs/>
          <w:sz w:val="24"/>
          <w:szCs w:val="24"/>
          <w:lang w:eastAsia="mn-MN"/>
        </w:rPr>
        <w:t>ХҮЧИНГҮЙ БОЛСОНД ТООЦОХ ТУХАЙ ХУУЛИЙ</w:t>
      </w:r>
      <w:r w:rsidR="00335733" w:rsidRPr="00B03B6A">
        <w:rPr>
          <w:rFonts w:ascii="Arial" w:eastAsia="Times New Roman" w:hAnsi="Arial" w:cs="Arial"/>
          <w:b/>
          <w:bCs/>
          <w:sz w:val="24"/>
          <w:szCs w:val="24"/>
          <w:lang w:eastAsia="mn-MN"/>
        </w:rPr>
        <w:t>Г</w:t>
      </w:r>
      <w:r w:rsidRPr="00B03B6A">
        <w:rPr>
          <w:rFonts w:ascii="Arial" w:eastAsia="Times New Roman" w:hAnsi="Arial" w:cs="Arial"/>
          <w:b/>
          <w:bCs/>
          <w:sz w:val="24"/>
          <w:szCs w:val="24"/>
          <w:lang w:eastAsia="mn-MN"/>
        </w:rPr>
        <w:t xml:space="preserve"> ОЛОН НИЙТЭЭР </w:t>
      </w:r>
      <w:r w:rsidR="00335733" w:rsidRPr="00B03B6A">
        <w:rPr>
          <w:rFonts w:ascii="Arial" w:eastAsia="Times New Roman" w:hAnsi="Arial" w:cs="Arial"/>
          <w:b/>
          <w:bCs/>
          <w:sz w:val="24"/>
          <w:szCs w:val="24"/>
          <w:lang w:eastAsia="mn-MN"/>
        </w:rPr>
        <w:t>ХЭЛЭЛЦҮҮЛЖ, САНАЛ АВСАН ТАЙЛАН</w:t>
      </w:r>
    </w:p>
    <w:p w:rsidR="006958C3" w:rsidRPr="006958C3" w:rsidRDefault="006958C3" w:rsidP="00834302">
      <w:pPr>
        <w:spacing w:line="240" w:lineRule="auto"/>
        <w:jc w:val="both"/>
        <w:rPr>
          <w:rFonts w:ascii="Arial" w:eastAsia="Times New Roman" w:hAnsi="Arial" w:cs="Arial"/>
          <w:sz w:val="24"/>
          <w:szCs w:val="24"/>
          <w:lang w:eastAsia="mn-MN"/>
        </w:rPr>
      </w:pPr>
    </w:p>
    <w:p w:rsidR="002F0375" w:rsidRPr="006958C3" w:rsidRDefault="00834302" w:rsidP="00335733">
      <w:pPr>
        <w:spacing w:line="240" w:lineRule="auto"/>
        <w:ind w:firstLine="720"/>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БНМАУ-ын Засгийн газарт эрх олгох тухай хуулийн хэрэгжилтийн хүрээнд хамаарах аж ахуй нэгж, иргэд, мэргэжлийн холбооноос хэлэлцүүлгээр болон албан бичгээр энэ хуулийн төслийн талаарх санал, хүсэлтийг хүлээн авсан. Хэлэлцүүллэгт орсон төрийн өмчит компан</w:t>
      </w:r>
      <w:r w:rsidR="00B03B6A">
        <w:rPr>
          <w:rFonts w:ascii="Arial" w:eastAsia="Times New Roman" w:hAnsi="Arial" w:cs="Arial"/>
          <w:sz w:val="24"/>
          <w:szCs w:val="24"/>
          <w:lang w:eastAsia="mn-MN"/>
        </w:rPr>
        <w:t>ийн</w:t>
      </w:r>
      <w:r w:rsidRPr="006958C3">
        <w:rPr>
          <w:rFonts w:ascii="Arial" w:eastAsia="Times New Roman" w:hAnsi="Arial" w:cs="Arial"/>
          <w:sz w:val="24"/>
          <w:szCs w:val="24"/>
          <w:lang w:eastAsia="mn-MN"/>
        </w:rPr>
        <w:t xml:space="preserve"> ажилчдын төлөөлөл, хуульч, судлаач болон мэргэжлийн холбоодын төлөөлөл хуулийн төслийг агуулгын хувьд дэмжсэн. </w:t>
      </w:r>
    </w:p>
    <w:p w:rsidR="002F0375" w:rsidRPr="006958C3" w:rsidRDefault="00834302" w:rsidP="002F0375">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 xml:space="preserve">Тухайлбал, </w:t>
      </w:r>
    </w:p>
    <w:p w:rsidR="00834302" w:rsidRPr="006958C3" w:rsidRDefault="00834302" w:rsidP="002F0375">
      <w:pPr>
        <w:pStyle w:val="ListParagraph"/>
        <w:numPr>
          <w:ilvl w:val="3"/>
          <w:numId w:val="1"/>
        </w:num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Монголын Үндэсний худалдаа аж үйлдвэрийн танхимаас 2025 оны 12</w:t>
      </w:r>
      <w:r w:rsidR="00377661" w:rsidRPr="006958C3">
        <w:rPr>
          <w:rFonts w:ascii="Arial" w:eastAsia="Times New Roman" w:hAnsi="Arial" w:cs="Arial"/>
          <w:sz w:val="24"/>
          <w:szCs w:val="24"/>
          <w:lang w:eastAsia="mn-MN"/>
        </w:rPr>
        <w:t xml:space="preserve"> дугаар</w:t>
      </w:r>
      <w:r w:rsidRPr="006958C3">
        <w:rPr>
          <w:rFonts w:ascii="Arial" w:eastAsia="Times New Roman" w:hAnsi="Arial" w:cs="Arial"/>
          <w:sz w:val="24"/>
          <w:szCs w:val="24"/>
          <w:lang w:eastAsia="mn-MN"/>
        </w:rPr>
        <w:t xml:space="preserve"> сарын 11-</w:t>
      </w:r>
      <w:r w:rsidR="002F0375" w:rsidRPr="006958C3">
        <w:rPr>
          <w:rFonts w:ascii="Arial" w:eastAsia="Times New Roman" w:hAnsi="Arial" w:cs="Arial"/>
          <w:sz w:val="24"/>
          <w:szCs w:val="24"/>
          <w:lang w:eastAsia="mn-MN"/>
        </w:rPr>
        <w:t>н</w:t>
      </w:r>
      <w:r w:rsidRPr="006958C3">
        <w:rPr>
          <w:rFonts w:ascii="Arial" w:eastAsia="Times New Roman" w:hAnsi="Arial" w:cs="Arial"/>
          <w:sz w:val="24"/>
          <w:szCs w:val="24"/>
          <w:lang w:eastAsia="mn-MN"/>
        </w:rPr>
        <w:t>ий өдрийн 01/1131 дугаартай албан бичгээр уг хуулийн төслийг дэмжиж буйгаа илэрхийлсэн.</w:t>
      </w:r>
    </w:p>
    <w:p w:rsidR="002F0375" w:rsidRPr="006958C3" w:rsidRDefault="00834302" w:rsidP="00834302">
      <w:pPr>
        <w:pStyle w:val="ListParagraph"/>
        <w:numPr>
          <w:ilvl w:val="0"/>
          <w:numId w:val="1"/>
        </w:num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 xml:space="preserve">“БНМАУ-ын Засгийн газарт эрх олгох тухай хуулийг хүчингүй болсонд тооцох тухай хуулийн төслийн танилцуулга хийх, санал авах” хэлэлцүүлгийг 2025 оны 11 дүгээр сарын 18-ны өдөр Эрдэнэт үйлдвэр ТӨҮГ-ын ажилчдын дунд, </w:t>
      </w:r>
    </w:p>
    <w:p w:rsidR="002F0375" w:rsidRPr="006958C3" w:rsidRDefault="00834302" w:rsidP="00834302">
      <w:pPr>
        <w:pStyle w:val="ListParagraph"/>
        <w:numPr>
          <w:ilvl w:val="0"/>
          <w:numId w:val="1"/>
        </w:num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 xml:space="preserve">2025 оны 11 дүгээр сарын 28-ны өдөр Засгийн газрын тогтоолоор онцгой дэглэм тогтоосон аж ахуй нэгжүүдийн төлөөлөл, тухайн асуудлаар шүүхийн маргаанд оролцсон, Үндсэн хуулийн цэцэд мэдээлэл гаргасан хуульчдын төлөөлөл, хувийн хэвшлийн аж ахуй нэгжийн төлөөлөл, сонирхсон зарим иргэдийн дунд зохион байгуулсан. </w:t>
      </w:r>
    </w:p>
    <w:p w:rsidR="00834302" w:rsidRPr="006958C3" w:rsidRDefault="00834302" w:rsidP="002F0375">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Эдгээр хэлэлцүүлгүүдээс гарсан дараах саналуудыг БНМАУ-ын Засгийн газарт эрх олгох тухай хуулийг хүчингүй болсонд тооцох тухай хуулийн төслийн үзэл баримтлалд тусгаж, зарим саналыг үзэл баримтлалд өмнө нь тусгагдсан үндэслэлээр оруулаагүй болно.</w:t>
      </w:r>
    </w:p>
    <w:p w:rsidR="00377661" w:rsidRPr="006958C3" w:rsidRDefault="00377661" w:rsidP="00377661">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Хууль тогтоомжийн тухай хуулийн 38 дугаар зүйлийн 6.2 дугаар зүйлд заасан хэлбэрээр хэлэлцүүлэг зохион байгуулахад ирсэн саналуудаас хуулийн Үзэл баримтлалд нэмж тусгасан саналууд:</w:t>
      </w:r>
    </w:p>
    <w:p w:rsidR="00834302" w:rsidRPr="006958C3" w:rsidRDefault="00834302" w:rsidP="00377661">
      <w:pPr>
        <w:pStyle w:val="ListParagraph"/>
        <w:numPr>
          <w:ilvl w:val="0"/>
          <w:numId w:val="4"/>
        </w:num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Энэ хууль нь Үндсэн хуулийн зарим зүйл, заалтыг зөрчиж буй талаар</w:t>
      </w:r>
      <w:bookmarkStart w:id="0" w:name="_Hlk217477248"/>
      <w:r w:rsidRPr="006958C3">
        <w:rPr>
          <w:rFonts w:ascii="Arial" w:eastAsia="Times New Roman" w:hAnsi="Arial" w:cs="Arial"/>
          <w:sz w:val="24"/>
          <w:szCs w:val="24"/>
          <w:lang w:eastAsia="mn-MN"/>
        </w:rPr>
        <w:t xml:space="preserve"> хуульчид 2019 оноос Үндсэн хуулийн цэцэд удаа дараалан мэдээлэл гаргахад 1992 оноос өмнөх Үндсэн хуулийг цэц хянахгүй гэх үндэслэлээр буцаагддаг байсан. Үүнтэй холбогдуулан 2020 онд Монгол улсын Үндсэн хуулийн цэцийн тухай хуулийн энэхүү зохицуулалт нь Үндсэн хууль зөрчиж байна гэсэн мэдээлэл гаргаж 2024 онд Үндсэн хуулийн цэцийн их суудлын хуралдаанаар уг асуудлыг үндэслэлтэй гэж үзэж шийдвэрлэсэн. Харин 2023 оны 4-р сарын 20-ний өдрийн Улсын Их Хурлын чуулганы нэгдсэн хуралдаанаар Улсын Их Хурлын дарга Г.Занданшатар Засгийн газарт эрх олгох тухай БНМАУ-ын хуулийг хүчингүй болгож, шаардлагатай бол онцгой дэглэм тогтоох журмыг Засгийн газрын түвшинд зохицуулдаг эрх хэмжээ бий болгосон шинэ эрх зүйн зохицуулалтыг батлах тухай горимын санал гаргаж, улмаар санал хуралдаанд оролцсон гишүүдийн олонхын саналаар дэмжигдсэн. Гэсэн ч энэ асуудлыг өнөөг хүртэл Улсын Их Хурлаар эцэслэн шийдвэрлээгүй байна. Улсын Их Хурлаас уг шийдвэртэй холбоотой хийгдсэн үйл ажиллагаа тодорхойгүй, дутмаг байгаад тухайн асуудлаар цэцэд мэдээлэл гаргаж байсан оролцогчид шүүмжлэлтэй хандаж байв.</w:t>
      </w:r>
      <w:bookmarkEnd w:id="0"/>
    </w:p>
    <w:p w:rsidR="00834302" w:rsidRPr="006958C3" w:rsidRDefault="00834302" w:rsidP="00377661">
      <w:pPr>
        <w:pStyle w:val="ListParagraph"/>
        <w:numPr>
          <w:ilvl w:val="0"/>
          <w:numId w:val="4"/>
        </w:numPr>
        <w:spacing w:line="240" w:lineRule="auto"/>
        <w:jc w:val="both"/>
        <w:rPr>
          <w:rFonts w:ascii="Arial" w:eastAsia="Times New Roman" w:hAnsi="Arial" w:cs="Arial"/>
          <w:sz w:val="24"/>
          <w:szCs w:val="24"/>
          <w:lang w:eastAsia="mn-MN"/>
        </w:rPr>
      </w:pPr>
      <w:bookmarkStart w:id="1" w:name="_Hlk217477339"/>
      <w:r w:rsidRPr="006958C3">
        <w:rPr>
          <w:rFonts w:ascii="Arial" w:eastAsia="Times New Roman" w:hAnsi="Arial" w:cs="Arial"/>
          <w:sz w:val="24"/>
          <w:szCs w:val="24"/>
          <w:lang w:eastAsia="mn-MN"/>
        </w:rPr>
        <w:t xml:space="preserve">1992 оны БНМАУ-ын Үндсэн хуулиас Монгол Улсын Үндсэн хуулийг бүрнээ дагаж мөрдөхөд шилжих тухай хуульд 1996 онд багтаан БНМАУ-ын хуулиудыг үндсэн хуульд нийцүүлэн шинэчлэх, эрх зүйн үр дагавруудыг арилгах чиглэлийг Улсын бага хуралд өгсөн байдаг. Гэсэн хэдий ч өнөөг хүртэл уг чиглэлийг бүрэн </w:t>
      </w:r>
      <w:r w:rsidRPr="006958C3">
        <w:rPr>
          <w:rFonts w:ascii="Arial" w:eastAsia="Times New Roman" w:hAnsi="Arial" w:cs="Arial"/>
          <w:sz w:val="24"/>
          <w:szCs w:val="24"/>
          <w:lang w:eastAsia="mn-MN"/>
        </w:rPr>
        <w:lastRenderedPageBreak/>
        <w:t xml:space="preserve">хэрэгжүүлээгүй. Иймд нэн яаралтайгаар БНМАУ-ын Засгийн газарт эрх олгох тухай хуулийг хүчингүй болгох шаардлагатайг дурдсан. </w:t>
      </w:r>
      <w:bookmarkStart w:id="2" w:name="_Hlk217478405"/>
      <w:bookmarkEnd w:id="1"/>
    </w:p>
    <w:p w:rsidR="00834302" w:rsidRPr="006958C3" w:rsidRDefault="00834302" w:rsidP="00377661">
      <w:pPr>
        <w:pStyle w:val="ListParagraph"/>
        <w:numPr>
          <w:ilvl w:val="0"/>
          <w:numId w:val="4"/>
        </w:num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Бүрэн эрхт төлөөлөгчийн үйл ажиллагааг 6 сарын хугацаагаар сунгах зохицуулалтыг хуульд тусгаж өгсөн. Гэсэн хэдий ч ахин ямар хугацаанд онцгой дэглэм тогтоож болох тухай зохицуулаагүй. Үүнээс үүдэн Засгийн газраас Бүрэн эрхт төлөөлөгчийн үйл ажиллагааг сунгах, ахин онцгой дэглэм тогтоох замаар байгууллагын хэвийн үйл ажиллагаанд хөндлөнгөөс хэт оролцох хандлага үүсэж, байгууллагын хэвийн тогтвортой ажиллах нөхцөлд саад учруулж буйтай холбоотой тохиолдлуудыг хэлэлцүүлэгт оролцсон төрийн өмчит компанийн ажилчдын төлөөллүүд дурдсан.</w:t>
      </w:r>
    </w:p>
    <w:p w:rsidR="00834302" w:rsidRPr="006958C3" w:rsidRDefault="00834302" w:rsidP="00377661">
      <w:pPr>
        <w:pStyle w:val="ListParagraph"/>
        <w:numPr>
          <w:ilvl w:val="0"/>
          <w:numId w:val="4"/>
        </w:num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Мөн онцгой дэглэмийн хүрээнд томилогдсон бүрэн эрхт төлөөлөгч Хөдөлмөрийн тухай хууль, Компанийн тухай хууль, Төрийн болон орон нутгийн өмчийн хөрөнгөөр бараа, ажил, үйлчилгээ худалдан авах тухай гэх мэт Монгол улсад одоо хүчин төгөлдөр үйлчилж буй хуулиудын үйлчлэлийг зогсоож хөрөнгө хураах, ажлаас чөлөөлөх, шууд худалдан авах үйл ажиллагаа зохион байгуулах гэх мэт дур зоргын шинжтэй үйлдлүүдийг ихээр явуулдаг болохыг оролцогчид илэрхийлж байсан.</w:t>
      </w:r>
      <w:bookmarkEnd w:id="2"/>
    </w:p>
    <w:p w:rsidR="00834302" w:rsidRPr="006958C3" w:rsidRDefault="00377661" w:rsidP="00834302">
      <w:pPr>
        <w:pStyle w:val="NormalWeb"/>
        <w:spacing w:before="0" w:beforeAutospacing="0" w:after="0" w:afterAutospacing="0"/>
        <w:jc w:val="both"/>
        <w:textAlignment w:val="baseline"/>
        <w:rPr>
          <w:rFonts w:ascii="Arial" w:hAnsi="Arial" w:cs="Arial"/>
          <w:b/>
          <w:bCs/>
          <w:color w:val="000000"/>
        </w:rPr>
      </w:pPr>
      <w:r w:rsidRPr="006958C3">
        <w:rPr>
          <w:rFonts w:ascii="Arial" w:hAnsi="Arial" w:cs="Arial"/>
          <w:b/>
          <w:bCs/>
        </w:rPr>
        <w:t xml:space="preserve">Хууль тогтоомжийн тухай хуулийн 38 дугаар зүйлийн 6.2 дугаар зүйлд заасан хэлбэрээр хэлэлцүүлэг зохион байгуулахад ирсэн саналуудаас </w:t>
      </w:r>
      <w:r w:rsidR="00834302" w:rsidRPr="006958C3">
        <w:rPr>
          <w:rFonts w:ascii="Arial" w:hAnsi="Arial" w:cs="Arial"/>
          <w:b/>
          <w:bCs/>
          <w:color w:val="000000"/>
        </w:rPr>
        <w:t>Үзэл баримтлалд дурдагдсан агуулгатай давхацсан саналууд</w:t>
      </w:r>
      <w:r w:rsidR="002F0375" w:rsidRPr="006958C3">
        <w:rPr>
          <w:rFonts w:ascii="Arial" w:hAnsi="Arial" w:cs="Arial"/>
          <w:b/>
          <w:bCs/>
          <w:color w:val="000000"/>
        </w:rPr>
        <w:t>:</w:t>
      </w:r>
    </w:p>
    <w:p w:rsidR="00834302" w:rsidRPr="006958C3" w:rsidRDefault="00834302" w:rsidP="00834302">
      <w:pPr>
        <w:pStyle w:val="NormalWeb"/>
        <w:spacing w:before="0" w:beforeAutospacing="0" w:after="0" w:afterAutospacing="0"/>
        <w:jc w:val="both"/>
        <w:textAlignment w:val="baseline"/>
        <w:rPr>
          <w:rFonts w:ascii="Arial" w:hAnsi="Arial" w:cs="Arial"/>
          <w:color w:val="000000"/>
        </w:rPr>
      </w:pPr>
    </w:p>
    <w:p w:rsidR="00834302" w:rsidRPr="006958C3" w:rsidRDefault="00834302" w:rsidP="00335733">
      <w:pPr>
        <w:pStyle w:val="ListParagraph"/>
        <w:numPr>
          <w:ilvl w:val="0"/>
          <w:numId w:val="5"/>
        </w:num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БНМАУ-ын Бага хурлын II чуулганы 1991.01.04-ний өдрийн хуралдааны тэмдэглэлийг судлаарай. Түүнд төвлөрсөн төлөвлөгөөт эдийн засгаас зах зээлийн эдийн засагт шилжих үед улс орны тээвэр, хүнсний хангамжид нөлөөтэй зарим онцгой ач холбогдолтой аж ахуй нэгжүүдийн үйл ажиллагаа доголдох өмчийг дур зоргоор захиран зарцуулах зэрэг хүндрэл гарч байгаа учраас үүнээс сэргийлэх зорилгоор шилжилтийн хугацаанд энэ хуулийг хэрэглэх тухай Засгийн газар болоод Улсын Бага хурлын гишүүдээс илэрхийлсэн байдаг.</w:t>
      </w:r>
    </w:p>
    <w:p w:rsidR="00834302" w:rsidRPr="006958C3" w:rsidRDefault="00834302" w:rsidP="00335733">
      <w:pPr>
        <w:pStyle w:val="ListParagraph"/>
        <w:numPr>
          <w:ilvl w:val="0"/>
          <w:numId w:val="5"/>
        </w:numPr>
        <w:spacing w:before="240"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 xml:space="preserve">Зарим компанид онцгой дэглэм тогтоох нөхцөл үүсч болохыг хэлэлцүүлэгт оролцогчид хүлээн зөвшөөрсөн. Энэхүү нөхцөл байдлыг Онц байдлын тухай хуульд тодорхойлж зохицуулсан байдаг. Гэтэл БНМАУ-ын Засгийн газарт эрх олгох тухай хуулийг одоог хүртэл хэрэглэсээр байгаа нь онц байдал үүссэн үед аль хуулийг хэрэглэх нь тодорхойгүй байх эрсдэл үүсгэж байгааг судлаачид онцолсон. </w:t>
      </w:r>
      <w:bookmarkStart w:id="3" w:name="_Hlk217402641"/>
      <w:r w:rsidRPr="006958C3">
        <w:rPr>
          <w:rFonts w:ascii="Arial" w:eastAsia="Times New Roman" w:hAnsi="Arial" w:cs="Arial"/>
          <w:sz w:val="24"/>
          <w:szCs w:val="24"/>
          <w:highlight w:val="yellow"/>
          <w:lang w:eastAsia="mn-MN"/>
        </w:rPr>
        <w:t xml:space="preserve"> </w:t>
      </w:r>
    </w:p>
    <w:bookmarkEnd w:id="3"/>
    <w:p w:rsidR="00834302" w:rsidRPr="006958C3" w:rsidRDefault="00834302" w:rsidP="00335733">
      <w:pPr>
        <w:pStyle w:val="NormalWeb"/>
        <w:numPr>
          <w:ilvl w:val="0"/>
          <w:numId w:val="5"/>
        </w:numPr>
        <w:spacing w:before="0" w:beforeAutospacing="0" w:after="0" w:afterAutospacing="0"/>
        <w:jc w:val="both"/>
        <w:textAlignment w:val="baseline"/>
        <w:rPr>
          <w:rFonts w:ascii="Arial" w:hAnsi="Arial" w:cs="Arial"/>
          <w:color w:val="000000"/>
        </w:rPr>
      </w:pPr>
      <w:r w:rsidRPr="006958C3">
        <w:rPr>
          <w:rFonts w:ascii="Arial" w:hAnsi="Arial" w:cs="Arial"/>
          <w:color w:val="000000"/>
        </w:rPr>
        <w:t>Хэлэлцүүлгүүдийн үеэр Засгийн газраас томилогдсон Бүрэн эрхт төлөөлөгч энэхүү хуулийн 2.1 дэх заалтыг үндэслэн үндэслэлгүй, Хөдөлмөрийн хуулийн тодорхой нөхцөлийг хангахгүйгээр ажлаас чөлөөлөх тохиолдлууд гардаг. Энэ нь хүний эрхийн суурь шалгуур үзүүлэлтүүдийг хангадаггүй тухай хуульчид саналаа илэрхийлсэн.</w:t>
      </w:r>
    </w:p>
    <w:p w:rsidR="00834302" w:rsidRPr="006958C3" w:rsidRDefault="00834302" w:rsidP="00834302">
      <w:pPr>
        <w:pStyle w:val="NormalWeb"/>
        <w:spacing w:before="0" w:beforeAutospacing="0" w:after="0" w:afterAutospacing="0"/>
        <w:jc w:val="both"/>
        <w:textAlignment w:val="baseline"/>
        <w:rPr>
          <w:rFonts w:ascii="Arial" w:hAnsi="Arial" w:cs="Arial"/>
          <w:color w:val="000000"/>
        </w:rPr>
      </w:pPr>
    </w:p>
    <w:p w:rsidR="00834302" w:rsidRPr="006958C3" w:rsidRDefault="00834302" w:rsidP="00834302">
      <w:pPr>
        <w:pStyle w:val="NormalWeb"/>
        <w:spacing w:before="0" w:beforeAutospacing="0" w:after="0" w:afterAutospacing="0"/>
        <w:jc w:val="both"/>
        <w:textAlignment w:val="baseline"/>
        <w:rPr>
          <w:rFonts w:ascii="Arial" w:hAnsi="Arial" w:cs="Arial"/>
          <w:b/>
          <w:bCs/>
          <w:color w:val="000000"/>
        </w:rPr>
      </w:pPr>
      <w:r w:rsidRPr="006958C3">
        <w:rPr>
          <w:rFonts w:ascii="Arial" w:hAnsi="Arial" w:cs="Arial"/>
          <w:b/>
          <w:bCs/>
          <w:color w:val="000000"/>
        </w:rPr>
        <w:t>Үзэл баримтлалын хүрээнд оруулах боломжгүй саналууд:</w:t>
      </w:r>
    </w:p>
    <w:p w:rsidR="00834302" w:rsidRPr="006958C3" w:rsidRDefault="00834302" w:rsidP="00834302">
      <w:pPr>
        <w:pStyle w:val="NormalWeb"/>
        <w:spacing w:before="0" w:beforeAutospacing="0" w:after="0" w:afterAutospacing="0"/>
        <w:jc w:val="both"/>
        <w:textAlignment w:val="baseline"/>
        <w:rPr>
          <w:rFonts w:ascii="Arial" w:hAnsi="Arial" w:cs="Arial"/>
          <w:color w:val="000000"/>
        </w:rPr>
      </w:pPr>
    </w:p>
    <w:p w:rsidR="00834302" w:rsidRPr="006958C3" w:rsidRDefault="00834302" w:rsidP="00335733">
      <w:pPr>
        <w:pStyle w:val="NormalWeb"/>
        <w:numPr>
          <w:ilvl w:val="0"/>
          <w:numId w:val="6"/>
        </w:numPr>
        <w:spacing w:before="0" w:beforeAutospacing="0" w:after="0" w:afterAutospacing="0"/>
        <w:jc w:val="both"/>
        <w:textAlignment w:val="baseline"/>
        <w:rPr>
          <w:rFonts w:ascii="Arial" w:hAnsi="Arial" w:cs="Arial"/>
          <w:color w:val="000000"/>
        </w:rPr>
      </w:pPr>
      <w:r w:rsidRPr="006958C3">
        <w:rPr>
          <w:rFonts w:ascii="Arial" w:hAnsi="Arial" w:cs="Arial"/>
          <w:color w:val="000000"/>
        </w:rPr>
        <w:t xml:space="preserve">Уул уурхайн томоохон аж ахуйн нэгжийн хувьд олборлох болон худалдан борлуулах үйл явцад орон нутгийн удирдлага, Засгийн газрын шийдвэр, компанийн удирдлагын шийдвэр, гаалийн байгуулагаас тавих хяналт зэрэг маш олон байгууллагааас гаргасан ялгаатай журмууд, тэдгээрийн хэрэгжилтийн үр дагавраас хамааран ихээхэн удаашрал үүсдэг. Иймд эдгээр ялгаатай журмуудыг нэгтгэх үүднээс Бүрэн эрхт төлөөлөгч томилох зайлшгүй шаардлагатай байдаг талаар нэг оролцогч саналаа илэрхийлсэн. Гэхдээ энэхүү санал нь Үндсэн хууль болон олон улсын гэрээ, конвенцуудын үзэл баримтлал, </w:t>
      </w:r>
      <w:r w:rsidRPr="006958C3">
        <w:rPr>
          <w:rFonts w:ascii="Arial" w:hAnsi="Arial" w:cs="Arial"/>
          <w:color w:val="000000"/>
        </w:rPr>
        <w:lastRenderedPageBreak/>
        <w:t>зохицуулалттай нийцэхгүй, зах зээлийн зарчмыг алдагдуулах зэрэг сөрөг үр дагавартай тул үзэл баримтлалын хүрээнд тусгах боломжгүй байлаа.</w:t>
      </w:r>
    </w:p>
    <w:p w:rsidR="00834302" w:rsidRPr="006958C3" w:rsidRDefault="00834302" w:rsidP="00834302">
      <w:pPr>
        <w:pStyle w:val="NormalWeb"/>
        <w:spacing w:before="0" w:beforeAutospacing="0" w:after="0" w:afterAutospacing="0"/>
        <w:ind w:left="1080"/>
        <w:jc w:val="both"/>
        <w:textAlignment w:val="baseline"/>
        <w:rPr>
          <w:rFonts w:ascii="Arial" w:hAnsi="Arial" w:cs="Arial"/>
          <w:b/>
          <w:bCs/>
          <w:color w:val="000000"/>
        </w:rPr>
      </w:pPr>
    </w:p>
    <w:p w:rsidR="004E7665" w:rsidRPr="006958C3" w:rsidRDefault="004E7665" w:rsidP="004E7665">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Тусгайлан өгөх саналгүй гэж үзсэн газрууд:</w:t>
      </w:r>
    </w:p>
    <w:p w:rsidR="00910C5A" w:rsidRPr="00335733" w:rsidRDefault="00910C5A" w:rsidP="00B03B6A">
      <w:pPr>
        <w:pStyle w:val="ListParagraph"/>
        <w:numPr>
          <w:ilvl w:val="0"/>
          <w:numId w:val="7"/>
        </w:numPr>
        <w:spacing w:line="240" w:lineRule="auto"/>
        <w:jc w:val="both"/>
        <w:rPr>
          <w:rFonts w:ascii="Arial" w:eastAsia="Times New Roman" w:hAnsi="Arial" w:cs="Arial"/>
          <w:sz w:val="24"/>
          <w:szCs w:val="24"/>
          <w:lang w:eastAsia="mn-MN"/>
        </w:rPr>
      </w:pPr>
      <w:r w:rsidRPr="00335733">
        <w:rPr>
          <w:rFonts w:ascii="Arial" w:eastAsia="Times New Roman" w:hAnsi="Arial" w:cs="Arial"/>
          <w:sz w:val="24"/>
          <w:szCs w:val="24"/>
          <w:lang w:eastAsia="mn-MN"/>
        </w:rPr>
        <w:t>2025 оны 11 сарын 3-ний өдөр УИХ-03/12509 тоот Хуулийн төсөлд санал авах тухай албан бичгийг Монгол улсын сайд, Засгийн газрын хэрэг эрхлэх газрын дарга С.Бямбацогтод илгээсэн ба Хууль тогтоомжийн тухай хуулийн 21 дүгээр зүйлийн 21.11 дэх хэсэгт зааснаар ажлын 30 хоногт саналаа ирүүлээгүй тул тусгайлан өгөх саналгүй гэж үзсэн.</w:t>
      </w:r>
    </w:p>
    <w:p w:rsidR="004E7665" w:rsidRPr="00335733" w:rsidRDefault="004E7665" w:rsidP="00B03B6A">
      <w:pPr>
        <w:pStyle w:val="ListParagraph"/>
        <w:numPr>
          <w:ilvl w:val="0"/>
          <w:numId w:val="7"/>
        </w:numPr>
        <w:spacing w:line="240" w:lineRule="auto"/>
        <w:jc w:val="both"/>
        <w:rPr>
          <w:rFonts w:ascii="Arial" w:eastAsia="Times New Roman" w:hAnsi="Arial" w:cs="Arial"/>
          <w:sz w:val="24"/>
          <w:szCs w:val="24"/>
          <w:lang w:eastAsia="mn-MN"/>
        </w:rPr>
      </w:pPr>
      <w:r w:rsidRPr="00335733">
        <w:rPr>
          <w:rFonts w:ascii="Arial" w:eastAsia="Times New Roman" w:hAnsi="Arial" w:cs="Arial"/>
          <w:sz w:val="24"/>
          <w:szCs w:val="24"/>
          <w:lang w:eastAsia="mn-MN"/>
        </w:rPr>
        <w:t>2025 оны 11 сарын 25-ны өдөр УИХ-03/13494 тоот Хуулийн төсөлд санал авч, хэлэлцүүлэгт оролцуулах тухай албан бичгийг Эрдэнэс Тавантолгой ХК-д явуулахад хуульд заасан хугацаанд санал ирүүлээгүй тул тусгайлан өгөх саналгүй гэж үзсэн.</w:t>
      </w:r>
    </w:p>
    <w:p w:rsidR="004E7665" w:rsidRPr="00335733" w:rsidRDefault="004E7665" w:rsidP="00B03B6A">
      <w:pPr>
        <w:pStyle w:val="ListParagraph"/>
        <w:numPr>
          <w:ilvl w:val="0"/>
          <w:numId w:val="7"/>
        </w:numPr>
        <w:spacing w:line="240" w:lineRule="auto"/>
        <w:jc w:val="both"/>
        <w:rPr>
          <w:rFonts w:ascii="Arial" w:eastAsia="Times New Roman" w:hAnsi="Arial" w:cs="Arial"/>
          <w:sz w:val="24"/>
          <w:szCs w:val="24"/>
          <w:lang w:eastAsia="mn-MN"/>
        </w:rPr>
      </w:pPr>
      <w:r w:rsidRPr="00335733">
        <w:rPr>
          <w:rFonts w:ascii="Arial" w:eastAsia="Times New Roman" w:hAnsi="Arial" w:cs="Arial"/>
          <w:sz w:val="24"/>
          <w:szCs w:val="24"/>
          <w:lang w:eastAsia="mn-MN"/>
        </w:rPr>
        <w:t>2025 оны 11 сарын 25-ны өдөр УИХ-03/13495 тоот Хуулийн төсөлд санал авч, хэлэлцүүлэгт оролцуулах тухай албан бичгийг Эрдэнэс Критикал Минералс ТӨҮГ-т явуулахад хуульд заасан хугацаанд санал ирүүлээгүй тул тусгайлан өгөх саналгүй гэж үзсэн.</w:t>
      </w:r>
    </w:p>
    <w:p w:rsidR="004E7665" w:rsidRPr="00335733" w:rsidRDefault="004E7665" w:rsidP="00B03B6A">
      <w:pPr>
        <w:pStyle w:val="ListParagraph"/>
        <w:numPr>
          <w:ilvl w:val="0"/>
          <w:numId w:val="7"/>
        </w:numPr>
        <w:spacing w:line="240" w:lineRule="auto"/>
        <w:jc w:val="both"/>
        <w:rPr>
          <w:rFonts w:ascii="Arial" w:eastAsia="Times New Roman" w:hAnsi="Arial" w:cs="Arial"/>
          <w:sz w:val="24"/>
          <w:szCs w:val="24"/>
          <w:lang w:eastAsia="mn-MN"/>
        </w:rPr>
      </w:pPr>
      <w:r w:rsidRPr="00335733">
        <w:rPr>
          <w:rFonts w:ascii="Arial" w:eastAsia="Times New Roman" w:hAnsi="Arial" w:cs="Arial"/>
          <w:sz w:val="24"/>
          <w:szCs w:val="24"/>
          <w:lang w:eastAsia="mn-MN"/>
        </w:rPr>
        <w:t>2025 оны 11 сарын 25-ны өдөр УИХ-03/1349</w:t>
      </w:r>
      <w:r w:rsidR="00B03B6A">
        <w:rPr>
          <w:rFonts w:ascii="Arial" w:eastAsia="Times New Roman" w:hAnsi="Arial" w:cs="Arial"/>
          <w:sz w:val="24"/>
          <w:szCs w:val="24"/>
          <w:lang w:eastAsia="mn-MN"/>
        </w:rPr>
        <w:t>6</w:t>
      </w:r>
      <w:r w:rsidRPr="00335733">
        <w:rPr>
          <w:rFonts w:ascii="Arial" w:eastAsia="Times New Roman" w:hAnsi="Arial" w:cs="Arial"/>
          <w:sz w:val="24"/>
          <w:szCs w:val="24"/>
          <w:lang w:eastAsia="mn-MN"/>
        </w:rPr>
        <w:t xml:space="preserve"> тоот Хуулийн төсөлд санал авч, хэлэлцүүлэгт оролцуулах тухай албан бичгийг Тавантолгой ХК-д явуулахад хуульд заасан хугацаанд санал ирүүлээгүй тул тусгайлан өгөх саналгүй гэж үзсэн.</w:t>
      </w:r>
    </w:p>
    <w:p w:rsidR="004E7665" w:rsidRPr="00335733" w:rsidRDefault="004E7665" w:rsidP="00B03B6A">
      <w:pPr>
        <w:pStyle w:val="ListParagraph"/>
        <w:numPr>
          <w:ilvl w:val="0"/>
          <w:numId w:val="7"/>
        </w:numPr>
        <w:spacing w:line="240" w:lineRule="auto"/>
        <w:jc w:val="both"/>
        <w:rPr>
          <w:rFonts w:ascii="Arial" w:eastAsia="Times New Roman" w:hAnsi="Arial" w:cs="Arial"/>
          <w:sz w:val="24"/>
          <w:szCs w:val="24"/>
          <w:lang w:eastAsia="mn-MN"/>
        </w:rPr>
      </w:pPr>
      <w:r w:rsidRPr="00335733">
        <w:rPr>
          <w:rFonts w:ascii="Arial" w:eastAsia="Times New Roman" w:hAnsi="Arial" w:cs="Arial"/>
          <w:sz w:val="24"/>
          <w:szCs w:val="24"/>
          <w:lang w:eastAsia="mn-MN"/>
        </w:rPr>
        <w:t>2025 оны 11 сарын 25-ны өдөр УИХ-03/1349</w:t>
      </w:r>
      <w:r w:rsidR="00B03B6A">
        <w:rPr>
          <w:rFonts w:ascii="Arial" w:eastAsia="Times New Roman" w:hAnsi="Arial" w:cs="Arial"/>
          <w:sz w:val="24"/>
          <w:szCs w:val="24"/>
          <w:lang w:val="en-US" w:eastAsia="mn-MN"/>
        </w:rPr>
        <w:t>7</w:t>
      </w:r>
      <w:r w:rsidRPr="00335733">
        <w:rPr>
          <w:rFonts w:ascii="Arial" w:eastAsia="Times New Roman" w:hAnsi="Arial" w:cs="Arial"/>
          <w:sz w:val="24"/>
          <w:szCs w:val="24"/>
          <w:lang w:eastAsia="mn-MN"/>
        </w:rPr>
        <w:t xml:space="preserve"> тоот Хуулийн төсөлд санал авч, хэлэлцүүлэгт оролцуулах тухай албан бичгийг Тавантолгой Төмөр зам ХХК-д явуулахад хуульд заасан хугацаанд санал ирүүлээгүй тул тусгайлан өгөх саналгүй гэж үзсэн.</w:t>
      </w:r>
    </w:p>
    <w:p w:rsidR="00335733" w:rsidRPr="00335733" w:rsidRDefault="00335733" w:rsidP="00335733">
      <w:pPr>
        <w:spacing w:line="240" w:lineRule="auto"/>
        <w:jc w:val="both"/>
        <w:rPr>
          <w:rFonts w:ascii="Arial" w:eastAsia="Times New Roman" w:hAnsi="Arial" w:cs="Arial"/>
          <w:sz w:val="24"/>
          <w:szCs w:val="24"/>
          <w:lang w:eastAsia="mn-MN"/>
        </w:rPr>
      </w:pPr>
      <w:r w:rsidRPr="00335733">
        <w:rPr>
          <w:rFonts w:ascii="Arial" w:eastAsia="Times New Roman" w:hAnsi="Arial" w:cs="Arial"/>
          <w:sz w:val="24"/>
          <w:szCs w:val="24"/>
          <w:lang w:eastAsia="mn-MN"/>
        </w:rPr>
        <w:t>Хууль тогтоомжийн тухай хуулийн 38 дугаар зүйлийн 6.4 дүгээр зүйлд зааснаар https://d.parliament.mn цахим сайтад</w:t>
      </w:r>
      <w:r>
        <w:rPr>
          <w:rFonts w:ascii="Arial" w:eastAsia="Times New Roman" w:hAnsi="Arial" w:cs="Arial"/>
          <w:sz w:val="24"/>
          <w:szCs w:val="24"/>
          <w:lang w:eastAsia="mn-MN"/>
        </w:rPr>
        <w:t xml:space="preserve"> хуулийн төслийг хуульд заасан хугацаанд байршуулсан бөгөөд </w:t>
      </w:r>
      <w:r w:rsidRPr="00335733">
        <w:rPr>
          <w:rFonts w:ascii="Arial" w:eastAsia="Times New Roman" w:hAnsi="Arial" w:cs="Arial"/>
          <w:b/>
          <w:bCs/>
          <w:sz w:val="24"/>
          <w:szCs w:val="24"/>
          <w:lang w:eastAsia="mn-MN"/>
        </w:rPr>
        <w:t>иргэдээс цахим хэлбэрээр санал ирээгүй болно.</w:t>
      </w:r>
    </w:p>
    <w:p w:rsidR="006958C3" w:rsidRPr="006958C3" w:rsidRDefault="006958C3" w:rsidP="006958C3">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Хууль тогтоомжийн тухай хуулийн 38 дугаар зүйлийн 6.1 дүгээр зүйлд заасан хэлбэрээр бичгээр санал авахад Албан бичгээр ирсэн санал:</w:t>
      </w:r>
    </w:p>
    <w:p w:rsidR="006958C3" w:rsidRPr="006958C3" w:rsidRDefault="006958C3" w:rsidP="006958C3">
      <w:pPr>
        <w:spacing w:line="240" w:lineRule="auto"/>
        <w:ind w:firstLine="720"/>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Монголын Үндэсний Худалдаа Аж Үйлдвэрийн танхимаас 2025 оны 12-р сарын 11-ий өдрийн 01</w:t>
      </w:r>
      <w:r w:rsidRPr="006958C3">
        <w:rPr>
          <w:rFonts w:ascii="Arial" w:eastAsia="Times New Roman" w:hAnsi="Arial" w:cs="Arial"/>
          <w:sz w:val="24"/>
          <w:szCs w:val="24"/>
          <w:lang w:val="en-US" w:eastAsia="mn-MN"/>
        </w:rPr>
        <w:t xml:space="preserve">/1131 </w:t>
      </w:r>
      <w:r w:rsidRPr="006958C3">
        <w:rPr>
          <w:rFonts w:ascii="Arial" w:eastAsia="Times New Roman" w:hAnsi="Arial" w:cs="Arial"/>
          <w:sz w:val="24"/>
          <w:szCs w:val="24"/>
          <w:lang w:eastAsia="mn-MN"/>
        </w:rPr>
        <w:t xml:space="preserve">дугаартай албан бичигт БНМАУ-ын Засгийн газарт эрх олгох тухай хуулийн хүчингүй болсонд тооцох тухай хуулийн төсөлтөй хамт өргөн мэдүүлсэн Онц байдлын тухай хуульд нэмэлт, өөрчлөлт оруулах тухай хуулийн төсөлд холбогдох иргэний хөдөлмөрлөх эрхийг хамгаалах болон эрх мэдлийг хэрэгжүүлэх хэмжээ хязгаарыг нарийвчлахтай холбоотой 2 санал ирүүлснийг хуулийн төсөлд нэмж тусгав. </w:t>
      </w:r>
    </w:p>
    <w:p w:rsidR="006958C3" w:rsidRPr="006958C3" w:rsidRDefault="006958C3" w:rsidP="006958C3">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Мөн уг хуулийн төсөлд тусгагдаагүй зарим заалтуудад өөрчлөлт оруулах болон хасах 3 санал ирүүлсэн нь хуулийн төслийн агуулгатай хамааралтай бөгөөд үзэл баримтлалд нийцэж байсан тул хуулийн төсөлд нэмж тусгав.</w:t>
      </w:r>
    </w:p>
    <w:p w:rsidR="00910C5A" w:rsidRDefault="00910C5A" w:rsidP="00417EC3">
      <w:pPr>
        <w:spacing w:before="100" w:after="100" w:line="240" w:lineRule="auto"/>
        <w:jc w:val="center"/>
        <w:rPr>
          <w:rFonts w:ascii="Arial" w:eastAsia="Arial" w:hAnsi="Arial" w:cs="Arial"/>
          <w:b/>
          <w:bCs/>
          <w:noProof/>
          <w:color w:val="000000" w:themeColor="text1"/>
          <w:sz w:val="24"/>
          <w:szCs w:val="24"/>
          <w:lang w:val="cs-CZ"/>
        </w:rPr>
      </w:pPr>
      <w:r w:rsidRPr="006958C3">
        <w:rPr>
          <w:rFonts w:ascii="Arial" w:hAnsi="Arial" w:cs="Arial"/>
          <w:b/>
          <w:bCs/>
          <w:noProof/>
          <w:color w:val="000000" w:themeColor="text1"/>
          <w:sz w:val="24"/>
          <w:szCs w:val="24"/>
          <w:lang w:val="cs-CZ"/>
        </w:rPr>
        <w:t>МҮХАҮТ</w:t>
      </w:r>
      <w:r w:rsidRPr="006958C3">
        <w:rPr>
          <w:rFonts w:ascii="Arial" w:eastAsia="Arial" w:hAnsi="Arial" w:cs="Arial"/>
          <w:b/>
          <w:bCs/>
          <w:noProof/>
          <w:color w:val="000000" w:themeColor="text1"/>
          <w:sz w:val="24"/>
          <w:szCs w:val="24"/>
          <w:lang w:val="cs-CZ"/>
        </w:rPr>
        <w:t>-ЫН НАРИЙВЧИЛСАН САНАЛ:</w:t>
      </w:r>
    </w:p>
    <w:p w:rsidR="00417EC3" w:rsidRPr="006958C3" w:rsidRDefault="00417EC3" w:rsidP="00417EC3">
      <w:pPr>
        <w:spacing w:after="0"/>
        <w:jc w:val="center"/>
        <w:rPr>
          <w:rFonts w:ascii="Arial" w:eastAsia="Arial" w:hAnsi="Arial" w:cs="Arial"/>
          <w:b/>
          <w:bCs/>
          <w:noProof/>
          <w:color w:val="000000" w:themeColor="text1"/>
          <w:sz w:val="24"/>
          <w:szCs w:val="24"/>
          <w:lang w:val="cs-CZ"/>
        </w:rPr>
      </w:pPr>
    </w:p>
    <w:tbl>
      <w:tblPr>
        <w:tblStyle w:val="TableGrid"/>
        <w:tblW w:w="0" w:type="auto"/>
        <w:tblLook w:val="04A0" w:firstRow="1" w:lastRow="0" w:firstColumn="1" w:lastColumn="0" w:noHBand="0" w:noVBand="1"/>
      </w:tblPr>
      <w:tblGrid>
        <w:gridCol w:w="553"/>
        <w:gridCol w:w="2844"/>
        <w:gridCol w:w="2165"/>
        <w:gridCol w:w="2078"/>
        <w:gridCol w:w="1704"/>
      </w:tblGrid>
      <w:tr w:rsidR="00910C5A" w:rsidRPr="006958C3" w:rsidTr="006958C3">
        <w:tc>
          <w:tcPr>
            <w:tcW w:w="553" w:type="dxa"/>
          </w:tcPr>
          <w:p w:rsidR="00910C5A" w:rsidRPr="006958C3" w:rsidRDefault="00910C5A" w:rsidP="00910C5A">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w:t>
            </w:r>
          </w:p>
        </w:tc>
        <w:tc>
          <w:tcPr>
            <w:tcW w:w="2844" w:type="dxa"/>
          </w:tcPr>
          <w:p w:rsidR="00910C5A" w:rsidRPr="006958C3" w:rsidRDefault="00910C5A" w:rsidP="00910C5A">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Төсөлд тусгагдсан заалт</w:t>
            </w:r>
          </w:p>
        </w:tc>
        <w:tc>
          <w:tcPr>
            <w:tcW w:w="2165" w:type="dxa"/>
          </w:tcPr>
          <w:p w:rsidR="00910C5A" w:rsidRPr="006958C3" w:rsidRDefault="00910C5A" w:rsidP="00910C5A">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Өөрчлөх санал</w:t>
            </w:r>
          </w:p>
        </w:tc>
        <w:tc>
          <w:tcPr>
            <w:tcW w:w="2078" w:type="dxa"/>
          </w:tcPr>
          <w:p w:rsidR="00910C5A" w:rsidRPr="006958C3" w:rsidRDefault="00910C5A" w:rsidP="00910C5A">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Үндэслэл</w:t>
            </w:r>
          </w:p>
        </w:tc>
        <w:tc>
          <w:tcPr>
            <w:tcW w:w="1704" w:type="dxa"/>
          </w:tcPr>
          <w:p w:rsidR="00910C5A" w:rsidRPr="006958C3" w:rsidRDefault="00910C5A" w:rsidP="00910C5A">
            <w:pPr>
              <w:spacing w:line="240" w:lineRule="auto"/>
              <w:jc w:val="both"/>
              <w:rPr>
                <w:rFonts w:ascii="Arial" w:eastAsia="Times New Roman" w:hAnsi="Arial" w:cs="Arial"/>
                <w:sz w:val="24"/>
                <w:szCs w:val="24"/>
                <w:lang w:eastAsia="mn-MN"/>
              </w:rPr>
            </w:pPr>
          </w:p>
        </w:tc>
      </w:tr>
      <w:tr w:rsidR="00910C5A" w:rsidRPr="006958C3" w:rsidTr="006958C3">
        <w:tc>
          <w:tcPr>
            <w:tcW w:w="553" w:type="dxa"/>
          </w:tcPr>
          <w:p w:rsidR="00910C5A" w:rsidRPr="006958C3" w:rsidRDefault="00910C5A" w:rsidP="00910C5A">
            <w:pPr>
              <w:spacing w:line="240" w:lineRule="auto"/>
              <w:jc w:val="both"/>
              <w:rPr>
                <w:rFonts w:ascii="Arial" w:eastAsia="Times New Roman" w:hAnsi="Arial" w:cs="Arial"/>
                <w:sz w:val="24"/>
                <w:szCs w:val="24"/>
                <w:lang w:val="en-US" w:eastAsia="mn-MN"/>
              </w:rPr>
            </w:pPr>
            <w:r w:rsidRPr="006958C3">
              <w:rPr>
                <w:rFonts w:ascii="Arial" w:eastAsia="Times New Roman" w:hAnsi="Arial" w:cs="Arial"/>
                <w:sz w:val="24"/>
                <w:szCs w:val="24"/>
                <w:lang w:val="en-US" w:eastAsia="mn-MN"/>
              </w:rPr>
              <w:t>1</w:t>
            </w:r>
          </w:p>
        </w:tc>
        <w:tc>
          <w:tcPr>
            <w:tcW w:w="2844" w:type="dxa"/>
          </w:tcPr>
          <w:p w:rsidR="00910C5A" w:rsidRPr="006958C3" w:rsidRDefault="00910C5A" w:rsidP="00910C5A">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 xml:space="preserve">"16.2.4. шаардлагатай гэж үзвэл төрийн өмчийн болон төрийн өмч давамгайлсан аж </w:t>
            </w:r>
            <w:r w:rsidRPr="006958C3">
              <w:rPr>
                <w:rFonts w:ascii="Arial" w:eastAsia="Times New Roman" w:hAnsi="Arial" w:cs="Arial"/>
                <w:sz w:val="24"/>
                <w:szCs w:val="24"/>
                <w:lang w:eastAsia="mn-MN"/>
              </w:rPr>
              <w:lastRenderedPageBreak/>
              <w:t>ахуйн нэгж, байгууллагын зохион байгуулалтын бүтэц, үүрэг, хөдөлмөрийн норм, цалин хөлсийг шинэчлэн тогтоох, үйлдвэрлэлийн зориулалт, технологийн горимыг өөрчлөх, онц байдал тогтоосон шийдвэрийг хэрэгжүүлэхтэй холбогдуулан эрх бүхий албан тушаалтнаас өгсөн үүрэг даалгаврыг зохих ёсоор биелүүлээгүй бүх шатны удирдах ажилтныг онц байдлын хугацаагаар түдгэлзүүлж, орны хүнийг томилох"</w:t>
            </w:r>
          </w:p>
        </w:tc>
        <w:tc>
          <w:tcPr>
            <w:tcW w:w="2165" w:type="dxa"/>
          </w:tcPr>
          <w:p w:rsidR="00910C5A" w:rsidRPr="006958C3" w:rsidRDefault="008A1D50" w:rsidP="00910C5A">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lastRenderedPageBreak/>
              <w:t xml:space="preserve">"16.2.4. төрийн өмчийн болон төрийн өмч давамгайлсан аж </w:t>
            </w:r>
            <w:r w:rsidRPr="006958C3">
              <w:rPr>
                <w:rFonts w:ascii="Arial" w:eastAsia="Times New Roman" w:hAnsi="Arial" w:cs="Arial"/>
                <w:sz w:val="24"/>
                <w:szCs w:val="24"/>
                <w:lang w:eastAsia="mn-MN"/>
              </w:rPr>
              <w:lastRenderedPageBreak/>
              <w:t>ахуйн нэгж, байгууллагын зохион байгуулалтын бүтэц, үүрэг, хөдөлмөрийн норм, цалин хөлс үйлдвэрлэлийн зориулалт, технологийн горим нь тусгай дэглэмийг хэрэгжүүлэхэд тохиромжгүй, саад болохуйц бол өөрчлөх, онц байдал тогтоосон шийдвэрийг хэрэгжүүлэхтэй холбогдуулан эрх бүхий албан тушаалтнаас өгсөн үүрэг даалгаврыг биелүүлээгүй бүх шатны удирдах ажилтныг онц байдлын хугацаагаар түдгэлзүүлж, орны хүнийг томилох"</w:t>
            </w:r>
          </w:p>
        </w:tc>
        <w:tc>
          <w:tcPr>
            <w:tcW w:w="2078" w:type="dxa"/>
          </w:tcPr>
          <w:p w:rsidR="00910C5A" w:rsidRPr="006958C3" w:rsidRDefault="008A1D50" w:rsidP="00910C5A">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lastRenderedPageBreak/>
              <w:t xml:space="preserve">"шаардлагатай гэж үзвэл", "зохих ёсоор" гэх нэр </w:t>
            </w:r>
            <w:r w:rsidRPr="006958C3">
              <w:rPr>
                <w:rFonts w:ascii="Arial" w:eastAsia="Times New Roman" w:hAnsi="Arial" w:cs="Arial"/>
                <w:sz w:val="24"/>
                <w:szCs w:val="24"/>
                <w:lang w:eastAsia="mn-MN"/>
              </w:rPr>
              <w:lastRenderedPageBreak/>
              <w:t>томьёоноос аль болох зайлсхийхгүй бол эрх бүхий этгээдийн үзэмжээр шийдвэрлэгдэх магадлалыг өндөр болгодог. Хуулийн нэг зорилго нь хэн нэгний дураар аашлах боломжийг хязгаарлахад оршдог тул эрх мэдлээ хэрэгжүүлэх хэмжээ, хязгаар, үндэслэлийг тодорхой байлгах шаардлагатай.</w:t>
            </w:r>
          </w:p>
        </w:tc>
        <w:tc>
          <w:tcPr>
            <w:tcW w:w="1704" w:type="dxa"/>
          </w:tcPr>
          <w:p w:rsidR="00910C5A" w:rsidRPr="006958C3" w:rsidRDefault="008A1D50" w:rsidP="00910C5A">
            <w:pPr>
              <w:spacing w:line="240" w:lineRule="auto"/>
              <w:jc w:val="both"/>
              <w:rPr>
                <w:rFonts w:ascii="Arial" w:eastAsia="Times New Roman" w:hAnsi="Arial" w:cs="Arial"/>
                <w:sz w:val="24"/>
                <w:szCs w:val="24"/>
                <w:lang w:eastAsia="mn-MN"/>
              </w:rPr>
            </w:pPr>
            <w:r w:rsidRPr="006958C3">
              <w:rPr>
                <w:rFonts w:ascii="Arial" w:hAnsi="Arial" w:cs="Arial"/>
                <w:noProof/>
                <w:color w:val="000000" w:themeColor="text1"/>
                <w:sz w:val="24"/>
                <w:szCs w:val="24"/>
                <w:lang w:val="cs-CZ"/>
              </w:rPr>
              <w:lastRenderedPageBreak/>
              <w:t>Саналыг тусгасан.</w:t>
            </w:r>
          </w:p>
        </w:tc>
      </w:tr>
      <w:tr w:rsidR="00910C5A" w:rsidRPr="006958C3" w:rsidTr="006958C3">
        <w:tc>
          <w:tcPr>
            <w:tcW w:w="553" w:type="dxa"/>
          </w:tcPr>
          <w:p w:rsidR="00910C5A" w:rsidRPr="006958C3" w:rsidRDefault="00910C5A" w:rsidP="00910C5A">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2</w:t>
            </w:r>
          </w:p>
        </w:tc>
        <w:tc>
          <w:tcPr>
            <w:tcW w:w="2844" w:type="dxa"/>
          </w:tcPr>
          <w:p w:rsidR="00910C5A" w:rsidRPr="006958C3" w:rsidRDefault="00910C5A" w:rsidP="00910C5A">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"16.2.7. онц байдлын хугацаанд ажилчин, албан хаагчийг нөхөх олговортойгоор илүү цагаар ажиллуулах”</w:t>
            </w:r>
          </w:p>
        </w:tc>
        <w:tc>
          <w:tcPr>
            <w:tcW w:w="2165" w:type="dxa"/>
          </w:tcPr>
          <w:p w:rsidR="00910C5A" w:rsidRPr="006958C3" w:rsidRDefault="008A1D50" w:rsidP="00910C5A">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"16.2.7. онц байдлын хугацаанд ажилчин, албан хаагчийг нөхөх олговортойгоор илүү цагаар ажиллуулах ба энэ нь Хөдөлмөрийн тухай хуулийн 84.4-т заасан долоо хоногийн ажлын цагийн дээд хязгаарыг 1.5 дахин нэмэгдүүлснээс хэтрэхгүй байна."</w:t>
            </w:r>
          </w:p>
        </w:tc>
        <w:tc>
          <w:tcPr>
            <w:tcW w:w="2078" w:type="dxa"/>
          </w:tcPr>
          <w:p w:rsidR="00910C5A" w:rsidRPr="006958C3" w:rsidRDefault="008A1D50" w:rsidP="00910C5A">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Онцгой дэглэмийн хугацаанд ч мөн хөдөлмөрлөх, хөдөлмөрлүүлэх эрхийн харилцаа явагдах тул Хөдөлмөрийн тухай хуульд заасан хэмжээг аль хэр хүрээнд хэтрүүлэх боломжтой гэдгийг тогтоож өгөх шаардлагатай.</w:t>
            </w:r>
          </w:p>
        </w:tc>
        <w:tc>
          <w:tcPr>
            <w:tcW w:w="1704" w:type="dxa"/>
          </w:tcPr>
          <w:p w:rsidR="00910C5A" w:rsidRPr="006958C3" w:rsidRDefault="008A1D50" w:rsidP="00910C5A">
            <w:pPr>
              <w:spacing w:line="240" w:lineRule="auto"/>
              <w:jc w:val="both"/>
              <w:rPr>
                <w:rFonts w:ascii="Arial" w:eastAsia="Times New Roman" w:hAnsi="Arial" w:cs="Arial"/>
                <w:b/>
                <w:bCs/>
                <w:sz w:val="24"/>
                <w:szCs w:val="24"/>
                <w:lang w:eastAsia="mn-MN"/>
              </w:rPr>
            </w:pPr>
            <w:r w:rsidRPr="006958C3">
              <w:rPr>
                <w:rFonts w:ascii="Arial" w:hAnsi="Arial" w:cs="Arial"/>
                <w:noProof/>
                <w:color w:val="000000" w:themeColor="text1"/>
                <w:sz w:val="24"/>
                <w:szCs w:val="24"/>
                <w:lang w:val="cs-CZ"/>
              </w:rPr>
              <w:t>Саналыг тусгасан.</w:t>
            </w:r>
          </w:p>
        </w:tc>
      </w:tr>
      <w:tr w:rsidR="00910C5A" w:rsidRPr="006958C3" w:rsidTr="006958C3">
        <w:tc>
          <w:tcPr>
            <w:tcW w:w="553" w:type="dxa"/>
          </w:tcPr>
          <w:p w:rsidR="00910C5A" w:rsidRPr="006958C3" w:rsidRDefault="008A1D50" w:rsidP="00910C5A">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lastRenderedPageBreak/>
              <w:t>№</w:t>
            </w:r>
          </w:p>
        </w:tc>
        <w:tc>
          <w:tcPr>
            <w:tcW w:w="2844" w:type="dxa"/>
          </w:tcPr>
          <w:p w:rsidR="00910C5A" w:rsidRPr="006958C3" w:rsidRDefault="008A1D50" w:rsidP="00910C5A">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Хуулийн одоогийн заалт</w:t>
            </w:r>
          </w:p>
        </w:tc>
        <w:tc>
          <w:tcPr>
            <w:tcW w:w="2165" w:type="dxa"/>
          </w:tcPr>
          <w:p w:rsidR="00910C5A" w:rsidRPr="006958C3" w:rsidRDefault="008A1D50" w:rsidP="00910C5A">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Өөрчлөх санал</w:t>
            </w:r>
          </w:p>
        </w:tc>
        <w:tc>
          <w:tcPr>
            <w:tcW w:w="2078" w:type="dxa"/>
          </w:tcPr>
          <w:p w:rsidR="00910C5A" w:rsidRPr="006958C3" w:rsidRDefault="008A1D50" w:rsidP="00910C5A">
            <w:pPr>
              <w:spacing w:line="240" w:lineRule="auto"/>
              <w:jc w:val="both"/>
              <w:rPr>
                <w:rFonts w:ascii="Arial" w:eastAsia="Times New Roman" w:hAnsi="Arial" w:cs="Arial"/>
                <w:b/>
                <w:bCs/>
                <w:sz w:val="24"/>
                <w:szCs w:val="24"/>
                <w:lang w:eastAsia="mn-MN"/>
              </w:rPr>
            </w:pPr>
            <w:r w:rsidRPr="006958C3">
              <w:rPr>
                <w:rFonts w:ascii="Arial" w:eastAsia="Times New Roman" w:hAnsi="Arial" w:cs="Arial"/>
                <w:b/>
                <w:bCs/>
                <w:sz w:val="24"/>
                <w:szCs w:val="24"/>
                <w:lang w:eastAsia="mn-MN"/>
              </w:rPr>
              <w:t>Үндэслэл</w:t>
            </w:r>
          </w:p>
        </w:tc>
        <w:tc>
          <w:tcPr>
            <w:tcW w:w="1704" w:type="dxa"/>
          </w:tcPr>
          <w:p w:rsidR="00910C5A" w:rsidRPr="006958C3" w:rsidRDefault="00910C5A" w:rsidP="00910C5A">
            <w:pPr>
              <w:spacing w:line="240" w:lineRule="auto"/>
              <w:jc w:val="both"/>
              <w:rPr>
                <w:rFonts w:ascii="Arial" w:eastAsia="Times New Roman" w:hAnsi="Arial" w:cs="Arial"/>
                <w:b/>
                <w:bCs/>
                <w:sz w:val="24"/>
                <w:szCs w:val="24"/>
                <w:lang w:eastAsia="mn-MN"/>
              </w:rPr>
            </w:pPr>
          </w:p>
        </w:tc>
      </w:tr>
      <w:tr w:rsidR="008A1D50" w:rsidRPr="006958C3" w:rsidTr="006958C3">
        <w:tc>
          <w:tcPr>
            <w:tcW w:w="553" w:type="dxa"/>
          </w:tcPr>
          <w:p w:rsidR="008A1D50" w:rsidRPr="006958C3" w:rsidRDefault="008A1D50" w:rsidP="008A1D50">
            <w:pPr>
              <w:spacing w:line="240" w:lineRule="auto"/>
              <w:jc w:val="both"/>
              <w:rPr>
                <w:rFonts w:ascii="Arial" w:eastAsia="Times New Roman" w:hAnsi="Arial" w:cs="Arial"/>
                <w:sz w:val="24"/>
                <w:szCs w:val="24"/>
                <w:lang w:val="en-US" w:eastAsia="mn-MN"/>
              </w:rPr>
            </w:pPr>
            <w:r w:rsidRPr="006958C3">
              <w:rPr>
                <w:rFonts w:ascii="Arial" w:eastAsia="Times New Roman" w:hAnsi="Arial" w:cs="Arial"/>
                <w:sz w:val="24"/>
                <w:szCs w:val="24"/>
                <w:lang w:val="en-US" w:eastAsia="mn-MN"/>
              </w:rPr>
              <w:t>1</w:t>
            </w:r>
          </w:p>
        </w:tc>
        <w:tc>
          <w:tcPr>
            <w:tcW w:w="2844"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 xml:space="preserve">9.4. Онц байдал тогтоосон нутаг дэвсгэрт байгаа төр, нам, олон нийт, хоршооллын төв, орон нутгийн байгууллага, аж ахуйн нэгж, албан тушаалтан, иргэд онц байдал тогтоосон шийдвэрийг хэрэгжүүлж байгаа төрийн байгууллага, албан тушаалтанд бүх талын дэмжлэг туслалцаа үзүүлж, гаргасан шийдвэр, өгсөн үүрэг даалгаврыг </w:t>
            </w:r>
            <w:r w:rsidRPr="006958C3">
              <w:rPr>
                <w:rFonts w:ascii="Arial" w:eastAsia="Times New Roman" w:hAnsi="Arial" w:cs="Arial"/>
                <w:b/>
                <w:bCs/>
                <w:sz w:val="24"/>
                <w:szCs w:val="24"/>
                <w:lang w:eastAsia="mn-MN"/>
              </w:rPr>
              <w:t>хэлбэрэлтгүй</w:t>
            </w:r>
            <w:r w:rsidRPr="006958C3">
              <w:rPr>
                <w:rFonts w:ascii="Arial" w:eastAsia="Times New Roman" w:hAnsi="Arial" w:cs="Arial"/>
                <w:sz w:val="24"/>
                <w:szCs w:val="24"/>
                <w:lang w:eastAsia="mn-MN"/>
              </w:rPr>
              <w:t xml:space="preserve"> биелүүлэх үүрэгтэй.</w:t>
            </w:r>
          </w:p>
        </w:tc>
        <w:tc>
          <w:tcPr>
            <w:tcW w:w="2165"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"хэлбэрэлтгүй" гэдэг үгийг xacax</w:t>
            </w:r>
          </w:p>
        </w:tc>
        <w:tc>
          <w:tcPr>
            <w:tcW w:w="2078"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МУ-ын Засгийн газрын 2016 оны 1-р сарын 25-ны өдрийн "Аргачлал батлах тухай" 59-р тогтоолын Хавсралт 2-ын 3.1 дэх хэсэгт ... Хуулийн төслийн хэллэгийг яруу, төгс төгөлдөр болгох зорилгоор хүч оруулсан нэр томьёо хэрэглэхээс зайлсхийнэ..." гэж заасан байдаг.</w:t>
            </w:r>
          </w:p>
        </w:tc>
        <w:tc>
          <w:tcPr>
            <w:tcW w:w="1704"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hAnsi="Arial" w:cs="Arial"/>
                <w:noProof/>
                <w:color w:val="000000" w:themeColor="text1"/>
                <w:sz w:val="24"/>
                <w:szCs w:val="24"/>
                <w:lang w:val="cs-CZ"/>
              </w:rPr>
              <w:t>Саналыг тусгасан.</w:t>
            </w:r>
          </w:p>
        </w:tc>
      </w:tr>
      <w:tr w:rsidR="008A1D50" w:rsidRPr="006958C3" w:rsidTr="006958C3">
        <w:tc>
          <w:tcPr>
            <w:tcW w:w="553"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2</w:t>
            </w:r>
          </w:p>
        </w:tc>
        <w:tc>
          <w:tcPr>
            <w:tcW w:w="2844" w:type="dxa"/>
          </w:tcPr>
          <w:p w:rsidR="008A1D50" w:rsidRPr="006958C3" w:rsidRDefault="008A1D50" w:rsidP="008A1D50">
            <w:pPr>
              <w:spacing w:line="240" w:lineRule="auto"/>
              <w:jc w:val="both"/>
              <w:rPr>
                <w:rFonts w:ascii="Arial" w:eastAsia="Times New Roman" w:hAnsi="Arial" w:cs="Arial"/>
                <w:sz w:val="24"/>
                <w:szCs w:val="24"/>
                <w:lang w:val="en-US" w:eastAsia="mn-MN"/>
              </w:rPr>
            </w:pPr>
            <w:r w:rsidRPr="006958C3">
              <w:rPr>
                <w:rFonts w:ascii="Arial" w:eastAsia="Times New Roman" w:hAnsi="Arial" w:cs="Arial"/>
                <w:sz w:val="24"/>
                <w:szCs w:val="24"/>
                <w:lang w:eastAsia="mn-MN"/>
              </w:rPr>
              <w:t>10.1.5/онц байдал тогтоосон шийдвэр, түүнийг хэрэгжүүлэхтэй холбогдуулан Зөвлөл, Засаг даргаас өгсөн үүрэг, даалгаврыг биелүүлээгүй төрийн өмчийн болон төрийн өмчийн оролцоотой аж ахуйн нэгж, байгууллагын удирдах албан тушаалтныг огцруулж, орны хүнийг онц байдлын хугацаагаар томилох</w:t>
            </w:r>
            <w:r w:rsidRPr="006958C3">
              <w:rPr>
                <w:rFonts w:ascii="Arial" w:eastAsia="Times New Roman" w:hAnsi="Arial" w:cs="Arial"/>
                <w:sz w:val="24"/>
                <w:szCs w:val="24"/>
                <w:lang w:val="en-US" w:eastAsia="mn-MN"/>
              </w:rPr>
              <w:t>;</w:t>
            </w:r>
          </w:p>
        </w:tc>
        <w:tc>
          <w:tcPr>
            <w:tcW w:w="2165"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 xml:space="preserve">10.1.5/онц байдал тогтоосон шийдвэр, түүнийг хэрэгжүүлэхтэй холбогдуулан Зөвлөл, Засаг даргаас өгсөн үүрэг, даалгаврыг биелүүлээгүй төрийн өмчийн болон төрийн өмчийн оролцоотой аж ахуйн нэгж, байгууллагын удирдах албан тушаалтныг </w:t>
            </w:r>
            <w:r w:rsidRPr="006958C3">
              <w:rPr>
                <w:rFonts w:ascii="Arial" w:eastAsia="Times New Roman" w:hAnsi="Arial" w:cs="Arial"/>
                <w:b/>
                <w:bCs/>
                <w:sz w:val="24"/>
                <w:szCs w:val="24"/>
                <w:lang w:eastAsia="mn-MN"/>
              </w:rPr>
              <w:t>онц байдлын хугацаагаар түдгэлзүүлж,</w:t>
            </w:r>
            <w:r w:rsidRPr="006958C3">
              <w:rPr>
                <w:rFonts w:ascii="Arial" w:eastAsia="Times New Roman" w:hAnsi="Arial" w:cs="Arial"/>
                <w:sz w:val="24"/>
                <w:szCs w:val="24"/>
                <w:lang w:eastAsia="mn-MN"/>
              </w:rPr>
              <w:t xml:space="preserve"> орны хүнийг онц байдлын хугацаагаар томилох;</w:t>
            </w:r>
          </w:p>
        </w:tc>
        <w:tc>
          <w:tcPr>
            <w:tcW w:w="2078"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 xml:space="preserve">Хуулийн нэмэлт өөрчлөлтийн төслийн 2-р зүйлд заасны дагуу хуулийн 16.2.4 дэх хэсэгт орж буй өөрчлөлт нь ижил зорилго, утга бүхий заалтад мөн адил үйлчлэх ёстой. Тухайлбал, 16.2.4-т албан тушаалтныг түдгэлзүүлж байхад хуулийн 10.1.5-т ижил үндэслэлтэй атал албан тушаалтныг огцруулж болохгүй. Огцруулах гэдэг үг нь онц байдлын дараа ч ажлаа хийх боломжгүй </w:t>
            </w:r>
            <w:r w:rsidRPr="006958C3">
              <w:rPr>
                <w:rFonts w:ascii="Arial" w:eastAsia="Times New Roman" w:hAnsi="Arial" w:cs="Arial"/>
                <w:sz w:val="24"/>
                <w:szCs w:val="24"/>
                <w:lang w:eastAsia="mn-MN"/>
              </w:rPr>
              <w:lastRenderedPageBreak/>
              <w:t>болгох утгатай байна.</w:t>
            </w:r>
          </w:p>
        </w:tc>
        <w:tc>
          <w:tcPr>
            <w:tcW w:w="1704"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hAnsi="Arial" w:cs="Arial"/>
                <w:noProof/>
                <w:color w:val="000000" w:themeColor="text1"/>
                <w:sz w:val="24"/>
                <w:szCs w:val="24"/>
                <w:lang w:val="cs-CZ"/>
              </w:rPr>
              <w:lastRenderedPageBreak/>
              <w:t>Саналыг тусгасан.</w:t>
            </w:r>
          </w:p>
        </w:tc>
      </w:tr>
      <w:tr w:rsidR="008A1D50" w:rsidRPr="006958C3" w:rsidTr="006958C3">
        <w:tc>
          <w:tcPr>
            <w:tcW w:w="553" w:type="dxa"/>
          </w:tcPr>
          <w:p w:rsidR="008A1D50" w:rsidRPr="006958C3" w:rsidRDefault="008A1D50" w:rsidP="008A1D50">
            <w:pPr>
              <w:spacing w:line="240" w:lineRule="auto"/>
              <w:jc w:val="both"/>
              <w:rPr>
                <w:rFonts w:ascii="Arial" w:eastAsia="Times New Roman" w:hAnsi="Arial" w:cs="Arial"/>
                <w:sz w:val="24"/>
                <w:szCs w:val="24"/>
                <w:lang w:eastAsia="mn-MN"/>
              </w:rPr>
            </w:pPr>
          </w:p>
        </w:tc>
        <w:tc>
          <w:tcPr>
            <w:tcW w:w="2844"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15 дугаар зүйл. Онц байдал үргэлжлэх хугацаанд цаазаар авах ял гүйцэтгэхгүй байх</w:t>
            </w:r>
          </w:p>
          <w:p w:rsidR="008A1D50" w:rsidRPr="006958C3" w:rsidRDefault="008A1D50" w:rsidP="008A1D50">
            <w:pPr>
              <w:spacing w:line="240" w:lineRule="auto"/>
              <w:jc w:val="both"/>
              <w:rPr>
                <w:rFonts w:ascii="Arial" w:eastAsia="Times New Roman" w:hAnsi="Arial" w:cs="Arial"/>
                <w:sz w:val="24"/>
                <w:szCs w:val="24"/>
                <w:lang w:eastAsia="mn-MN"/>
              </w:rPr>
            </w:pPr>
          </w:p>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Онц байдал үргэлжлэх хугацаанд үйлдсэн гэмт хэрэгтээ цаазаар авах ял шийтгэгдсэн хүний ялыг онц байдал үргэлжлэх хугацаанд болон онц байдал дуусгавар болсон, онц байдлыг цуцалснаас хойшхи 30 хоногт гүйцэтгэж болохгүй.</w:t>
            </w:r>
          </w:p>
        </w:tc>
        <w:tc>
          <w:tcPr>
            <w:tcW w:w="2165"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Хасах</w:t>
            </w:r>
          </w:p>
        </w:tc>
        <w:tc>
          <w:tcPr>
            <w:tcW w:w="2078"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eastAsia="Times New Roman" w:hAnsi="Arial" w:cs="Arial"/>
                <w:sz w:val="24"/>
                <w:szCs w:val="24"/>
                <w:lang w:eastAsia="mn-MN"/>
              </w:rPr>
              <w:t>МУ-д хүчин төгөлдөр үйлчилж буй Эрүүгийн хуулинд “цаазаар авах” ялын төрөл байхгүй болно.</w:t>
            </w:r>
          </w:p>
        </w:tc>
        <w:tc>
          <w:tcPr>
            <w:tcW w:w="1704" w:type="dxa"/>
          </w:tcPr>
          <w:p w:rsidR="008A1D50" w:rsidRPr="006958C3" w:rsidRDefault="008A1D50" w:rsidP="008A1D50">
            <w:pPr>
              <w:spacing w:line="240" w:lineRule="auto"/>
              <w:jc w:val="both"/>
              <w:rPr>
                <w:rFonts w:ascii="Arial" w:eastAsia="Times New Roman" w:hAnsi="Arial" w:cs="Arial"/>
                <w:sz w:val="24"/>
                <w:szCs w:val="24"/>
                <w:lang w:eastAsia="mn-MN"/>
              </w:rPr>
            </w:pPr>
            <w:r w:rsidRPr="006958C3">
              <w:rPr>
                <w:rFonts w:ascii="Arial" w:hAnsi="Arial" w:cs="Arial"/>
                <w:noProof/>
                <w:color w:val="000000" w:themeColor="text1"/>
                <w:sz w:val="24"/>
                <w:szCs w:val="24"/>
                <w:lang w:val="cs-CZ"/>
              </w:rPr>
              <w:t>Саналыг тусгасан.</w:t>
            </w:r>
          </w:p>
        </w:tc>
      </w:tr>
    </w:tbl>
    <w:p w:rsidR="004E7665" w:rsidRPr="006958C3" w:rsidRDefault="004E7665" w:rsidP="00910C5A">
      <w:pPr>
        <w:spacing w:line="240" w:lineRule="auto"/>
        <w:jc w:val="both"/>
        <w:rPr>
          <w:rFonts w:ascii="Arial" w:eastAsia="Times New Roman" w:hAnsi="Arial" w:cs="Arial"/>
          <w:sz w:val="24"/>
          <w:szCs w:val="24"/>
          <w:lang w:eastAsia="mn-MN"/>
        </w:rPr>
      </w:pPr>
    </w:p>
    <w:sectPr w:rsidR="004E7665" w:rsidRPr="006958C3" w:rsidSect="002F0375">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7A7"/>
    <w:multiLevelType w:val="hybridMultilevel"/>
    <w:tmpl w:val="34389F9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A58066F"/>
    <w:multiLevelType w:val="hybridMultilevel"/>
    <w:tmpl w:val="F3F0F874"/>
    <w:lvl w:ilvl="0" w:tplc="040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 w15:restartNumberingAfterBreak="0">
    <w:nsid w:val="3D2022BC"/>
    <w:multiLevelType w:val="hybridMultilevel"/>
    <w:tmpl w:val="9D3C9526"/>
    <w:lvl w:ilvl="0" w:tplc="E66EB282">
      <w:start w:val="2025"/>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4EC81941"/>
    <w:multiLevelType w:val="hybridMultilevel"/>
    <w:tmpl w:val="38DA6DBE"/>
    <w:lvl w:ilvl="0" w:tplc="FFFFFFF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 w15:restartNumberingAfterBreak="0">
    <w:nsid w:val="56733F7A"/>
    <w:multiLevelType w:val="hybridMultilevel"/>
    <w:tmpl w:val="38DA6DBE"/>
    <w:lvl w:ilvl="0" w:tplc="0409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 w15:restartNumberingAfterBreak="0">
    <w:nsid w:val="673C3C68"/>
    <w:multiLevelType w:val="hybridMultilevel"/>
    <w:tmpl w:val="29D07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5A2E11"/>
    <w:multiLevelType w:val="hybridMultilevel"/>
    <w:tmpl w:val="0B342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4824501">
    <w:abstractNumId w:val="6"/>
  </w:num>
  <w:num w:numId="2" w16cid:durableId="20791282">
    <w:abstractNumId w:val="2"/>
  </w:num>
  <w:num w:numId="3" w16cid:durableId="1325694880">
    <w:abstractNumId w:val="5"/>
  </w:num>
  <w:num w:numId="4" w16cid:durableId="1529446305">
    <w:abstractNumId w:val="0"/>
  </w:num>
  <w:num w:numId="5" w16cid:durableId="1942031833">
    <w:abstractNumId w:val="1"/>
  </w:num>
  <w:num w:numId="6" w16cid:durableId="1908107093">
    <w:abstractNumId w:val="4"/>
  </w:num>
  <w:num w:numId="7" w16cid:durableId="242841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02"/>
    <w:rsid w:val="00182515"/>
    <w:rsid w:val="002B426F"/>
    <w:rsid w:val="002B44B7"/>
    <w:rsid w:val="002F0375"/>
    <w:rsid w:val="002F680F"/>
    <w:rsid w:val="00335733"/>
    <w:rsid w:val="00377661"/>
    <w:rsid w:val="00417EC3"/>
    <w:rsid w:val="004E7665"/>
    <w:rsid w:val="004F13CD"/>
    <w:rsid w:val="00541990"/>
    <w:rsid w:val="006958C3"/>
    <w:rsid w:val="008113DC"/>
    <w:rsid w:val="00834302"/>
    <w:rsid w:val="008A1D50"/>
    <w:rsid w:val="00910C5A"/>
    <w:rsid w:val="00B03B6A"/>
    <w:rsid w:val="00BB44FD"/>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566F0FB1"/>
  <w15:chartTrackingRefBased/>
  <w15:docId w15:val="{B28254C4-8D4E-374F-B486-8AEF720B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302"/>
    <w:pPr>
      <w:spacing w:line="259" w:lineRule="auto"/>
    </w:pPr>
    <w:rPr>
      <w:kern w:val="0"/>
      <w:sz w:val="22"/>
      <w:szCs w:val="22"/>
      <w:lang w:val="mn-MN"/>
      <w14:ligatures w14:val="none"/>
    </w:rPr>
  </w:style>
  <w:style w:type="paragraph" w:styleId="Heading1">
    <w:name w:val="heading 1"/>
    <w:basedOn w:val="Normal"/>
    <w:next w:val="Normal"/>
    <w:link w:val="Heading1Char"/>
    <w:uiPriority w:val="9"/>
    <w:qFormat/>
    <w:rsid w:val="008343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3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3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3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3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3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3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3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3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3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302"/>
    <w:rPr>
      <w:rFonts w:eastAsiaTheme="majorEastAsia" w:cstheme="majorBidi"/>
      <w:color w:val="272727" w:themeColor="text1" w:themeTint="D8"/>
    </w:rPr>
  </w:style>
  <w:style w:type="paragraph" w:styleId="Title">
    <w:name w:val="Title"/>
    <w:basedOn w:val="Normal"/>
    <w:next w:val="Normal"/>
    <w:link w:val="TitleChar"/>
    <w:uiPriority w:val="10"/>
    <w:qFormat/>
    <w:rsid w:val="00834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302"/>
    <w:pPr>
      <w:spacing w:before="160"/>
      <w:jc w:val="center"/>
    </w:pPr>
    <w:rPr>
      <w:i/>
      <w:iCs/>
      <w:color w:val="404040" w:themeColor="text1" w:themeTint="BF"/>
    </w:rPr>
  </w:style>
  <w:style w:type="character" w:customStyle="1" w:styleId="QuoteChar">
    <w:name w:val="Quote Char"/>
    <w:basedOn w:val="DefaultParagraphFont"/>
    <w:link w:val="Quote"/>
    <w:uiPriority w:val="29"/>
    <w:rsid w:val="00834302"/>
    <w:rPr>
      <w:i/>
      <w:iCs/>
      <w:color w:val="404040" w:themeColor="text1" w:themeTint="BF"/>
    </w:rPr>
  </w:style>
  <w:style w:type="paragraph" w:styleId="ListParagraph">
    <w:name w:val="List Paragraph"/>
    <w:basedOn w:val="Normal"/>
    <w:uiPriority w:val="34"/>
    <w:qFormat/>
    <w:rsid w:val="00834302"/>
    <w:pPr>
      <w:ind w:left="720"/>
      <w:contextualSpacing/>
    </w:pPr>
  </w:style>
  <w:style w:type="character" w:styleId="IntenseEmphasis">
    <w:name w:val="Intense Emphasis"/>
    <w:basedOn w:val="DefaultParagraphFont"/>
    <w:uiPriority w:val="21"/>
    <w:qFormat/>
    <w:rsid w:val="00834302"/>
    <w:rPr>
      <w:i/>
      <w:iCs/>
      <w:color w:val="2F5496" w:themeColor="accent1" w:themeShade="BF"/>
    </w:rPr>
  </w:style>
  <w:style w:type="paragraph" w:styleId="IntenseQuote">
    <w:name w:val="Intense Quote"/>
    <w:basedOn w:val="Normal"/>
    <w:next w:val="Normal"/>
    <w:link w:val="IntenseQuoteChar"/>
    <w:uiPriority w:val="30"/>
    <w:qFormat/>
    <w:rsid w:val="008343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302"/>
    <w:rPr>
      <w:i/>
      <w:iCs/>
      <w:color w:val="2F5496" w:themeColor="accent1" w:themeShade="BF"/>
    </w:rPr>
  </w:style>
  <w:style w:type="character" w:styleId="IntenseReference">
    <w:name w:val="Intense Reference"/>
    <w:basedOn w:val="DefaultParagraphFont"/>
    <w:uiPriority w:val="32"/>
    <w:qFormat/>
    <w:rsid w:val="00834302"/>
    <w:rPr>
      <w:b/>
      <w:bCs/>
      <w:smallCaps/>
      <w:color w:val="2F5496" w:themeColor="accent1" w:themeShade="BF"/>
      <w:spacing w:val="5"/>
    </w:rPr>
  </w:style>
  <w:style w:type="paragraph" w:styleId="NormalWeb">
    <w:name w:val="Normal (Web)"/>
    <w:basedOn w:val="Normal"/>
    <w:uiPriority w:val="99"/>
    <w:unhideWhenUsed/>
    <w:rsid w:val="00834302"/>
    <w:pPr>
      <w:spacing w:before="100" w:beforeAutospacing="1" w:after="100" w:afterAutospacing="1" w:line="240" w:lineRule="auto"/>
    </w:pPr>
    <w:rPr>
      <w:rFonts w:ascii="Times New Roman" w:eastAsia="Times New Roman" w:hAnsi="Times New Roman" w:cs="Times New Roman"/>
      <w:sz w:val="24"/>
      <w:szCs w:val="24"/>
      <w:lang w:eastAsia="mn-MN"/>
    </w:rPr>
  </w:style>
  <w:style w:type="table" w:styleId="TableGrid">
    <w:name w:val="Table Grid"/>
    <w:basedOn w:val="TableNormal"/>
    <w:uiPriority w:val="39"/>
    <w:rsid w:val="00910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Tsenguun</dc:creator>
  <cp:keywords/>
  <dc:description/>
  <cp:lastModifiedBy>Tsenguun</cp:lastModifiedBy>
  <cp:revision>5</cp:revision>
  <cp:lastPrinted>2025-12-30T08:43:00Z</cp:lastPrinted>
  <dcterms:created xsi:type="dcterms:W3CDTF">2025-12-30T07:16:00Z</dcterms:created>
  <dcterms:modified xsi:type="dcterms:W3CDTF">2025-12-30T08:44:00Z</dcterms:modified>
</cp:coreProperties>
</file>