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32DF" w14:textId="77777777" w:rsidR="004F4AB9" w:rsidRPr="00BF3ECA" w:rsidRDefault="00451DF9" w:rsidP="00771246">
      <w:pPr>
        <w:spacing w:after="0" w:line="240" w:lineRule="auto"/>
        <w:ind w:right="49"/>
        <w:jc w:val="right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 xml:space="preserve">                                     </w:t>
      </w:r>
      <w:r w:rsidR="004F4AB9" w:rsidRPr="00BF3ECA">
        <w:rPr>
          <w:rFonts w:ascii="Arial" w:hAnsi="Arial" w:cs="Arial"/>
          <w:color w:val="000000" w:themeColor="text1"/>
          <w:lang w:val="mn-MN"/>
        </w:rPr>
        <w:t>Төсөл</w:t>
      </w:r>
    </w:p>
    <w:p w14:paraId="0249408D" w14:textId="77777777" w:rsidR="004F4AB9" w:rsidRPr="00BF3ECA" w:rsidRDefault="004F4AB9" w:rsidP="00771246">
      <w:pPr>
        <w:spacing w:after="0" w:line="240" w:lineRule="auto"/>
        <w:ind w:right="49"/>
        <w:jc w:val="right"/>
        <w:rPr>
          <w:rFonts w:ascii="Arial" w:hAnsi="Arial" w:cs="Arial"/>
          <w:b/>
          <w:bCs/>
          <w:color w:val="000000" w:themeColor="text1"/>
          <w:lang w:val="mn-MN"/>
        </w:rPr>
      </w:pPr>
    </w:p>
    <w:p w14:paraId="4F3E02CA" w14:textId="77777777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МОНГОЛ УЛСЫН ХУУЛЬ</w:t>
      </w:r>
    </w:p>
    <w:p w14:paraId="18FDE79D" w14:textId="77777777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5FAB2F8D" w14:textId="4C828129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>202</w:t>
      </w:r>
      <w:r w:rsidR="00DC6E60" w:rsidRPr="00BF3ECA">
        <w:rPr>
          <w:rFonts w:ascii="Arial" w:hAnsi="Arial" w:cs="Arial"/>
          <w:color w:val="000000" w:themeColor="text1"/>
          <w:lang w:val="mn-MN"/>
        </w:rPr>
        <w:t>5</w:t>
      </w:r>
      <w:r w:rsidRPr="00BF3ECA">
        <w:rPr>
          <w:rFonts w:ascii="Arial" w:hAnsi="Arial" w:cs="Arial"/>
          <w:color w:val="000000" w:themeColor="text1"/>
          <w:lang w:val="mn-MN"/>
        </w:rPr>
        <w:t xml:space="preserve"> оны ... дугаар                                                                                            Улаанбаатар</w:t>
      </w:r>
    </w:p>
    <w:p w14:paraId="454C12EF" w14:textId="77777777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>сарын ...-ны өдөр                                   Дугаар ...                                                     хот</w:t>
      </w:r>
    </w:p>
    <w:p w14:paraId="127F2515" w14:textId="77777777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32BE4A55" w14:textId="77777777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49365F18" w14:textId="77777777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ЭРҮҮГИЙН ХЭРЭГ ХЯНАН ШИЙДВЭРЛЭХ ТУХАЙ ХУУЛЬД </w:t>
      </w:r>
    </w:p>
    <w:p w14:paraId="45EAE8BF" w14:textId="163D9BFE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НЭМЭЛТ ОРУУЛАХ ТУХАЙ</w:t>
      </w:r>
    </w:p>
    <w:p w14:paraId="5FEFB6BC" w14:textId="77777777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0A4231DA" w14:textId="77777777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ab/>
        <w:t>1 дүгээр зүйл.</w:t>
      </w:r>
      <w:r w:rsidRPr="00BF3ECA">
        <w:rPr>
          <w:rFonts w:ascii="Arial" w:hAnsi="Arial" w:cs="Arial"/>
          <w:color w:val="000000" w:themeColor="text1"/>
          <w:lang w:val="mn-MN"/>
        </w:rPr>
        <w:t xml:space="preserve">Эрүүгийн хэрэг хянан шийдвэрлэх тухай хуульд доор дурдсан агуулгатай дараах </w:t>
      </w:r>
      <w:r w:rsidR="003D3A1D" w:rsidRPr="00BF3ECA">
        <w:rPr>
          <w:rFonts w:ascii="Arial" w:hAnsi="Arial" w:cs="Arial"/>
          <w:color w:val="000000" w:themeColor="text1"/>
          <w:lang w:val="mn-MN"/>
        </w:rPr>
        <w:t>х</w:t>
      </w:r>
      <w:r w:rsidRPr="00BF3ECA">
        <w:rPr>
          <w:rFonts w:ascii="Arial" w:hAnsi="Arial" w:cs="Arial"/>
          <w:color w:val="000000" w:themeColor="text1"/>
          <w:lang w:val="mn-MN"/>
        </w:rPr>
        <w:t>эсэг</w:t>
      </w:r>
      <w:r w:rsidR="003D3A1D" w:rsidRPr="00BF3ECA">
        <w:rPr>
          <w:rFonts w:ascii="Arial" w:hAnsi="Arial" w:cs="Arial"/>
          <w:color w:val="000000" w:themeColor="text1"/>
          <w:lang w:val="mn-MN"/>
        </w:rPr>
        <w:t>,</w:t>
      </w:r>
      <w:r w:rsidRPr="00BF3ECA">
        <w:rPr>
          <w:rFonts w:ascii="Arial" w:hAnsi="Arial" w:cs="Arial"/>
          <w:color w:val="000000" w:themeColor="text1"/>
          <w:lang w:val="mn-MN"/>
        </w:rPr>
        <w:t xml:space="preserve"> </w:t>
      </w:r>
      <w:r w:rsidR="00586B88" w:rsidRPr="00BF3ECA">
        <w:rPr>
          <w:rFonts w:ascii="Arial" w:hAnsi="Arial" w:cs="Arial"/>
          <w:color w:val="000000" w:themeColor="text1"/>
          <w:lang w:val="mn-MN"/>
        </w:rPr>
        <w:t>зүйл</w:t>
      </w:r>
      <w:r w:rsidR="00BE1289" w:rsidRPr="00BF3ECA">
        <w:rPr>
          <w:rFonts w:ascii="Arial" w:hAnsi="Arial" w:cs="Arial"/>
          <w:color w:val="000000" w:themeColor="text1"/>
          <w:lang w:val="mn-MN"/>
        </w:rPr>
        <w:t>, заалт</w:t>
      </w:r>
      <w:r w:rsidR="00586B88" w:rsidRPr="00BF3ECA">
        <w:rPr>
          <w:rFonts w:ascii="Arial" w:hAnsi="Arial" w:cs="Arial"/>
          <w:color w:val="000000" w:themeColor="text1"/>
          <w:lang w:val="mn-MN"/>
        </w:rPr>
        <w:t xml:space="preserve"> </w:t>
      </w:r>
      <w:r w:rsidRPr="00BF3ECA">
        <w:rPr>
          <w:rFonts w:ascii="Arial" w:hAnsi="Arial" w:cs="Arial"/>
          <w:color w:val="000000" w:themeColor="text1"/>
          <w:lang w:val="mn-MN"/>
        </w:rPr>
        <w:t xml:space="preserve">нэмсүгэй:  </w:t>
      </w:r>
    </w:p>
    <w:p w14:paraId="287F2CB9" w14:textId="77777777" w:rsidR="004F4AB9" w:rsidRPr="00BF3ECA" w:rsidRDefault="004F4AB9" w:rsidP="00771246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31E37559" w14:textId="3E15E7C7" w:rsidR="00590A1A" w:rsidRPr="00BF3ECA" w:rsidRDefault="00DD0AA4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1/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14.4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дүгээр зүйлийн 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6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дах </w:t>
      </w:r>
      <w:r w:rsidR="00B9589B" w:rsidRPr="00BF3ECA">
        <w:rPr>
          <w:rFonts w:ascii="Arial" w:hAnsi="Arial" w:cs="Arial"/>
          <w:b/>
          <w:bCs/>
          <w:color w:val="000000" w:themeColor="text1"/>
          <w:lang w:val="mn-MN"/>
        </w:rPr>
        <w:t>хэсэг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7E199D63" w14:textId="77777777" w:rsidR="00590A1A" w:rsidRPr="00BF3ECA" w:rsidRDefault="00590A1A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</w:p>
    <w:p w14:paraId="37B7D8CD" w14:textId="755A9818" w:rsidR="00590A1A" w:rsidRPr="00BF3ECA" w:rsidRDefault="00590A1A" w:rsidP="00771246">
      <w:pPr>
        <w:spacing w:after="240" w:line="240" w:lineRule="auto"/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 xml:space="preserve">           </w:t>
      </w:r>
      <w:r w:rsidRPr="00BF3ECA">
        <w:rPr>
          <w:rFonts w:ascii="Arial" w:hAnsi="Arial" w:cs="Arial"/>
          <w:color w:val="000000" w:themeColor="text1"/>
          <w:lang w:val="mn-MN"/>
        </w:rPr>
        <w:tab/>
        <w:t>“</w:t>
      </w:r>
      <w:r w:rsidR="00524F2B" w:rsidRPr="00BF3ECA">
        <w:rPr>
          <w:rFonts w:ascii="Arial" w:hAnsi="Arial" w:cs="Arial"/>
          <w:color w:val="000000" w:themeColor="text1"/>
          <w:lang w:val="mn-MN"/>
        </w:rPr>
        <w:t>6.</w:t>
      </w:r>
      <w:r w:rsidR="003219C8" w:rsidRPr="00BF3ECA">
        <w:rPr>
          <w:rFonts w:ascii="Arial" w:eastAsia="Times New Roman" w:hAnsi="Arial" w:cs="Arial"/>
          <w:color w:val="000000" w:themeColor="text1"/>
          <w:lang w:val="mn-MN"/>
        </w:rPr>
        <w:t xml:space="preserve">Шүүх </w:t>
      </w:r>
      <w:bookmarkStart w:id="0" w:name="_Hlk205543064"/>
      <w:r w:rsidR="003219C8" w:rsidRPr="00BF3ECA">
        <w:rPr>
          <w:rFonts w:ascii="Arial" w:eastAsia="Times New Roman" w:hAnsi="Arial" w:cs="Arial"/>
          <w:color w:val="000000" w:themeColor="text1"/>
          <w:lang w:val="mn-MN"/>
        </w:rPr>
        <w:t>хуулийн этгээдийн тодорхой төрлийн үйл ажиллагаа явуулах эрхийг түдгэлзүүлэх таслан сэргийлэх арга хэмжээг авах</w:t>
      </w:r>
      <w:bookmarkEnd w:id="0"/>
      <w:r w:rsidR="003219C8" w:rsidRPr="00BF3ECA">
        <w:rPr>
          <w:rFonts w:ascii="Arial" w:eastAsia="Times New Roman" w:hAnsi="Arial" w:cs="Arial"/>
          <w:color w:val="000000" w:themeColor="text1"/>
          <w:lang w:val="mn-MN"/>
        </w:rPr>
        <w:t xml:space="preserve"> эсэхийг дараах нөхцөл байдлыг харгалзан шийдвэрлэнэ.</w:t>
      </w:r>
      <w:r w:rsidRPr="00BF3ECA">
        <w:rPr>
          <w:rFonts w:ascii="Arial" w:hAnsi="Arial" w:cs="Arial"/>
          <w:color w:val="000000" w:themeColor="text1"/>
          <w:lang w:val="mn-MN"/>
        </w:rPr>
        <w:t>”</w:t>
      </w:r>
    </w:p>
    <w:p w14:paraId="2304F170" w14:textId="2F8B844C" w:rsidR="00590A1A" w:rsidRPr="00BF3ECA" w:rsidRDefault="00E02571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>/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14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4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дүгээр зүйлийн 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6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="00524F2B" w:rsidRPr="00BF3ECA">
        <w:rPr>
          <w:rFonts w:ascii="Arial" w:hAnsi="Arial" w:cs="Arial"/>
          <w:b/>
          <w:bCs/>
          <w:color w:val="000000" w:themeColor="text1"/>
          <w:lang w:val="mn-MN"/>
        </w:rPr>
        <w:t>1</w:t>
      </w:r>
      <w:r w:rsidR="00590A1A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дэх заалт:</w:t>
      </w:r>
    </w:p>
    <w:p w14:paraId="0FAF1BAC" w14:textId="77777777" w:rsidR="00590A1A" w:rsidRPr="00BF3ECA" w:rsidRDefault="00590A1A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</w:p>
    <w:p w14:paraId="17E02073" w14:textId="0F1CE0D4" w:rsidR="00463A2C" w:rsidRPr="00BF3ECA" w:rsidRDefault="00590A1A" w:rsidP="00463A2C">
      <w:pPr>
        <w:pStyle w:val="NormalWeb"/>
        <w:shd w:val="clear" w:color="auto" w:fill="FFFFFF"/>
        <w:spacing w:before="0" w:beforeAutospacing="0" w:after="240" w:afterAutospacing="0"/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BF3ECA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          </w:t>
      </w:r>
      <w:bookmarkStart w:id="1" w:name="_Hlk210121477"/>
      <w:r w:rsidRPr="00BF3ECA">
        <w:rPr>
          <w:rFonts w:ascii="Arial" w:hAnsi="Arial" w:cs="Arial"/>
          <w:color w:val="000000" w:themeColor="text1"/>
          <w:sz w:val="22"/>
          <w:szCs w:val="22"/>
          <w:lang w:val="mn-MN"/>
        </w:rPr>
        <w:t>“</w:t>
      </w:r>
      <w:r w:rsidR="00524F2B" w:rsidRPr="00BF3ECA">
        <w:rPr>
          <w:rFonts w:ascii="Arial" w:hAnsi="Arial" w:cs="Arial"/>
          <w:color w:val="000000" w:themeColor="text1"/>
          <w:sz w:val="22"/>
          <w:szCs w:val="22"/>
          <w:lang w:val="mn-MN"/>
        </w:rPr>
        <w:t>6.1.</w:t>
      </w:r>
      <w:r w:rsidR="003219C8" w:rsidRPr="00BF3ECA">
        <w:rPr>
          <w:rFonts w:ascii="Arial" w:hAnsi="Arial" w:cs="Arial"/>
          <w:color w:val="000000" w:themeColor="text1"/>
          <w:sz w:val="22"/>
          <w:szCs w:val="22"/>
          <w:lang w:val="mn-MN"/>
        </w:rPr>
        <w:t>Хуулийн этгээдийн тодорхой төрлийн үйл ажиллагаа явуулах эрхийг түдгэлзүүлэх нь бусдын амь нас, эрүүл мэнд, эд хөрөнгөд ноцтой, бусад хуулийн этгээд, эсхүл нийтийн ашиг сонирхолд илт хохирол учруулах эсэх;”</w:t>
      </w:r>
    </w:p>
    <w:p w14:paraId="6E4CEBD7" w14:textId="4A305D40" w:rsidR="00BE1289" w:rsidRPr="00BF3ECA" w:rsidRDefault="00E02571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3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>/</w:t>
      </w:r>
      <w:r w:rsidR="00463A2C" w:rsidRPr="00BF3ECA">
        <w:rPr>
          <w:rFonts w:ascii="Arial" w:hAnsi="Arial" w:cs="Arial"/>
          <w:b/>
          <w:bCs/>
          <w:color w:val="000000" w:themeColor="text1"/>
          <w:lang w:val="mn-MN"/>
        </w:rPr>
        <w:t>14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="00463A2C" w:rsidRPr="00BF3ECA">
        <w:rPr>
          <w:rFonts w:ascii="Arial" w:hAnsi="Arial" w:cs="Arial"/>
          <w:b/>
          <w:bCs/>
          <w:color w:val="000000" w:themeColor="text1"/>
          <w:lang w:val="mn-MN"/>
        </w:rPr>
        <w:t>4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</w:t>
      </w:r>
      <w:r w:rsidR="00463A2C" w:rsidRPr="00BF3ECA">
        <w:rPr>
          <w:rFonts w:ascii="Arial" w:hAnsi="Arial" w:cs="Arial"/>
          <w:b/>
          <w:bCs/>
          <w:color w:val="000000" w:themeColor="text1"/>
          <w:lang w:val="mn-MN"/>
        </w:rPr>
        <w:t>үгээ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р зүйлийн </w:t>
      </w:r>
      <w:r w:rsidR="00463A2C" w:rsidRPr="00BF3ECA">
        <w:rPr>
          <w:rFonts w:ascii="Arial" w:hAnsi="Arial" w:cs="Arial"/>
          <w:b/>
          <w:bCs/>
          <w:color w:val="000000" w:themeColor="text1"/>
          <w:lang w:val="mn-MN"/>
        </w:rPr>
        <w:t>6.2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дах</w:t>
      </w:r>
      <w:r w:rsidR="00463A2C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8E6709" w:rsidRPr="00BF3ECA">
        <w:rPr>
          <w:rFonts w:ascii="Arial" w:hAnsi="Arial" w:cs="Arial"/>
          <w:b/>
          <w:bCs/>
          <w:color w:val="000000" w:themeColor="text1"/>
          <w:lang w:val="mn-MN"/>
        </w:rPr>
        <w:t>заалт</w:t>
      </w:r>
      <w:r w:rsidR="00BE1289" w:rsidRPr="00BF3ECA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18009B82" w14:textId="77777777" w:rsidR="00BE1289" w:rsidRPr="00BF3ECA" w:rsidRDefault="00BE1289" w:rsidP="00771246">
      <w:pPr>
        <w:spacing w:after="0" w:line="240" w:lineRule="auto"/>
        <w:ind w:left="720" w:right="49" w:firstLine="720"/>
        <w:rPr>
          <w:rFonts w:ascii="Arial" w:hAnsi="Arial" w:cs="Arial"/>
          <w:b/>
          <w:bCs/>
          <w:color w:val="000000" w:themeColor="text1"/>
          <w:lang w:val="mn-MN"/>
        </w:rPr>
      </w:pPr>
    </w:p>
    <w:p w14:paraId="6A5A7C34" w14:textId="6257DEFB" w:rsidR="00BE1289" w:rsidRPr="00BF3ECA" w:rsidRDefault="00BE1289" w:rsidP="00463A2C">
      <w:pPr>
        <w:spacing w:after="240" w:line="240" w:lineRule="auto"/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BF3ECA">
        <w:rPr>
          <w:rFonts w:ascii="Arial" w:hAnsi="Arial" w:cs="Arial"/>
          <w:bCs/>
          <w:color w:val="000000" w:themeColor="text1"/>
          <w:lang w:val="mn-MN"/>
        </w:rPr>
        <w:t>“</w:t>
      </w:r>
      <w:r w:rsidR="00463A2C" w:rsidRPr="00BF3ECA">
        <w:rPr>
          <w:rFonts w:ascii="Arial" w:hAnsi="Arial" w:cs="Arial"/>
          <w:bCs/>
          <w:color w:val="000000" w:themeColor="text1"/>
          <w:lang w:val="mn-MN"/>
        </w:rPr>
        <w:t>6.2</w:t>
      </w:r>
      <w:r w:rsidR="00283FD6" w:rsidRPr="00BF3ECA">
        <w:rPr>
          <w:rFonts w:ascii="Arial" w:hAnsi="Arial" w:cs="Arial"/>
          <w:bCs/>
          <w:color w:val="000000" w:themeColor="text1"/>
          <w:lang w:val="mn-MN"/>
        </w:rPr>
        <w:t xml:space="preserve">.Хуулийн этгээдийн тодорхой төрлийн үйл ажиллагаа явуулах эрхийг түдгэлзүүлэх нь тухайн хуулийн этгээдийн үйлдвэрлэл, үйлчилгээний хэвийн үйл ажиллагааг алдагдуулах, орлого олох эх үүсвэрийг хаах, түүнчлэн </w:t>
      </w:r>
      <w:r w:rsidR="005F12AC">
        <w:rPr>
          <w:rFonts w:ascii="Arial" w:hAnsi="Arial" w:cs="Arial"/>
          <w:bCs/>
          <w:color w:val="000000" w:themeColor="text1"/>
          <w:lang w:val="mn-MN"/>
        </w:rPr>
        <w:t xml:space="preserve">түүхий эд, </w:t>
      </w:r>
      <w:r w:rsidR="00283FD6" w:rsidRPr="00BF3ECA">
        <w:rPr>
          <w:rFonts w:ascii="Arial" w:hAnsi="Arial" w:cs="Arial"/>
          <w:bCs/>
          <w:color w:val="000000" w:themeColor="text1"/>
          <w:lang w:val="mn-MN"/>
        </w:rPr>
        <w:t>бүтээгдэхүүн түргэн муудаж, чанараа алдах зэрэг үр дагаварт хүргэх эсэх;”</w:t>
      </w:r>
      <w:bookmarkEnd w:id="1"/>
    </w:p>
    <w:p w14:paraId="31E83967" w14:textId="615C7E96" w:rsidR="00C67775" w:rsidRPr="00BF3ECA" w:rsidRDefault="00C67775" w:rsidP="00463A2C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b/>
          <w:color w:val="000000" w:themeColor="text1"/>
          <w:lang w:val="mn-MN"/>
        </w:rPr>
        <w:t>4/14.4 дүгээр зүйлийн 7 дах хэсэг:</w:t>
      </w:r>
    </w:p>
    <w:p w14:paraId="74FA3ECB" w14:textId="6B926D28" w:rsidR="00C67775" w:rsidRPr="00BF3ECA" w:rsidRDefault="004C5A25" w:rsidP="00463A2C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>“7.Хуулийн этгээдийн тодорхой төрлийн үйл ажиллагаа явуулах эрхийг түдгэлзүүлэх таслан сэргийлэх арга хэмжээг авах үндсэн хугацаа 1 сар хүртэл байна.”</w:t>
      </w:r>
    </w:p>
    <w:p w14:paraId="76BEB888" w14:textId="32D01E58" w:rsidR="00283FD6" w:rsidRPr="00BF3ECA" w:rsidRDefault="004C5A25" w:rsidP="00463A2C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b/>
          <w:color w:val="000000" w:themeColor="text1"/>
          <w:lang w:val="mn-MN"/>
        </w:rPr>
        <w:t>5/14.4 дүгээр зүйлийн 8 дах хэсэг:</w:t>
      </w:r>
    </w:p>
    <w:p w14:paraId="5FD944EE" w14:textId="3DECDF62" w:rsidR="004C5A25" w:rsidRPr="00BF3ECA" w:rsidRDefault="004C5A25" w:rsidP="00463A2C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BF3ECA">
        <w:rPr>
          <w:rFonts w:ascii="Arial" w:eastAsia="Times New Roman" w:hAnsi="Arial" w:cs="Arial"/>
          <w:color w:val="000000" w:themeColor="text1"/>
          <w:lang w:val="mn-MN"/>
        </w:rPr>
        <w:t>“8.Шүүх хуулийн этгээдийн тодорхой төрлийн үйл ажиллагаа явуулах эрхийг түдгэлзүүлэх таслан сэргийлэх арга хэмжээ авсан үндэслэл арилаагүй гэж үзвэл хуулийн этгээдэд авсан тухайн таслан сэргийлэх арга хэмжээний хугацааг тухай бүр 1 сар хүртэл хугацаагаар сунгаж болно.”</w:t>
      </w:r>
    </w:p>
    <w:p w14:paraId="43AA90E9" w14:textId="3BDB6886" w:rsidR="004C5A25" w:rsidRPr="00BF3ECA" w:rsidRDefault="004C5A25" w:rsidP="00463A2C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b/>
          <w:color w:val="000000" w:themeColor="text1"/>
          <w:lang w:val="mn-MN"/>
        </w:rPr>
        <w:t>6/14.4 дүгээр зүйлийн 9 дэх хэсэг:</w:t>
      </w:r>
    </w:p>
    <w:p w14:paraId="316D99AD" w14:textId="195706C1" w:rsidR="004C5A25" w:rsidRPr="00BF3ECA" w:rsidRDefault="004C5A25" w:rsidP="00463A2C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BF3ECA">
        <w:rPr>
          <w:rFonts w:ascii="Arial" w:eastAsia="Times New Roman" w:hAnsi="Arial" w:cs="Arial"/>
          <w:color w:val="000000" w:themeColor="text1"/>
          <w:lang w:val="mn-MN"/>
        </w:rPr>
        <w:t>“9.Хуулийн этгээдийн тодорхой төрлийн үйл ажиллагаа явуулах эрхийг түдгэлзүүлэх таслан сэргийлэх арга хэмжээ авах нийт хугацаа 6 сараас хэтэрч болохгүй</w:t>
      </w:r>
      <w:r w:rsidR="009F34F7" w:rsidRPr="00BF3ECA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BF3ECA"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7C3EEAA9" w14:textId="61603D0B" w:rsidR="004C5A25" w:rsidRPr="00BF3ECA" w:rsidRDefault="004C5A25" w:rsidP="00463A2C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b/>
          <w:color w:val="000000" w:themeColor="text1"/>
          <w:lang w:val="mn-MN"/>
        </w:rPr>
        <w:t>7/14.4 дүгээр зүйлийн 10 дах хэсэг:</w:t>
      </w:r>
    </w:p>
    <w:p w14:paraId="1459F0CD" w14:textId="25ED3D57" w:rsidR="004C5A25" w:rsidRPr="00BF3ECA" w:rsidRDefault="004C5A25" w:rsidP="00463A2C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BF3ECA">
        <w:rPr>
          <w:rFonts w:ascii="Arial" w:eastAsia="Times New Roman" w:hAnsi="Arial" w:cs="Arial"/>
          <w:color w:val="000000" w:themeColor="text1"/>
          <w:lang w:val="mn-MN"/>
        </w:rPr>
        <w:t xml:space="preserve">“10.Мөрдөгч хуулийн этгээдийн тодорхой төрлийн үйл ажиллагаа явуулах эрхийг түдгэлзүүлэх таслан сэргийлэх арга хэмжээг авах хугацааг сунгах тухай саналаа хугацаа дуусахаас 7-оос доошгүй хоногийн өмнө прокурорт хүргүүлэх ба прокурор мөрдөгчийн саналыг үндэслэлтэй гэж үзвэл </w:t>
      </w:r>
      <w:r w:rsidR="009F34F7" w:rsidRPr="00BF3ECA">
        <w:rPr>
          <w:rFonts w:ascii="Arial" w:eastAsia="Times New Roman" w:hAnsi="Arial" w:cs="Arial"/>
          <w:color w:val="000000" w:themeColor="text1"/>
          <w:lang w:val="mn-MN"/>
        </w:rPr>
        <w:t xml:space="preserve">тухайн таслан сэргийлэх арга хэмжээний </w:t>
      </w:r>
      <w:r w:rsidRPr="00BF3ECA">
        <w:rPr>
          <w:rFonts w:ascii="Arial" w:eastAsia="Times New Roman" w:hAnsi="Arial" w:cs="Arial"/>
          <w:color w:val="000000" w:themeColor="text1"/>
          <w:lang w:val="mn-MN"/>
        </w:rPr>
        <w:t>хугацааг сунгах тухай саналаа даруй шүүхэд хүргүүлнэ</w:t>
      </w:r>
      <w:r w:rsidR="009F34F7" w:rsidRPr="00BF3ECA">
        <w:rPr>
          <w:rFonts w:ascii="Arial" w:eastAsia="Times New Roman" w:hAnsi="Arial" w:cs="Arial"/>
          <w:color w:val="000000" w:themeColor="text1"/>
          <w:lang w:val="mn-MN"/>
        </w:rPr>
        <w:t>.</w:t>
      </w:r>
      <w:r w:rsidRPr="00BF3ECA"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3F90F04D" w14:textId="777CEF89" w:rsidR="009F34F7" w:rsidRPr="00BF3ECA" w:rsidRDefault="009F34F7" w:rsidP="009F34F7">
      <w:pPr>
        <w:spacing w:after="240" w:line="240" w:lineRule="auto"/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3ECA">
        <w:rPr>
          <w:rFonts w:ascii="Arial" w:hAnsi="Arial" w:cs="Arial"/>
          <w:b/>
          <w:color w:val="000000" w:themeColor="text1"/>
          <w:lang w:val="mn-MN"/>
        </w:rPr>
        <w:lastRenderedPageBreak/>
        <w:t>8/14.4 дүгээр зүйлийн 11 дэх хэсэг:</w:t>
      </w:r>
    </w:p>
    <w:p w14:paraId="1406603C" w14:textId="09AA9C84" w:rsidR="004C5A25" w:rsidRDefault="009F34F7" w:rsidP="002421CE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bCs/>
          <w:color w:val="000000" w:themeColor="text1"/>
          <w:lang w:val="mn-MN"/>
        </w:rPr>
        <w:t>“11.</w:t>
      </w:r>
      <w:r w:rsidRPr="00BF3ECA">
        <w:rPr>
          <w:rFonts w:ascii="Arial" w:eastAsia="Times New Roman" w:hAnsi="Arial" w:cs="Arial"/>
          <w:color w:val="000000" w:themeColor="text1"/>
          <w:lang w:val="mn-MN"/>
        </w:rPr>
        <w:t>Шүүх хуулийн этгээдийн тодорхой төрлийн үйл ажиллагаа явуулах эрхийг түдгэлзүүлэх таслан сэргийлэх арга хэмжээ авах хугацааг сунгах тухай прокурорын саналыг хугацаа дуусахаас 4-өөс доошгүй хоногийн өмнө</w:t>
      </w:r>
      <w:r w:rsidR="004A27A7" w:rsidRPr="00BF3ECA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="0026130C" w:rsidRPr="00BF3ECA">
        <w:rPr>
          <w:rFonts w:ascii="Arial" w:eastAsia="Times New Roman" w:hAnsi="Arial" w:cs="Arial"/>
          <w:color w:val="000000" w:themeColor="text1"/>
          <w:lang w:val="mn-MN"/>
        </w:rPr>
        <w:t xml:space="preserve">энэ хуулийн </w:t>
      </w:r>
      <w:r w:rsidR="00614615" w:rsidRPr="00BF3ECA">
        <w:rPr>
          <w:rFonts w:ascii="Arial" w:eastAsia="Times New Roman" w:hAnsi="Arial" w:cs="Arial"/>
          <w:color w:val="000000" w:themeColor="text1"/>
          <w:lang w:val="mn-MN"/>
        </w:rPr>
        <w:t>14.13 дугаар зүйлд зааснаар</w:t>
      </w:r>
      <w:r w:rsidRPr="00BF3ECA">
        <w:rPr>
          <w:rFonts w:ascii="Arial" w:eastAsia="Times New Roman" w:hAnsi="Arial" w:cs="Arial"/>
          <w:color w:val="000000" w:themeColor="text1"/>
          <w:lang w:val="mn-MN"/>
        </w:rPr>
        <w:t xml:space="preserve"> хянан хэлэлцэж, тухайн таслан сэргийлэх арга хэмжээний хугацааг сунгах, эсхүл сунгахыг татгалзах тухай шийдвэр гаргана.</w:t>
      </w:r>
      <w:r w:rsidR="005D36A3" w:rsidRPr="00BF3ECA"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59D3714A" w14:textId="5780687C" w:rsidR="00571FDA" w:rsidRDefault="00571FDA" w:rsidP="002421CE">
      <w:pPr>
        <w:spacing w:after="240" w:line="240" w:lineRule="auto"/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2C3EA7">
        <w:rPr>
          <w:rFonts w:ascii="Arial" w:eastAsia="Times New Roman" w:hAnsi="Arial" w:cs="Arial"/>
          <w:b/>
          <w:bCs/>
          <w:color w:val="000000" w:themeColor="text1"/>
          <w:lang w:val="mn-MN"/>
        </w:rPr>
        <w:t>9/</w:t>
      </w:r>
      <w:r w:rsidR="002C3EA7" w:rsidRPr="002C3EA7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26.1 дүгээр зүйлийн </w:t>
      </w:r>
      <w:r w:rsidR="0060326E">
        <w:rPr>
          <w:rFonts w:ascii="Arial" w:eastAsia="Times New Roman" w:hAnsi="Arial" w:cs="Arial"/>
          <w:b/>
          <w:bCs/>
          <w:color w:val="000000" w:themeColor="text1"/>
          <w:lang w:val="mn-MN"/>
        </w:rPr>
        <w:t>3</w:t>
      </w:r>
      <w:r w:rsidR="002C3EA7" w:rsidRPr="002C3EA7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 дах хэсэг</w:t>
      </w:r>
      <w:r w:rsidR="002C3EA7">
        <w:rPr>
          <w:rFonts w:ascii="Arial" w:eastAsia="Times New Roman" w:hAnsi="Arial" w:cs="Arial"/>
          <w:b/>
          <w:bCs/>
          <w:color w:val="000000" w:themeColor="text1"/>
          <w:lang w:val="mn-MN"/>
        </w:rPr>
        <w:t>:</w:t>
      </w:r>
    </w:p>
    <w:p w14:paraId="4C26DD44" w14:textId="25912A59" w:rsidR="00127AC7" w:rsidRDefault="002C3EA7" w:rsidP="0060326E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</w:t>
      </w:r>
      <w:r w:rsidR="0060326E">
        <w:rPr>
          <w:rFonts w:ascii="Arial" w:eastAsia="Times New Roman" w:hAnsi="Arial" w:cs="Arial"/>
          <w:color w:val="000000" w:themeColor="text1"/>
          <w:lang w:val="mn-MN"/>
        </w:rPr>
        <w:t>3.</w:t>
      </w:r>
      <w:r w:rsidR="00127AC7">
        <w:rPr>
          <w:rFonts w:ascii="Arial" w:eastAsia="Times New Roman" w:hAnsi="Arial" w:cs="Arial"/>
          <w:color w:val="000000" w:themeColor="text1"/>
          <w:lang w:val="mn-MN"/>
        </w:rPr>
        <w:t>Прокурор нь х</w:t>
      </w:r>
      <w:r w:rsidR="00127AC7" w:rsidRPr="0060326E">
        <w:rPr>
          <w:rFonts w:ascii="Arial" w:eastAsia="Times New Roman" w:hAnsi="Arial" w:cs="Arial"/>
          <w:color w:val="000000" w:themeColor="text1"/>
          <w:lang w:val="mn-MN"/>
        </w:rPr>
        <w:t>уулийн этгээд</w:t>
      </w:r>
      <w:r w:rsidR="00127AC7">
        <w:rPr>
          <w:rFonts w:ascii="Arial" w:eastAsia="Times New Roman" w:hAnsi="Arial" w:cs="Arial"/>
          <w:color w:val="000000" w:themeColor="text1"/>
          <w:lang w:val="mn-MN"/>
        </w:rPr>
        <w:t>эд холбогдуулан э</w:t>
      </w:r>
      <w:r w:rsidR="0060326E">
        <w:rPr>
          <w:rFonts w:ascii="Arial" w:eastAsia="Times New Roman" w:hAnsi="Arial" w:cs="Arial"/>
          <w:color w:val="000000" w:themeColor="text1"/>
          <w:lang w:val="mn-MN"/>
        </w:rPr>
        <w:t>нэ зүйлийн 1 дэх хэсэгт заасан хөрөнгийн шилжилт хөдөлгөөнийг хязгаарлах мөрдөн шалгах ажиллагааг явуулах</w:t>
      </w:r>
      <w:r w:rsidR="00127AC7">
        <w:rPr>
          <w:rFonts w:ascii="Arial" w:eastAsia="Times New Roman" w:hAnsi="Arial" w:cs="Arial"/>
          <w:color w:val="000000" w:themeColor="text1"/>
          <w:lang w:val="mn-MN"/>
        </w:rPr>
        <w:t xml:space="preserve">даа </w:t>
      </w:r>
      <w:r w:rsidR="00127AC7" w:rsidRPr="00127AC7">
        <w:rPr>
          <w:rFonts w:ascii="Arial" w:eastAsia="Times New Roman" w:hAnsi="Arial" w:cs="Arial"/>
          <w:color w:val="000000" w:themeColor="text1"/>
          <w:lang w:val="mn-MN"/>
        </w:rPr>
        <w:t>дараах нөхцөл байдлыг харгалзан шийдвэрлэнэ</w:t>
      </w:r>
      <w:r w:rsidR="00127AC7">
        <w:rPr>
          <w:rFonts w:ascii="Arial" w:eastAsia="Times New Roman" w:hAnsi="Arial" w:cs="Arial"/>
          <w:color w:val="000000" w:themeColor="text1"/>
          <w:lang w:val="mn-MN"/>
        </w:rPr>
        <w:t>.</w:t>
      </w:r>
      <w:r w:rsidR="0060326E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43F3F7E0" w14:textId="0128025A" w:rsidR="00127AC7" w:rsidRPr="00127AC7" w:rsidRDefault="00127AC7" w:rsidP="0060326E">
      <w:pPr>
        <w:spacing w:after="240" w:line="240" w:lineRule="auto"/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127AC7">
        <w:rPr>
          <w:rFonts w:ascii="Arial" w:eastAsia="Times New Roman" w:hAnsi="Arial" w:cs="Arial"/>
          <w:b/>
          <w:bCs/>
          <w:color w:val="000000" w:themeColor="text1"/>
          <w:lang w:val="mn-MN"/>
        </w:rPr>
        <w:t>10/26.1 дүгээр зүйлийн 3.1 дэх хэсэг:</w:t>
      </w:r>
    </w:p>
    <w:p w14:paraId="1568D01A" w14:textId="6947613E" w:rsidR="00127AC7" w:rsidRDefault="00127AC7" w:rsidP="0060326E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“3.1.Б</w:t>
      </w:r>
      <w:r w:rsidR="0060326E" w:rsidRPr="0060326E">
        <w:rPr>
          <w:rFonts w:ascii="Arial" w:eastAsia="Times New Roman" w:hAnsi="Arial" w:cs="Arial"/>
          <w:color w:val="000000" w:themeColor="text1"/>
          <w:lang w:val="mn-MN"/>
        </w:rPr>
        <w:t>усдын амь нас, эрүүл мэнд, эд хөрөнгөд ноцтой, бусад хуулийн этгээд, эсхүл нийтийн ашиг сонирхолд илт хохирол учруулах эсэх</w:t>
      </w:r>
      <w:r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7F051502" w14:textId="3FB0458F" w:rsidR="00127AC7" w:rsidRPr="00127AC7" w:rsidRDefault="00127AC7" w:rsidP="0060326E">
      <w:pPr>
        <w:spacing w:after="240" w:line="240" w:lineRule="auto"/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127AC7">
        <w:rPr>
          <w:rFonts w:ascii="Arial" w:eastAsia="Times New Roman" w:hAnsi="Arial" w:cs="Arial"/>
          <w:b/>
          <w:bCs/>
          <w:color w:val="000000" w:themeColor="text1"/>
          <w:lang w:val="mn-MN"/>
        </w:rPr>
        <w:t>11/26.1 дүгээр зүйлийн 3.2 дэх хэсэг:</w:t>
      </w:r>
    </w:p>
    <w:p w14:paraId="4389613D" w14:textId="6869490D" w:rsidR="0060326E" w:rsidRDefault="00127AC7" w:rsidP="00127AC7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>
        <w:rPr>
          <w:rFonts w:ascii="Arial" w:eastAsia="Times New Roman" w:hAnsi="Arial" w:cs="Arial"/>
          <w:color w:val="000000" w:themeColor="text1"/>
          <w:lang w:val="mn-MN"/>
        </w:rPr>
        <w:t>“3.2.Т</w:t>
      </w:r>
      <w:r w:rsidR="0060326E" w:rsidRPr="0060326E">
        <w:rPr>
          <w:rFonts w:ascii="Arial" w:eastAsia="Times New Roman" w:hAnsi="Arial" w:cs="Arial"/>
          <w:color w:val="000000" w:themeColor="text1"/>
          <w:lang w:val="mn-MN"/>
        </w:rPr>
        <w:t>ухайн хуулийн этгээдийн үйлдвэрлэл, үйлчилгээний хэвийн үйл ажиллагааг алдагдуулах, орлого олох эх үүсвэрийг хаах, түүнчлэн бүтээгдэхүүн түргэн муудаж, чанараа алдах зэрэг үр дагаварт хүргэх эсэх</w:t>
      </w:r>
      <w:r>
        <w:rPr>
          <w:rFonts w:ascii="Arial" w:eastAsia="Times New Roman" w:hAnsi="Arial" w:cs="Arial"/>
          <w:color w:val="000000" w:themeColor="text1"/>
          <w:lang w:val="mn-MN"/>
        </w:rPr>
        <w:t>.</w:t>
      </w:r>
      <w:r w:rsidR="0060326E" w:rsidRPr="0060326E">
        <w:rPr>
          <w:rFonts w:ascii="Arial" w:eastAsia="Times New Roman" w:hAnsi="Arial" w:cs="Arial"/>
          <w:color w:val="000000" w:themeColor="text1"/>
          <w:lang w:val="mn-MN"/>
        </w:rPr>
        <w:t>”</w:t>
      </w:r>
    </w:p>
    <w:p w14:paraId="520B886F" w14:textId="200BC95F" w:rsidR="00127AC7" w:rsidRDefault="00127AC7" w:rsidP="00127AC7">
      <w:pPr>
        <w:spacing w:after="240" w:line="240" w:lineRule="auto"/>
        <w:ind w:firstLine="1440"/>
        <w:jc w:val="both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127AC7">
        <w:rPr>
          <w:rFonts w:ascii="Arial" w:eastAsia="Times New Roman" w:hAnsi="Arial" w:cs="Arial"/>
          <w:b/>
          <w:bCs/>
          <w:color w:val="000000" w:themeColor="text1"/>
          <w:lang w:val="mn-MN"/>
        </w:rPr>
        <w:t>12/26.1 дүгээр зүйлийн 4 дэх хэсэг.</w:t>
      </w:r>
    </w:p>
    <w:p w14:paraId="491548D2" w14:textId="49D470B5" w:rsidR="00127AC7" w:rsidRPr="00127AC7" w:rsidRDefault="00127AC7" w:rsidP="00127AC7">
      <w:pPr>
        <w:spacing w:after="24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127AC7">
        <w:rPr>
          <w:rFonts w:ascii="Arial" w:eastAsia="Times New Roman" w:hAnsi="Arial" w:cs="Arial"/>
          <w:color w:val="000000" w:themeColor="text1"/>
          <w:lang w:val="mn-MN"/>
        </w:rPr>
        <w:t>“</w:t>
      </w:r>
      <w:r>
        <w:rPr>
          <w:rFonts w:ascii="Arial" w:eastAsia="Times New Roman" w:hAnsi="Arial" w:cs="Arial"/>
          <w:color w:val="000000" w:themeColor="text1"/>
          <w:lang w:val="mn-MN"/>
        </w:rPr>
        <w:t>4</w:t>
      </w:r>
      <w:r w:rsidRPr="00127AC7">
        <w:rPr>
          <w:rFonts w:ascii="Arial" w:eastAsia="Times New Roman" w:hAnsi="Arial" w:cs="Arial"/>
          <w:color w:val="000000" w:themeColor="text1"/>
          <w:lang w:val="mn-MN"/>
        </w:rPr>
        <w:t>.</w:t>
      </w:r>
      <w:r>
        <w:rPr>
          <w:rFonts w:ascii="Arial" w:eastAsia="Times New Roman" w:hAnsi="Arial" w:cs="Arial"/>
          <w:color w:val="000000" w:themeColor="text1"/>
          <w:lang w:val="mn-MN"/>
        </w:rPr>
        <w:t>Х</w:t>
      </w:r>
      <w:r w:rsidRPr="00127AC7">
        <w:rPr>
          <w:rFonts w:ascii="Arial" w:eastAsia="Times New Roman" w:hAnsi="Arial" w:cs="Arial"/>
          <w:color w:val="000000" w:themeColor="text1"/>
          <w:lang w:val="mn-MN"/>
        </w:rPr>
        <w:t>уулийн этгээдэд холбогдуулан энэ зүйлийн 1 дэх хэсэгт заасан хөрөнгийн шилжилт хөдөлгөөнийг хязгаарлах мөрдөн шалгах ажиллагааг явуулах нийт хугацаа 6 сараас хэтэрч болохгүй.”</w:t>
      </w:r>
    </w:p>
    <w:p w14:paraId="5ABE9A39" w14:textId="477A06AB" w:rsidR="00771246" w:rsidRPr="00BF3ECA" w:rsidRDefault="00532D28" w:rsidP="00771246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b/>
          <w:bCs/>
          <w:color w:val="000000" w:themeColor="text1"/>
          <w:lang w:val="mn-MN"/>
        </w:rPr>
        <w:t>2</w:t>
      </w:r>
      <w:r w:rsidR="00771246" w:rsidRPr="00BF3ECA">
        <w:rPr>
          <w:rFonts w:ascii="Arial" w:hAnsi="Arial" w:cs="Arial"/>
          <w:b/>
          <w:bCs/>
          <w:color w:val="000000" w:themeColor="text1"/>
          <w:lang w:val="mn-MN"/>
        </w:rPr>
        <w:t xml:space="preserve"> дугаар зүйл</w:t>
      </w:r>
      <w:r w:rsidR="00771246" w:rsidRPr="00BF3ECA">
        <w:rPr>
          <w:rFonts w:ascii="Arial" w:hAnsi="Arial" w:cs="Arial"/>
          <w:color w:val="000000" w:themeColor="text1"/>
          <w:lang w:val="mn-MN"/>
        </w:rPr>
        <w:t>.</w:t>
      </w:r>
      <w:r w:rsidR="000E6F6A" w:rsidRPr="00BF3ECA">
        <w:rPr>
          <w:rFonts w:ascii="Arial" w:hAnsi="Arial" w:cs="Arial"/>
          <w:color w:val="000000" w:themeColor="text1"/>
          <w:lang w:val="mn-MN"/>
        </w:rPr>
        <w:t>Энэ хуулийг</w:t>
      </w:r>
      <w:r w:rsidR="00771246" w:rsidRPr="00BF3ECA">
        <w:rPr>
          <w:rFonts w:ascii="Arial" w:hAnsi="Arial" w:cs="Arial"/>
          <w:color w:val="000000" w:themeColor="text1"/>
          <w:lang w:val="mn-MN"/>
        </w:rPr>
        <w:t xml:space="preserve"> 2025 оны </w:t>
      </w:r>
      <w:r w:rsidR="00F5020D" w:rsidRPr="00BF3ECA">
        <w:rPr>
          <w:rFonts w:ascii="Arial" w:hAnsi="Arial" w:cs="Arial"/>
          <w:color w:val="000000" w:themeColor="text1"/>
          <w:lang w:val="mn-MN"/>
        </w:rPr>
        <w:t>...</w:t>
      </w:r>
      <w:r w:rsidR="00771246" w:rsidRPr="00BF3ECA">
        <w:rPr>
          <w:rFonts w:ascii="Arial" w:hAnsi="Arial" w:cs="Arial"/>
          <w:color w:val="000000" w:themeColor="text1"/>
          <w:lang w:val="mn-MN"/>
        </w:rPr>
        <w:t xml:space="preserve"> д</w:t>
      </w:r>
      <w:r w:rsidR="000E6F6A" w:rsidRPr="00BF3ECA">
        <w:rPr>
          <w:rFonts w:ascii="Arial" w:hAnsi="Arial" w:cs="Arial"/>
          <w:color w:val="000000" w:themeColor="text1"/>
          <w:lang w:val="mn-MN"/>
        </w:rPr>
        <w:t>үгээ</w:t>
      </w:r>
      <w:r w:rsidR="00771246" w:rsidRPr="00BF3ECA">
        <w:rPr>
          <w:rFonts w:ascii="Arial" w:hAnsi="Arial" w:cs="Arial"/>
          <w:color w:val="000000" w:themeColor="text1"/>
          <w:lang w:val="mn-MN"/>
        </w:rPr>
        <w:t xml:space="preserve">р сарын </w:t>
      </w:r>
      <w:r w:rsidR="00F5020D" w:rsidRPr="00BF3ECA">
        <w:rPr>
          <w:rFonts w:ascii="Arial" w:hAnsi="Arial" w:cs="Arial"/>
          <w:color w:val="000000" w:themeColor="text1"/>
          <w:lang w:val="mn-MN"/>
        </w:rPr>
        <w:t xml:space="preserve">... </w:t>
      </w:r>
      <w:r w:rsidR="00771246" w:rsidRPr="00BF3ECA">
        <w:rPr>
          <w:rFonts w:ascii="Arial" w:hAnsi="Arial" w:cs="Arial"/>
          <w:color w:val="000000" w:themeColor="text1"/>
          <w:lang w:val="mn-MN"/>
        </w:rPr>
        <w:t xml:space="preserve">-ний өдрөөс эхлэн дагаж мөрдөнө. </w:t>
      </w:r>
    </w:p>
    <w:p w14:paraId="5D2F5BF0" w14:textId="77777777" w:rsidR="009C557E" w:rsidRPr="00BF3ECA" w:rsidRDefault="009C557E" w:rsidP="00771246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7CE70137" w14:textId="77777777" w:rsidR="004F4AB9" w:rsidRPr="00BF3ECA" w:rsidRDefault="004F4AB9" w:rsidP="00771246">
      <w:pPr>
        <w:pStyle w:val="NormalWeb"/>
        <w:shd w:val="clear" w:color="auto" w:fill="FFFFFF"/>
        <w:spacing w:before="0" w:beforeAutospacing="0" w:after="0" w:afterAutospacing="0"/>
        <w:ind w:right="49" w:firstLine="720"/>
        <w:jc w:val="both"/>
        <w:textAlignment w:val="top"/>
        <w:rPr>
          <w:rFonts w:ascii="Arial" w:eastAsia="Arial" w:hAnsi="Arial" w:cs="Arial"/>
          <w:iCs/>
          <w:noProof/>
          <w:color w:val="000000" w:themeColor="text1"/>
          <w:sz w:val="22"/>
          <w:szCs w:val="22"/>
          <w:shd w:val="clear" w:color="auto" w:fill="FFFFFF"/>
          <w:lang w:val="mn-MN" w:eastAsia="mn-MN"/>
        </w:rPr>
      </w:pPr>
    </w:p>
    <w:p w14:paraId="4526A4EC" w14:textId="77777777" w:rsidR="004F4AB9" w:rsidRPr="00BF3ECA" w:rsidRDefault="004F4AB9" w:rsidP="00771246">
      <w:pPr>
        <w:spacing w:after="0" w:line="240" w:lineRule="auto"/>
        <w:ind w:left="2880" w:right="49" w:firstLine="720"/>
        <w:rPr>
          <w:rFonts w:ascii="Arial" w:hAnsi="Arial" w:cs="Arial"/>
          <w:color w:val="000000" w:themeColor="text1"/>
          <w:lang w:val="mn-MN"/>
        </w:rPr>
      </w:pPr>
    </w:p>
    <w:p w14:paraId="7691DB01" w14:textId="77777777" w:rsidR="004F4AB9" w:rsidRPr="00BF3ECA" w:rsidRDefault="004F4AB9" w:rsidP="00771246">
      <w:pPr>
        <w:spacing w:after="0" w:line="240" w:lineRule="auto"/>
        <w:ind w:left="3600" w:right="49" w:firstLine="720"/>
        <w:rPr>
          <w:rFonts w:ascii="Arial" w:hAnsi="Arial" w:cs="Arial"/>
          <w:color w:val="000000" w:themeColor="text1"/>
          <w:lang w:val="mn-MN"/>
        </w:rPr>
      </w:pPr>
      <w:r w:rsidRPr="00BF3ECA">
        <w:rPr>
          <w:rFonts w:ascii="Arial" w:hAnsi="Arial" w:cs="Arial"/>
          <w:color w:val="000000" w:themeColor="text1"/>
          <w:lang w:val="mn-MN"/>
        </w:rPr>
        <w:t>Гарын үсэг</w:t>
      </w:r>
    </w:p>
    <w:p w14:paraId="548BBD6F" w14:textId="77777777" w:rsidR="004F4AB9" w:rsidRPr="00BF3ECA" w:rsidRDefault="004F4AB9" w:rsidP="00771246">
      <w:pPr>
        <w:spacing w:after="0" w:line="240" w:lineRule="auto"/>
        <w:ind w:right="49"/>
        <w:jc w:val="center"/>
        <w:rPr>
          <w:rFonts w:ascii="Arial" w:hAnsi="Arial" w:cs="Arial"/>
          <w:color w:val="000000" w:themeColor="text1"/>
          <w:lang w:val="mn-MN"/>
        </w:rPr>
      </w:pPr>
    </w:p>
    <w:p w14:paraId="4883C3F9" w14:textId="77777777" w:rsidR="00987A30" w:rsidRPr="00BF3ECA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0201F802" w14:textId="77777777" w:rsidR="00987A30" w:rsidRPr="00BF3ECA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20942252" w14:textId="77777777" w:rsidR="00987A30" w:rsidRPr="00BF3ECA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6DF5631A" w14:textId="77777777" w:rsidR="00987A30" w:rsidRPr="00BF3ECA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p w14:paraId="79E7DFF1" w14:textId="77777777" w:rsidR="00987A30" w:rsidRPr="00BF3ECA" w:rsidRDefault="00987A30">
      <w:pPr>
        <w:spacing w:line="240" w:lineRule="auto"/>
        <w:ind w:right="49"/>
        <w:jc w:val="both"/>
        <w:rPr>
          <w:rFonts w:ascii="Arial" w:hAnsi="Arial" w:cs="Arial"/>
          <w:color w:val="000000" w:themeColor="text1"/>
          <w:lang w:val="mn-MN"/>
        </w:rPr>
      </w:pPr>
    </w:p>
    <w:sectPr w:rsidR="00987A30" w:rsidRPr="00BF3ECA" w:rsidSect="00BD0372">
      <w:footerReference w:type="default" r:id="rId7"/>
      <w:pgSz w:w="11900" w:h="16840"/>
      <w:pgMar w:top="1530" w:right="851" w:bottom="720" w:left="1701" w:header="706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DD7B" w14:textId="77777777" w:rsidR="00C56C9E" w:rsidRDefault="00C56C9E">
      <w:pPr>
        <w:spacing w:after="0" w:line="240" w:lineRule="auto"/>
      </w:pPr>
      <w:r>
        <w:separator/>
      </w:r>
    </w:p>
  </w:endnote>
  <w:endnote w:type="continuationSeparator" w:id="0">
    <w:p w14:paraId="4C42F5C0" w14:textId="77777777" w:rsidR="00C56C9E" w:rsidRDefault="00C5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15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C2D6A" w14:textId="77777777" w:rsidR="00615422" w:rsidRDefault="008E67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571B31" w14:textId="77777777" w:rsidR="00615422" w:rsidRDefault="0061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95F0" w14:textId="77777777" w:rsidR="00C56C9E" w:rsidRDefault="00C56C9E">
      <w:pPr>
        <w:spacing w:after="0" w:line="240" w:lineRule="auto"/>
      </w:pPr>
      <w:r>
        <w:separator/>
      </w:r>
    </w:p>
  </w:footnote>
  <w:footnote w:type="continuationSeparator" w:id="0">
    <w:p w14:paraId="671FA6FE" w14:textId="77777777" w:rsidR="00C56C9E" w:rsidRDefault="00C56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B9"/>
    <w:rsid w:val="00000C1E"/>
    <w:rsid w:val="00002523"/>
    <w:rsid w:val="000025E8"/>
    <w:rsid w:val="00002FAB"/>
    <w:rsid w:val="0000361F"/>
    <w:rsid w:val="00023BF3"/>
    <w:rsid w:val="000325CF"/>
    <w:rsid w:val="00045682"/>
    <w:rsid w:val="00071E3A"/>
    <w:rsid w:val="0008516F"/>
    <w:rsid w:val="00087334"/>
    <w:rsid w:val="00096EEA"/>
    <w:rsid w:val="000A19AE"/>
    <w:rsid w:val="000A2B2E"/>
    <w:rsid w:val="000B149A"/>
    <w:rsid w:val="000B7C8B"/>
    <w:rsid w:val="000D79EB"/>
    <w:rsid w:val="000E6F6A"/>
    <w:rsid w:val="00104F6F"/>
    <w:rsid w:val="00106733"/>
    <w:rsid w:val="001106D2"/>
    <w:rsid w:val="00113894"/>
    <w:rsid w:val="001252E8"/>
    <w:rsid w:val="00127AC7"/>
    <w:rsid w:val="0013362A"/>
    <w:rsid w:val="001355E5"/>
    <w:rsid w:val="00135CF5"/>
    <w:rsid w:val="00146E41"/>
    <w:rsid w:val="00147C20"/>
    <w:rsid w:val="001524F4"/>
    <w:rsid w:val="00160C42"/>
    <w:rsid w:val="00160CA7"/>
    <w:rsid w:val="00162C34"/>
    <w:rsid w:val="001723B1"/>
    <w:rsid w:val="00175B9E"/>
    <w:rsid w:val="00194F80"/>
    <w:rsid w:val="001A3E0E"/>
    <w:rsid w:val="001A4F5F"/>
    <w:rsid w:val="001B18EF"/>
    <w:rsid w:val="001B333F"/>
    <w:rsid w:val="001B50F6"/>
    <w:rsid w:val="001C396C"/>
    <w:rsid w:val="001C607F"/>
    <w:rsid w:val="001D044A"/>
    <w:rsid w:val="001E75DE"/>
    <w:rsid w:val="001F129E"/>
    <w:rsid w:val="001F192F"/>
    <w:rsid w:val="001F223F"/>
    <w:rsid w:val="0020213A"/>
    <w:rsid w:val="002025EA"/>
    <w:rsid w:val="002054CF"/>
    <w:rsid w:val="00206AA9"/>
    <w:rsid w:val="00207C8C"/>
    <w:rsid w:val="00211300"/>
    <w:rsid w:val="00224C20"/>
    <w:rsid w:val="00225722"/>
    <w:rsid w:val="002421CE"/>
    <w:rsid w:val="00255742"/>
    <w:rsid w:val="0026130C"/>
    <w:rsid w:val="002620BB"/>
    <w:rsid w:val="00262F43"/>
    <w:rsid w:val="00263C64"/>
    <w:rsid w:val="00265B29"/>
    <w:rsid w:val="00272677"/>
    <w:rsid w:val="0027463F"/>
    <w:rsid w:val="00274730"/>
    <w:rsid w:val="002770BB"/>
    <w:rsid w:val="00282203"/>
    <w:rsid w:val="00283FD6"/>
    <w:rsid w:val="002A502A"/>
    <w:rsid w:val="002B400F"/>
    <w:rsid w:val="002C3EA7"/>
    <w:rsid w:val="002C53C9"/>
    <w:rsid w:val="002C5927"/>
    <w:rsid w:val="002C6676"/>
    <w:rsid w:val="002E4E2F"/>
    <w:rsid w:val="002F3E10"/>
    <w:rsid w:val="002F4B1C"/>
    <w:rsid w:val="002F4D3E"/>
    <w:rsid w:val="00314981"/>
    <w:rsid w:val="003219C8"/>
    <w:rsid w:val="0033187D"/>
    <w:rsid w:val="003331FA"/>
    <w:rsid w:val="003406F5"/>
    <w:rsid w:val="003439EA"/>
    <w:rsid w:val="00343FC0"/>
    <w:rsid w:val="00347AC6"/>
    <w:rsid w:val="00347CB9"/>
    <w:rsid w:val="003500E6"/>
    <w:rsid w:val="003629A3"/>
    <w:rsid w:val="00364E58"/>
    <w:rsid w:val="00373966"/>
    <w:rsid w:val="00380EA2"/>
    <w:rsid w:val="00381841"/>
    <w:rsid w:val="00385D94"/>
    <w:rsid w:val="003A2260"/>
    <w:rsid w:val="003B1C94"/>
    <w:rsid w:val="003B25BE"/>
    <w:rsid w:val="003C1876"/>
    <w:rsid w:val="003D00BA"/>
    <w:rsid w:val="003D3A1D"/>
    <w:rsid w:val="003D586D"/>
    <w:rsid w:val="003E7B93"/>
    <w:rsid w:val="003F185A"/>
    <w:rsid w:val="003F3668"/>
    <w:rsid w:val="00400198"/>
    <w:rsid w:val="00400382"/>
    <w:rsid w:val="004063FB"/>
    <w:rsid w:val="00407051"/>
    <w:rsid w:val="00417361"/>
    <w:rsid w:val="00425394"/>
    <w:rsid w:val="0043413E"/>
    <w:rsid w:val="0043679D"/>
    <w:rsid w:val="00441E98"/>
    <w:rsid w:val="00450A1D"/>
    <w:rsid w:val="00451DF9"/>
    <w:rsid w:val="00451E8E"/>
    <w:rsid w:val="0045472A"/>
    <w:rsid w:val="00455124"/>
    <w:rsid w:val="004578F8"/>
    <w:rsid w:val="00460AD1"/>
    <w:rsid w:val="00463A2C"/>
    <w:rsid w:val="0046718A"/>
    <w:rsid w:val="00471DDD"/>
    <w:rsid w:val="00474F3C"/>
    <w:rsid w:val="004954FE"/>
    <w:rsid w:val="00496B06"/>
    <w:rsid w:val="004A27A7"/>
    <w:rsid w:val="004B7983"/>
    <w:rsid w:val="004B7C3B"/>
    <w:rsid w:val="004C3BD2"/>
    <w:rsid w:val="004C5A25"/>
    <w:rsid w:val="004E1704"/>
    <w:rsid w:val="004E3CF3"/>
    <w:rsid w:val="004E6255"/>
    <w:rsid w:val="004F4AB9"/>
    <w:rsid w:val="00504161"/>
    <w:rsid w:val="00512176"/>
    <w:rsid w:val="00520FC2"/>
    <w:rsid w:val="00524F2B"/>
    <w:rsid w:val="005300A8"/>
    <w:rsid w:val="0053243B"/>
    <w:rsid w:val="00532D28"/>
    <w:rsid w:val="00540C00"/>
    <w:rsid w:val="005426AC"/>
    <w:rsid w:val="005453DA"/>
    <w:rsid w:val="00547F74"/>
    <w:rsid w:val="00550A46"/>
    <w:rsid w:val="005549A8"/>
    <w:rsid w:val="0056343B"/>
    <w:rsid w:val="0056587A"/>
    <w:rsid w:val="005673B4"/>
    <w:rsid w:val="00567E6E"/>
    <w:rsid w:val="005718FA"/>
    <w:rsid w:val="00571FDA"/>
    <w:rsid w:val="00573FAF"/>
    <w:rsid w:val="0058216F"/>
    <w:rsid w:val="00586B88"/>
    <w:rsid w:val="00587BB7"/>
    <w:rsid w:val="00590A1A"/>
    <w:rsid w:val="0059231C"/>
    <w:rsid w:val="00592BDD"/>
    <w:rsid w:val="00593315"/>
    <w:rsid w:val="00593CC9"/>
    <w:rsid w:val="005A5D14"/>
    <w:rsid w:val="005A7A0E"/>
    <w:rsid w:val="005B3F04"/>
    <w:rsid w:val="005B413D"/>
    <w:rsid w:val="005C1411"/>
    <w:rsid w:val="005D03EA"/>
    <w:rsid w:val="005D368A"/>
    <w:rsid w:val="005D36A3"/>
    <w:rsid w:val="005E5E66"/>
    <w:rsid w:val="005F12AC"/>
    <w:rsid w:val="005F54FF"/>
    <w:rsid w:val="0060171D"/>
    <w:rsid w:val="00601AFC"/>
    <w:rsid w:val="0060326E"/>
    <w:rsid w:val="00606E4E"/>
    <w:rsid w:val="00610784"/>
    <w:rsid w:val="00614615"/>
    <w:rsid w:val="00615422"/>
    <w:rsid w:val="006221FF"/>
    <w:rsid w:val="00623036"/>
    <w:rsid w:val="00624982"/>
    <w:rsid w:val="006561BC"/>
    <w:rsid w:val="0066029B"/>
    <w:rsid w:val="006769CD"/>
    <w:rsid w:val="0069266A"/>
    <w:rsid w:val="00694DB5"/>
    <w:rsid w:val="0069561F"/>
    <w:rsid w:val="006B1F0E"/>
    <w:rsid w:val="006B215F"/>
    <w:rsid w:val="006B307D"/>
    <w:rsid w:val="006E0D3C"/>
    <w:rsid w:val="006E3B36"/>
    <w:rsid w:val="006F1BD9"/>
    <w:rsid w:val="006F64A5"/>
    <w:rsid w:val="00700A9E"/>
    <w:rsid w:val="00707504"/>
    <w:rsid w:val="00707B60"/>
    <w:rsid w:val="00712FBE"/>
    <w:rsid w:val="00717E8B"/>
    <w:rsid w:val="00733275"/>
    <w:rsid w:val="00746BA0"/>
    <w:rsid w:val="0075505B"/>
    <w:rsid w:val="00755CEF"/>
    <w:rsid w:val="0076164E"/>
    <w:rsid w:val="00771246"/>
    <w:rsid w:val="00776FFB"/>
    <w:rsid w:val="00780410"/>
    <w:rsid w:val="00784A3F"/>
    <w:rsid w:val="00786B09"/>
    <w:rsid w:val="007A3AEB"/>
    <w:rsid w:val="007A67DF"/>
    <w:rsid w:val="007A7CCC"/>
    <w:rsid w:val="007C671E"/>
    <w:rsid w:val="007C6E74"/>
    <w:rsid w:val="007C72C4"/>
    <w:rsid w:val="007E5212"/>
    <w:rsid w:val="007F411D"/>
    <w:rsid w:val="007F7F8B"/>
    <w:rsid w:val="008006F3"/>
    <w:rsid w:val="008073E6"/>
    <w:rsid w:val="00810653"/>
    <w:rsid w:val="00814429"/>
    <w:rsid w:val="008178AA"/>
    <w:rsid w:val="00820FD0"/>
    <w:rsid w:val="00827073"/>
    <w:rsid w:val="008353A5"/>
    <w:rsid w:val="008411CA"/>
    <w:rsid w:val="00846F36"/>
    <w:rsid w:val="00850475"/>
    <w:rsid w:val="00851D15"/>
    <w:rsid w:val="00861459"/>
    <w:rsid w:val="008650C9"/>
    <w:rsid w:val="00871E18"/>
    <w:rsid w:val="00872F09"/>
    <w:rsid w:val="00882BD3"/>
    <w:rsid w:val="00883AA8"/>
    <w:rsid w:val="0088558B"/>
    <w:rsid w:val="008875BF"/>
    <w:rsid w:val="0089060C"/>
    <w:rsid w:val="00894340"/>
    <w:rsid w:val="00895D7A"/>
    <w:rsid w:val="008A0DE7"/>
    <w:rsid w:val="008A1BD4"/>
    <w:rsid w:val="008A4136"/>
    <w:rsid w:val="008A4C15"/>
    <w:rsid w:val="008A4C59"/>
    <w:rsid w:val="008C24C6"/>
    <w:rsid w:val="008C72CB"/>
    <w:rsid w:val="008C7BE3"/>
    <w:rsid w:val="008D1E52"/>
    <w:rsid w:val="008D6CE5"/>
    <w:rsid w:val="008E6709"/>
    <w:rsid w:val="008E6ADA"/>
    <w:rsid w:val="008F4474"/>
    <w:rsid w:val="008F5CAB"/>
    <w:rsid w:val="008F7EDF"/>
    <w:rsid w:val="0091049E"/>
    <w:rsid w:val="00934A17"/>
    <w:rsid w:val="009466BC"/>
    <w:rsid w:val="00953FD1"/>
    <w:rsid w:val="00954F3F"/>
    <w:rsid w:val="009555B8"/>
    <w:rsid w:val="0095716A"/>
    <w:rsid w:val="009578B0"/>
    <w:rsid w:val="0096064B"/>
    <w:rsid w:val="00965C02"/>
    <w:rsid w:val="00967B6B"/>
    <w:rsid w:val="00973C74"/>
    <w:rsid w:val="0098180E"/>
    <w:rsid w:val="00986743"/>
    <w:rsid w:val="009874DC"/>
    <w:rsid w:val="00987A30"/>
    <w:rsid w:val="00991F3D"/>
    <w:rsid w:val="00992456"/>
    <w:rsid w:val="00995A99"/>
    <w:rsid w:val="009A49CA"/>
    <w:rsid w:val="009B782F"/>
    <w:rsid w:val="009C1725"/>
    <w:rsid w:val="009C4892"/>
    <w:rsid w:val="009C557E"/>
    <w:rsid w:val="009D59FF"/>
    <w:rsid w:val="009E6724"/>
    <w:rsid w:val="009E6E92"/>
    <w:rsid w:val="009F34F7"/>
    <w:rsid w:val="00A07180"/>
    <w:rsid w:val="00A07798"/>
    <w:rsid w:val="00A2317B"/>
    <w:rsid w:val="00A235E6"/>
    <w:rsid w:val="00A26CED"/>
    <w:rsid w:val="00A319B2"/>
    <w:rsid w:val="00A3582D"/>
    <w:rsid w:val="00A37674"/>
    <w:rsid w:val="00A378C8"/>
    <w:rsid w:val="00A4126A"/>
    <w:rsid w:val="00A455A9"/>
    <w:rsid w:val="00A53CF4"/>
    <w:rsid w:val="00A57639"/>
    <w:rsid w:val="00A61E51"/>
    <w:rsid w:val="00A63ED5"/>
    <w:rsid w:val="00A708EB"/>
    <w:rsid w:val="00A75F5E"/>
    <w:rsid w:val="00A83824"/>
    <w:rsid w:val="00A9066D"/>
    <w:rsid w:val="00A90D6F"/>
    <w:rsid w:val="00A92C3D"/>
    <w:rsid w:val="00A9465C"/>
    <w:rsid w:val="00A976B9"/>
    <w:rsid w:val="00A978D9"/>
    <w:rsid w:val="00AB1403"/>
    <w:rsid w:val="00AB1885"/>
    <w:rsid w:val="00AB479E"/>
    <w:rsid w:val="00AC4939"/>
    <w:rsid w:val="00AD27C4"/>
    <w:rsid w:val="00AF5E4B"/>
    <w:rsid w:val="00B01174"/>
    <w:rsid w:val="00B01517"/>
    <w:rsid w:val="00B0681F"/>
    <w:rsid w:val="00B1269C"/>
    <w:rsid w:val="00B21E37"/>
    <w:rsid w:val="00B304E7"/>
    <w:rsid w:val="00B31A43"/>
    <w:rsid w:val="00B33F62"/>
    <w:rsid w:val="00B36AD1"/>
    <w:rsid w:val="00B37D7A"/>
    <w:rsid w:val="00B43A9E"/>
    <w:rsid w:val="00B47584"/>
    <w:rsid w:val="00B50857"/>
    <w:rsid w:val="00B56E1F"/>
    <w:rsid w:val="00B76A11"/>
    <w:rsid w:val="00B85311"/>
    <w:rsid w:val="00B95507"/>
    <w:rsid w:val="00B9589B"/>
    <w:rsid w:val="00BA39DF"/>
    <w:rsid w:val="00BC010A"/>
    <w:rsid w:val="00BC2097"/>
    <w:rsid w:val="00BC5BA8"/>
    <w:rsid w:val="00BD0372"/>
    <w:rsid w:val="00BD1CE8"/>
    <w:rsid w:val="00BD1D1E"/>
    <w:rsid w:val="00BD2F2C"/>
    <w:rsid w:val="00BD6243"/>
    <w:rsid w:val="00BE1289"/>
    <w:rsid w:val="00BE4AD6"/>
    <w:rsid w:val="00BF22F0"/>
    <w:rsid w:val="00BF33FD"/>
    <w:rsid w:val="00BF3ECA"/>
    <w:rsid w:val="00BF5A63"/>
    <w:rsid w:val="00BF5DC2"/>
    <w:rsid w:val="00BF7641"/>
    <w:rsid w:val="00C0078F"/>
    <w:rsid w:val="00C0145D"/>
    <w:rsid w:val="00C041AA"/>
    <w:rsid w:val="00C10A98"/>
    <w:rsid w:val="00C14A64"/>
    <w:rsid w:val="00C150BD"/>
    <w:rsid w:val="00C15EC4"/>
    <w:rsid w:val="00C2595C"/>
    <w:rsid w:val="00C31F1B"/>
    <w:rsid w:val="00C35BBB"/>
    <w:rsid w:val="00C46526"/>
    <w:rsid w:val="00C50956"/>
    <w:rsid w:val="00C50D29"/>
    <w:rsid w:val="00C51386"/>
    <w:rsid w:val="00C56C9E"/>
    <w:rsid w:val="00C57114"/>
    <w:rsid w:val="00C67227"/>
    <w:rsid w:val="00C67775"/>
    <w:rsid w:val="00C7184D"/>
    <w:rsid w:val="00C83792"/>
    <w:rsid w:val="00C84E41"/>
    <w:rsid w:val="00C85600"/>
    <w:rsid w:val="00C93347"/>
    <w:rsid w:val="00CA340C"/>
    <w:rsid w:val="00CC05A5"/>
    <w:rsid w:val="00CC4CBE"/>
    <w:rsid w:val="00CD70D4"/>
    <w:rsid w:val="00CD7A9B"/>
    <w:rsid w:val="00CE01CB"/>
    <w:rsid w:val="00CF563D"/>
    <w:rsid w:val="00D024CE"/>
    <w:rsid w:val="00D252A1"/>
    <w:rsid w:val="00D32FFA"/>
    <w:rsid w:val="00D54869"/>
    <w:rsid w:val="00D62DD6"/>
    <w:rsid w:val="00D65643"/>
    <w:rsid w:val="00D753FB"/>
    <w:rsid w:val="00D841F3"/>
    <w:rsid w:val="00D9449D"/>
    <w:rsid w:val="00D952FF"/>
    <w:rsid w:val="00DA26E3"/>
    <w:rsid w:val="00DB3DF7"/>
    <w:rsid w:val="00DB59A2"/>
    <w:rsid w:val="00DB7ABA"/>
    <w:rsid w:val="00DC3864"/>
    <w:rsid w:val="00DC42CD"/>
    <w:rsid w:val="00DC67FD"/>
    <w:rsid w:val="00DC6E60"/>
    <w:rsid w:val="00DD06BA"/>
    <w:rsid w:val="00DD0AA4"/>
    <w:rsid w:val="00DD2003"/>
    <w:rsid w:val="00DD2809"/>
    <w:rsid w:val="00DD3A96"/>
    <w:rsid w:val="00DD5FA7"/>
    <w:rsid w:val="00DF4005"/>
    <w:rsid w:val="00E01A44"/>
    <w:rsid w:val="00E02571"/>
    <w:rsid w:val="00E07C2F"/>
    <w:rsid w:val="00E11F79"/>
    <w:rsid w:val="00E16877"/>
    <w:rsid w:val="00E21378"/>
    <w:rsid w:val="00E220CB"/>
    <w:rsid w:val="00E27850"/>
    <w:rsid w:val="00E34B4A"/>
    <w:rsid w:val="00E40861"/>
    <w:rsid w:val="00E4214F"/>
    <w:rsid w:val="00E42A1F"/>
    <w:rsid w:val="00E47EE3"/>
    <w:rsid w:val="00E61372"/>
    <w:rsid w:val="00E62F74"/>
    <w:rsid w:val="00E75749"/>
    <w:rsid w:val="00E80991"/>
    <w:rsid w:val="00E84A34"/>
    <w:rsid w:val="00E91872"/>
    <w:rsid w:val="00E91F75"/>
    <w:rsid w:val="00EA4500"/>
    <w:rsid w:val="00EA4633"/>
    <w:rsid w:val="00EA6DF8"/>
    <w:rsid w:val="00EA72D7"/>
    <w:rsid w:val="00EB7984"/>
    <w:rsid w:val="00EC0136"/>
    <w:rsid w:val="00EC217B"/>
    <w:rsid w:val="00EC394F"/>
    <w:rsid w:val="00ED1715"/>
    <w:rsid w:val="00ED5A37"/>
    <w:rsid w:val="00ED5D19"/>
    <w:rsid w:val="00ED78D4"/>
    <w:rsid w:val="00EE52B3"/>
    <w:rsid w:val="00EF24E8"/>
    <w:rsid w:val="00EF4E6E"/>
    <w:rsid w:val="00F00F9A"/>
    <w:rsid w:val="00F02152"/>
    <w:rsid w:val="00F023D6"/>
    <w:rsid w:val="00F05624"/>
    <w:rsid w:val="00F30BBE"/>
    <w:rsid w:val="00F3436B"/>
    <w:rsid w:val="00F40F2B"/>
    <w:rsid w:val="00F5020D"/>
    <w:rsid w:val="00F523F6"/>
    <w:rsid w:val="00F55788"/>
    <w:rsid w:val="00F601E7"/>
    <w:rsid w:val="00F803DE"/>
    <w:rsid w:val="00F9134E"/>
    <w:rsid w:val="00F95304"/>
    <w:rsid w:val="00F964EE"/>
    <w:rsid w:val="00F9755E"/>
    <w:rsid w:val="00FB03B0"/>
    <w:rsid w:val="00FB1EA6"/>
    <w:rsid w:val="00FB3BC2"/>
    <w:rsid w:val="00FB4EBD"/>
    <w:rsid w:val="00FB62EB"/>
    <w:rsid w:val="00FC157A"/>
    <w:rsid w:val="00FD1ADC"/>
    <w:rsid w:val="00FD6937"/>
    <w:rsid w:val="00FE0580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BF9FC"/>
  <w15:chartTrackingRefBased/>
  <w15:docId w15:val="{75AB09E8-8170-0E4C-B931-FE1FB96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B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4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B9"/>
    <w:rPr>
      <w:sz w:val="22"/>
      <w:szCs w:val="22"/>
      <w:lang w:val="en-US"/>
    </w:rPr>
  </w:style>
  <w:style w:type="character" w:customStyle="1" w:styleId="Bodytext2">
    <w:name w:val="Body text (2)_"/>
    <w:link w:val="Bodytext20"/>
    <w:uiPriority w:val="99"/>
    <w:rsid w:val="004F4AB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F4AB9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  <w:sz w:val="24"/>
      <w:szCs w:val="24"/>
    </w:rPr>
  </w:style>
  <w:style w:type="paragraph" w:customStyle="1" w:styleId="msghead">
    <w:name w:val="msg_head"/>
    <w:basedOn w:val="Normal"/>
    <w:qFormat/>
    <w:rsid w:val="004F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F4AB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4F4AB9"/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rsid w:val="004F4AB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lv-LV" w:eastAsia="zh-CN" w:bidi="hi-IN"/>
    </w:rPr>
  </w:style>
  <w:style w:type="character" w:customStyle="1" w:styleId="BodyTextChar">
    <w:name w:val="Body Text Char"/>
    <w:basedOn w:val="DefaultParagraphFont"/>
    <w:link w:val="BodyText"/>
    <w:rsid w:val="004F4AB9"/>
    <w:rPr>
      <w:rFonts w:ascii="Liberation Serif" w:eastAsia="SimSun" w:hAnsi="Liberation Serif" w:cs="Mangal"/>
      <w:kern w:val="1"/>
      <w:lang w:val="lv-LV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3B"/>
    <w:rPr>
      <w:sz w:val="22"/>
      <w:szCs w:val="22"/>
      <w:lang w:val="en-US"/>
    </w:rPr>
  </w:style>
  <w:style w:type="paragraph" w:styleId="NoSpacing">
    <w:name w:val="No Spacing"/>
    <w:uiPriority w:val="1"/>
    <w:qFormat/>
    <w:rsid w:val="002B400F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5F12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2AC10-7AC6-E047-9E56-B792E701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Enkhtuvshin</cp:lastModifiedBy>
  <cp:revision>3</cp:revision>
  <cp:lastPrinted>2025-09-01T09:41:00Z</cp:lastPrinted>
  <dcterms:created xsi:type="dcterms:W3CDTF">2025-10-22T09:27:00Z</dcterms:created>
  <dcterms:modified xsi:type="dcterms:W3CDTF">2026-01-21T09:01:00Z</dcterms:modified>
</cp:coreProperties>
</file>