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AE0A" w14:textId="2031571D" w:rsidR="00A72565" w:rsidRPr="006D1A06" w:rsidRDefault="00A72565" w:rsidP="00175A39">
      <w:pPr>
        <w:spacing w:line="276" w:lineRule="auto"/>
        <w:jc w:val="center"/>
        <w:rPr>
          <w:rFonts w:ascii="Arial" w:hAnsi="Arial" w:cs="Arial"/>
          <w:b/>
          <w:bCs/>
          <w:lang w:val="mn-MN"/>
        </w:rPr>
      </w:pPr>
      <w:r w:rsidRPr="006D1A06">
        <w:rPr>
          <w:rFonts w:ascii="Arial" w:hAnsi="Arial" w:cs="Arial"/>
          <w:b/>
          <w:bCs/>
          <w:lang w:val="mn-MN"/>
        </w:rPr>
        <w:t>ДЭЛГЭРЭНГҮЙ ТАНИЛЦУУЛГА</w:t>
      </w:r>
    </w:p>
    <w:p w14:paraId="59DE7BC2" w14:textId="77777777" w:rsidR="00A72565" w:rsidRPr="006D1A06" w:rsidRDefault="00A72565" w:rsidP="00175A39">
      <w:pPr>
        <w:spacing w:after="0" w:line="276" w:lineRule="auto"/>
        <w:jc w:val="right"/>
        <w:rPr>
          <w:rFonts w:ascii="Arial" w:hAnsi="Arial" w:cs="Arial"/>
          <w:lang w:val="mn-MN"/>
        </w:rPr>
      </w:pPr>
      <w:r w:rsidRPr="006D1A06">
        <w:rPr>
          <w:rFonts w:ascii="Arial" w:hAnsi="Arial" w:cs="Arial"/>
          <w:lang w:val="mn-MN"/>
        </w:rPr>
        <w:t xml:space="preserve">Эрүүгийн хэрэг хянан шийдвэрлэх тухай хуульд </w:t>
      </w:r>
    </w:p>
    <w:p w14:paraId="18E742C2" w14:textId="261F8F32" w:rsidR="00A72565" w:rsidRDefault="00D6037F" w:rsidP="00175A39">
      <w:pPr>
        <w:spacing w:after="0" w:line="276" w:lineRule="auto"/>
        <w:jc w:val="right"/>
        <w:rPr>
          <w:rFonts w:ascii="Arial" w:hAnsi="Arial" w:cs="Arial"/>
          <w:lang w:val="mn-MN"/>
        </w:rPr>
      </w:pPr>
      <w:r w:rsidRPr="006D1A06">
        <w:rPr>
          <w:rFonts w:ascii="Arial" w:hAnsi="Arial" w:cs="Arial"/>
          <w:lang w:val="mn-MN"/>
        </w:rPr>
        <w:t>н</w:t>
      </w:r>
      <w:r w:rsidR="00A72565" w:rsidRPr="006D1A06">
        <w:rPr>
          <w:rFonts w:ascii="Arial" w:hAnsi="Arial" w:cs="Arial"/>
          <w:lang w:val="mn-MN"/>
        </w:rPr>
        <w:t>эмэлт</w:t>
      </w:r>
      <w:r w:rsidRPr="006D1A06">
        <w:rPr>
          <w:rFonts w:ascii="Arial" w:hAnsi="Arial" w:cs="Arial"/>
          <w:lang w:val="mn-MN"/>
        </w:rPr>
        <w:t xml:space="preserve"> </w:t>
      </w:r>
      <w:r w:rsidR="00A72565" w:rsidRPr="006D1A06">
        <w:rPr>
          <w:rFonts w:ascii="Arial" w:hAnsi="Arial" w:cs="Arial"/>
          <w:lang w:val="mn-MN"/>
        </w:rPr>
        <w:t xml:space="preserve">оруулах тухай </w:t>
      </w:r>
      <w:r w:rsidR="0002653C" w:rsidRPr="006D1A06">
        <w:rPr>
          <w:rFonts w:ascii="Arial" w:hAnsi="Arial" w:cs="Arial"/>
          <w:lang w:val="mn-MN"/>
        </w:rPr>
        <w:t>хуул</w:t>
      </w:r>
      <w:r w:rsidRPr="006D1A06">
        <w:rPr>
          <w:rFonts w:ascii="Arial" w:hAnsi="Arial" w:cs="Arial"/>
          <w:lang w:val="mn-MN"/>
        </w:rPr>
        <w:t>ийн төсөл</w:t>
      </w:r>
    </w:p>
    <w:p w14:paraId="215D7FCE" w14:textId="77777777" w:rsidR="005A1689" w:rsidRPr="006D1A06" w:rsidRDefault="005A1689" w:rsidP="00175A39">
      <w:pPr>
        <w:spacing w:after="0" w:line="276" w:lineRule="auto"/>
        <w:jc w:val="right"/>
        <w:rPr>
          <w:rFonts w:ascii="Arial" w:hAnsi="Arial" w:cs="Arial"/>
          <w:lang w:val="mn-MN"/>
        </w:rPr>
      </w:pPr>
    </w:p>
    <w:p w14:paraId="36E6094A" w14:textId="4144BB66" w:rsidR="0015669A" w:rsidRPr="006D1A06" w:rsidRDefault="005A1689" w:rsidP="00175A39">
      <w:pPr>
        <w:spacing w:after="0" w:line="276" w:lineRule="auto"/>
        <w:ind w:firstLine="720"/>
        <w:jc w:val="both"/>
        <w:rPr>
          <w:rFonts w:ascii="Arial" w:hAnsi="Arial" w:cs="Arial"/>
          <w:lang w:val="mn-MN"/>
        </w:rPr>
      </w:pPr>
      <w:r>
        <w:rPr>
          <w:rFonts w:ascii="Arial" w:hAnsi="Arial" w:cs="Arial"/>
          <w:lang w:val="mn-MN"/>
        </w:rPr>
        <w:t>Эрүүгийн хуулийн</w:t>
      </w:r>
      <w:r w:rsidR="0015669A" w:rsidRPr="006D1A06">
        <w:rPr>
          <w:rFonts w:ascii="Arial" w:hAnsi="Arial" w:cs="Arial"/>
          <w:lang w:val="mn-MN"/>
        </w:rPr>
        <w:t xml:space="preserve"> 2015 оны </w:t>
      </w:r>
      <w:r>
        <w:rPr>
          <w:rFonts w:ascii="Arial" w:hAnsi="Arial" w:cs="Arial"/>
          <w:lang w:val="mn-MN"/>
        </w:rPr>
        <w:t>12 дугаар сарын 03-ны өдрийн шинэчилсэн найруулгаар</w:t>
      </w:r>
      <w:r w:rsidR="00C4782D">
        <w:rPr>
          <w:rFonts w:ascii="Arial" w:hAnsi="Arial" w:cs="Arial"/>
          <w:lang w:val="mn-MN"/>
        </w:rPr>
        <w:t xml:space="preserve"> </w:t>
      </w:r>
      <w:r w:rsidR="0015669A" w:rsidRPr="006D1A06">
        <w:rPr>
          <w:rFonts w:ascii="Arial" w:hAnsi="Arial" w:cs="Arial"/>
          <w:lang w:val="mn-MN"/>
        </w:rPr>
        <w:t>“хуулийн этгээдэд эрүүгийн хариуцлага оногдуулах”</w:t>
      </w:r>
      <w:r>
        <w:rPr>
          <w:rFonts w:ascii="Arial" w:hAnsi="Arial" w:cs="Arial"/>
          <w:lang w:val="mn-MN"/>
        </w:rPr>
        <w:t xml:space="preserve"> </w:t>
      </w:r>
      <w:r w:rsidR="0015669A" w:rsidRPr="006D1A06">
        <w:rPr>
          <w:rFonts w:ascii="Arial" w:hAnsi="Arial" w:cs="Arial"/>
          <w:lang w:val="mn-MN"/>
        </w:rPr>
        <w:t>буюу дэлхий нийтээр хүлээн зөвшөөрөөд буй “Corporate Criminal Liability” онолыг хуульчилсан. Улмаар 2017 оны Эрүүгийн хэрэг хянан шийдвэрлэх тухай хууль (цаашид “ЭХХШтХ” гэх)-н зорилгод “ ... гэмт хэрэг үйлдсэн хүн, хуулийн этгээдийг олж тогтоон шударгаар ял оногдуулах ...” гэж тусган, мөн хуулийн 20-р бүлгээр хуулийн этгээдэд холбогдох эрүүгийн хэрэг хянан шийдвэрлэх ажиллагаатай холбоотой тусгайлсан бүлэг оруулж өгснөөр хуулийн этгээдийн гэм бурууг тогтоож, түүнд эрүүгийн хариуцлага оногдуулах асуудал процессын хэм хэмжээний хувьд “тодорхой хэмжээнд” зохицуулагдсан.</w:t>
      </w:r>
    </w:p>
    <w:p w14:paraId="31FF3E91" w14:textId="77777777" w:rsidR="0015669A" w:rsidRPr="006D1A06" w:rsidRDefault="0015669A" w:rsidP="00175A39">
      <w:pPr>
        <w:spacing w:after="0" w:line="276" w:lineRule="auto"/>
        <w:jc w:val="both"/>
        <w:rPr>
          <w:rFonts w:ascii="Arial" w:hAnsi="Arial" w:cs="Arial"/>
          <w:lang w:val="mn-MN"/>
        </w:rPr>
      </w:pPr>
    </w:p>
    <w:p w14:paraId="7ADB6B7F" w14:textId="3188ECE2" w:rsidR="00945A31" w:rsidRPr="006D1A06" w:rsidRDefault="0015669A" w:rsidP="00945A31">
      <w:pPr>
        <w:spacing w:after="0" w:line="276" w:lineRule="auto"/>
        <w:ind w:firstLine="720"/>
        <w:jc w:val="both"/>
        <w:rPr>
          <w:rFonts w:ascii="Arial" w:hAnsi="Arial" w:cs="Arial"/>
          <w:lang w:val="mn-MN"/>
        </w:rPr>
      </w:pPr>
      <w:r w:rsidRPr="006D1A06">
        <w:rPr>
          <w:rFonts w:ascii="Arial" w:hAnsi="Arial" w:cs="Arial"/>
          <w:lang w:val="mn-MN"/>
        </w:rPr>
        <w:t>ЭХХШтХ-ийн 1.4 дүгээр зүйлийн 1.13 дах хэсэгт "оролцогч гэж сэжигтэн, яллагдагч, шүүгдэгч, хохирогч, иргэний нэхэмжлэгч, иргэний хариуцагч, хуулийн этгээд, тэдгээрийн хууль ёсны төлөөлөгч, өмгөөлөгчийг хэлнэ” гэж хуулийн этгээдийг сэжигтэн, яллагдагч, шүүгдэгчээс хэргийн оролцогчийн хувьд ялгамжтай авч үзсэн. Энэ нь дэлхийн Загвар эрүүгийн процессын хууль болоод хуулийн этгээдэд эрүүгийн хариуцлага оногдуулдаг улс орнуудын жишигт нийцдэг. Хэдий тийм боловч ЭХХШтХ-д сэжигтэн, яллагдагчид хамаарах зарим зохицуулалтыг хуулийн этгээдэд нэгэн адил хэрэглэх байдлаар ерөнхийлөн тусгасан ба хуулийн этгээдийн онцлогт тохирсон журам бүрэн тусгагдаагүй. Тухайлбал</w:t>
      </w:r>
      <w:r w:rsidR="00082058">
        <w:rPr>
          <w:rFonts w:ascii="Arial" w:hAnsi="Arial" w:cs="Arial"/>
          <w:lang w:val="mn-MN"/>
        </w:rPr>
        <w:t>,</w:t>
      </w:r>
      <w:r w:rsidRPr="006D1A06">
        <w:rPr>
          <w:rFonts w:ascii="Arial" w:hAnsi="Arial" w:cs="Arial"/>
          <w:lang w:val="mn-MN"/>
        </w:rPr>
        <w:t xml:space="preserve"> хуулийн этгээдэд авах таслан сэргийлэх арга хэмжээ болон хуулийн этгээдэд мөрдөн шалгах ажиллагаа явуулахад хуулийн этгээдийн субьектын онцлогт тохирсон нарийвчилсан зохицуулалт дутмаг байна.</w:t>
      </w:r>
      <w:r w:rsidR="00122830" w:rsidRPr="006D1A06">
        <w:rPr>
          <w:rFonts w:ascii="Arial" w:hAnsi="Arial" w:cs="Arial"/>
          <w:lang w:val="mn-MN"/>
        </w:rPr>
        <w:t xml:space="preserve"> </w:t>
      </w:r>
    </w:p>
    <w:p w14:paraId="6BFCAA22" w14:textId="77777777" w:rsidR="000A4732" w:rsidRPr="006D1A06" w:rsidRDefault="000A4732" w:rsidP="000A4732">
      <w:pPr>
        <w:spacing w:after="0" w:line="276" w:lineRule="auto"/>
        <w:jc w:val="both"/>
        <w:rPr>
          <w:rFonts w:ascii="Arial" w:hAnsi="Arial" w:cs="Arial"/>
          <w:lang w:val="mn-MN"/>
        </w:rPr>
      </w:pPr>
    </w:p>
    <w:p w14:paraId="4400E69E" w14:textId="6C2123B6" w:rsidR="000A4732" w:rsidRPr="006D1A06" w:rsidRDefault="000A4732" w:rsidP="000A4732">
      <w:pPr>
        <w:spacing w:after="0" w:line="276" w:lineRule="auto"/>
        <w:jc w:val="both"/>
        <w:rPr>
          <w:rFonts w:ascii="Arial" w:hAnsi="Arial" w:cs="Arial"/>
          <w:i/>
          <w:iCs/>
          <w:lang w:val="mn-MN"/>
        </w:rPr>
      </w:pPr>
      <w:r w:rsidRPr="006D1A06">
        <w:rPr>
          <w:rFonts w:ascii="Arial" w:hAnsi="Arial" w:cs="Arial"/>
          <w:i/>
          <w:iCs/>
          <w:lang w:val="mn-MN"/>
        </w:rPr>
        <w:t>ЭХХШтХ-д нэмэлт оруулах үндэслэл, шаардлага:</w:t>
      </w:r>
    </w:p>
    <w:p w14:paraId="0B9803DE" w14:textId="77777777" w:rsidR="00945A31" w:rsidRPr="006D1A06" w:rsidRDefault="00945A31" w:rsidP="0012063F">
      <w:pPr>
        <w:spacing w:after="0" w:line="276" w:lineRule="auto"/>
        <w:jc w:val="both"/>
        <w:rPr>
          <w:rFonts w:ascii="Arial" w:hAnsi="Arial" w:cs="Arial"/>
          <w:lang w:val="mn-MN"/>
        </w:rPr>
      </w:pPr>
    </w:p>
    <w:p w14:paraId="2AC9C824" w14:textId="6CF4664D" w:rsidR="0015669A" w:rsidRPr="006D1A06" w:rsidRDefault="0015669A" w:rsidP="00945A31">
      <w:pPr>
        <w:spacing w:after="0" w:line="276" w:lineRule="auto"/>
        <w:ind w:firstLine="720"/>
        <w:jc w:val="both"/>
        <w:rPr>
          <w:rFonts w:ascii="Arial" w:hAnsi="Arial" w:cs="Arial"/>
          <w:lang w:val="mn-MN"/>
        </w:rPr>
      </w:pPr>
      <w:r w:rsidRPr="006D1A06">
        <w:rPr>
          <w:rFonts w:ascii="Arial" w:hAnsi="Arial" w:cs="Arial"/>
          <w:lang w:val="mn-MN"/>
        </w:rPr>
        <w:t>ЭХХШтХ-ийн 14.4 дүгээр зүйлийн 4.4 дэх хэсэгт заасан хуулийн этгээдэд тодорхой үйл ажиллагаа явуулах эрхийг түдгэлзүүлэх таслан сэргийлэх арга хэмжээ (цаашид “ТСАХ” гэх) авахтай холбоотой журамд тухайн ТСАХ авахад харгалзах үндэслэл, нөхцөл, хугацаа, ТСАХ авахыг хориглох нөхцөл, зөрчсөнөөс үүсэх үр дагавар, ТСАХ хүчингүй болгох, хугацаа сунгах, өөрчлөх үндэслэл, журам зохицуулагдаагүй. Мөрдөн шалгах ажиллагааны хувьд ч хуулийн этгээдэд ихэвчлэн хийгддэг ЭХХШтХ-ийн 26.1 дүгээр зүйлд заасан хөрөнгийн шилжилт хөдөлгөөнийг хянах, хязгаарлах ажиллагааг хэрэгжүүлэх нөхцөл, шаардлага, хугацаа тодорхойгүй байна.</w:t>
      </w:r>
      <w:r w:rsidR="00945A31" w:rsidRPr="006D1A06">
        <w:rPr>
          <w:rFonts w:ascii="Arial" w:hAnsi="Arial" w:cs="Arial"/>
          <w:lang w:val="mn-MN"/>
        </w:rPr>
        <w:t xml:space="preserve"> </w:t>
      </w:r>
    </w:p>
    <w:p w14:paraId="1A0FDF47" w14:textId="77777777" w:rsidR="0015669A" w:rsidRPr="006D1A06" w:rsidRDefault="0015669A" w:rsidP="00175A39">
      <w:pPr>
        <w:spacing w:after="0" w:line="276" w:lineRule="auto"/>
        <w:ind w:firstLine="720"/>
        <w:jc w:val="both"/>
        <w:rPr>
          <w:rFonts w:ascii="Arial" w:hAnsi="Arial" w:cs="Arial"/>
          <w:lang w:val="mn-MN"/>
        </w:rPr>
      </w:pPr>
    </w:p>
    <w:p w14:paraId="5C0CBB88" w14:textId="77058DC2" w:rsidR="00945A31" w:rsidRPr="006D1A06" w:rsidRDefault="00945A31" w:rsidP="00945A31">
      <w:pPr>
        <w:spacing w:line="276" w:lineRule="auto"/>
        <w:ind w:firstLine="720"/>
        <w:jc w:val="both"/>
        <w:rPr>
          <w:rFonts w:ascii="Arial" w:hAnsi="Arial" w:cs="Arial"/>
          <w:lang w:val="mn-MN"/>
        </w:rPr>
      </w:pPr>
      <w:r w:rsidRPr="006D1A06">
        <w:rPr>
          <w:rFonts w:ascii="Arial" w:hAnsi="Arial" w:cs="Arial"/>
          <w:lang w:val="mn-MN"/>
        </w:rPr>
        <w:t>ЭХХШтХ-д  хуулийн этгээдийн эрхийг тодорхой хэмжээнд хязгаарлах эрх зүйн боломжийг нээж өгсөн ч, энэ хязгаарлалт нь угтаа пропорциональ зарчимд ний</w:t>
      </w:r>
      <w:r w:rsidR="00082058">
        <w:rPr>
          <w:rFonts w:ascii="Arial" w:hAnsi="Arial" w:cs="Arial"/>
          <w:lang w:val="mn-MN"/>
        </w:rPr>
        <w:t>ц</w:t>
      </w:r>
      <w:r w:rsidRPr="006D1A06">
        <w:rPr>
          <w:rFonts w:ascii="Arial" w:hAnsi="Arial" w:cs="Arial"/>
          <w:lang w:val="mn-MN"/>
        </w:rPr>
        <w:t xml:space="preserve">сэн буюу зайлшгүй бөгөөд хууль ёсны зорилгод нийцсэн хамгийн бага хязгаарлалтаар </w:t>
      </w:r>
      <w:r w:rsidRPr="006D1A06">
        <w:rPr>
          <w:rFonts w:ascii="Arial" w:hAnsi="Arial" w:cs="Arial"/>
          <w:lang w:val="mn-MN"/>
        </w:rPr>
        <w:lastRenderedPageBreak/>
        <w:t xml:space="preserve">хэрэгжих ёстой. </w:t>
      </w:r>
      <w:r w:rsidR="0015669A" w:rsidRPr="006D1A06">
        <w:rPr>
          <w:rFonts w:ascii="Arial" w:hAnsi="Arial" w:cs="Arial"/>
          <w:lang w:val="mn-MN"/>
        </w:rPr>
        <w:t xml:space="preserve">Гэтэл ийнхүү тодорхой бус журмаар, тодорхой хугацаагүйгээр хуулийн этгээдэд таслан сэргийлэх арга хэмжээ авах, тэдний хөрөнгийн шилжилт хөдөлгөөнийг хязгаарлах нь тухайн бизнесийн хувьд тасалдал бий болгох, ажилтнуудын хөдөлмөр эрхлэлт, өрхийн орлогод сөрөг нөлөө үзүүлэх, хувийн хэвшлийг эргэлтийн хөрөнгөгүй болгох, хэвийн ажиллагааг алдагдуулах, цаашлаад хуулиар хүлээсэн татвар, нийгмийн даатгалын үүргээ биелүүлэх боломжгүй болгох үр дагавартай. </w:t>
      </w:r>
    </w:p>
    <w:p w14:paraId="27DAD6D5" w14:textId="7203D70C" w:rsidR="0097007A" w:rsidRPr="006D1A06" w:rsidRDefault="00945A31" w:rsidP="00945A31">
      <w:pPr>
        <w:spacing w:line="276" w:lineRule="auto"/>
        <w:ind w:firstLine="720"/>
        <w:jc w:val="both"/>
        <w:rPr>
          <w:rFonts w:ascii="Arial" w:hAnsi="Arial" w:cs="Arial"/>
          <w:lang w:val="mn-MN"/>
        </w:rPr>
      </w:pPr>
      <w:r w:rsidRPr="006D1A06">
        <w:rPr>
          <w:rFonts w:ascii="Arial" w:hAnsi="Arial" w:cs="Arial"/>
          <w:lang w:val="mn-MN"/>
        </w:rPr>
        <w:t>Иймд энэхүү процессын тодорхойгүй байдлыг тодорхой болгож зохицуулах нь аливаа хэм хэмжээний бус байдлаар иргэн, хуулийн этгээдийн эрх зүйн байдлыг дордуулахаас урьдчилан сэргийлэх, шударга шүүхээр шүүлгэх эрхийн биелэлтийг хангах суурь болно.</w:t>
      </w:r>
      <w:r w:rsidR="0097007A" w:rsidRPr="006D1A06">
        <w:rPr>
          <w:rFonts w:ascii="Arial" w:hAnsi="Arial" w:cs="Arial"/>
          <w:lang w:val="mn-MN"/>
        </w:rPr>
        <w:t xml:space="preserve"> </w:t>
      </w:r>
    </w:p>
    <w:p w14:paraId="4FB88CE8" w14:textId="76026E47" w:rsidR="000B6D84" w:rsidRPr="006D1A06" w:rsidRDefault="0097007A" w:rsidP="000B6D84">
      <w:pPr>
        <w:spacing w:line="276" w:lineRule="auto"/>
        <w:ind w:firstLine="720"/>
        <w:jc w:val="both"/>
        <w:rPr>
          <w:rFonts w:ascii="Arial" w:hAnsi="Arial" w:cs="Arial"/>
          <w:lang w:val="mn-MN"/>
        </w:rPr>
      </w:pPr>
      <w:r w:rsidRPr="006D1A06">
        <w:rPr>
          <w:rFonts w:ascii="Arial" w:hAnsi="Arial" w:cs="Arial"/>
          <w:lang w:val="mn-MN"/>
        </w:rPr>
        <w:t>Монгол Улсын Их Хурлын 2024 оны 21 дүгээр тогтоолоор баталсан “Монгол Улсын Засгийн газрын 2024-2028 оны үйл ажиллагааны хөтөлбөр”-ийн 4.1 зүйлийн 1.8 дах хэсэгт “Хүний халдашгүй чөлөөтэй байх эрхийг баталгаажуулж, шүүхийн шийдвэргүйгээр баривчлах, цагдан хорих, иргэний эрхийг хязгаарлах ажиллагааг зогсоон, хүний эрхийг хамгаалах, процессын шударга ёсыг хангах, мэргэжлийн байлгах чиглэлд Эрүүгийн хэрэг хянан шийдвэрлэх ажиллагааны тухай, Хууль сахиулах ажиллагааны тухай, Таслан сэргийлэх ажиллагааны тухай, Шүүхийн шинжилгээний тухай, Шүүхийн шийдвэр гүйцэтгэх ажиллагааны тухай хуулиудыг бүрэн процессжуулан хуульчилна” гэж тусгажээ.</w:t>
      </w:r>
    </w:p>
    <w:p w14:paraId="46E713FA" w14:textId="590AF63C" w:rsidR="00945A31" w:rsidRPr="006D1A06" w:rsidRDefault="00945A31" w:rsidP="00945A31">
      <w:pPr>
        <w:spacing w:line="276" w:lineRule="auto"/>
        <w:ind w:firstLine="720"/>
        <w:jc w:val="both"/>
        <w:rPr>
          <w:rFonts w:ascii="Arial" w:hAnsi="Arial" w:cs="Arial"/>
          <w:lang w:val="mn-MN"/>
        </w:rPr>
      </w:pPr>
      <w:r w:rsidRPr="006D1A06">
        <w:rPr>
          <w:rFonts w:ascii="Arial" w:eastAsia="Times New Roman" w:hAnsi="Arial" w:cs="Arial"/>
          <w:kern w:val="0"/>
          <w:lang w:val="mn-MN"/>
          <w14:ligatures w14:val="none"/>
        </w:rPr>
        <w:t xml:space="preserve"> </w:t>
      </w:r>
      <w:r w:rsidRPr="006D1A06">
        <w:rPr>
          <w:rFonts w:ascii="Arial" w:hAnsi="Arial" w:cs="Arial"/>
          <w:lang w:val="mn-MN"/>
        </w:rPr>
        <w:t xml:space="preserve">Иймд уг хуулийн төсөл нь хуулийн этгээдэд авах таслан сэргийлэх арга хэмжээ болон </w:t>
      </w:r>
      <w:r w:rsidR="00082058">
        <w:rPr>
          <w:rFonts w:ascii="Arial" w:hAnsi="Arial" w:cs="Arial"/>
          <w:lang w:val="mn-MN"/>
        </w:rPr>
        <w:t xml:space="preserve">мөрдөн шалгах ажиллагааны явцад </w:t>
      </w:r>
      <w:r w:rsidRPr="006D1A06">
        <w:rPr>
          <w:rFonts w:ascii="Arial" w:hAnsi="Arial" w:cs="Arial"/>
          <w:lang w:val="mn-MN"/>
        </w:rPr>
        <w:t>хөрөнгийн шилжилт хөдөлгөөнийг хязгаарлах ажиллагаанд үндэслэл, нөхцөлийг тодорхой болгох, хугацаа, сунгах журмыг нарийвчлах, процессын тодорхой байдлыг хангах</w:t>
      </w:r>
      <w:r w:rsidR="000B6D84" w:rsidRPr="006D1A06">
        <w:rPr>
          <w:rFonts w:ascii="Arial" w:hAnsi="Arial" w:cs="Arial"/>
          <w:lang w:val="mn-MN"/>
        </w:rPr>
        <w:t xml:space="preserve"> зорилгоор боловсруулагдсан болно.</w:t>
      </w:r>
    </w:p>
    <w:p w14:paraId="6B3998B5" w14:textId="23D1149D" w:rsidR="000A4732" w:rsidRPr="006D1A06" w:rsidRDefault="000A4732" w:rsidP="000A4732">
      <w:pPr>
        <w:spacing w:line="276" w:lineRule="auto"/>
        <w:jc w:val="both"/>
        <w:rPr>
          <w:rFonts w:ascii="Arial" w:hAnsi="Arial" w:cs="Arial"/>
          <w:i/>
          <w:iCs/>
          <w:lang w:val="mn-MN"/>
        </w:rPr>
      </w:pPr>
      <w:r w:rsidRPr="006D1A06">
        <w:rPr>
          <w:rFonts w:ascii="Arial" w:hAnsi="Arial" w:cs="Arial"/>
          <w:i/>
          <w:iCs/>
          <w:lang w:val="mn-MN"/>
        </w:rPr>
        <w:t>ЭХХШтХ-д оруулах нэмэлт зохицуулалт:</w:t>
      </w:r>
    </w:p>
    <w:p w14:paraId="23E610BD" w14:textId="13581CDA" w:rsidR="00A72565" w:rsidRPr="006D1A06" w:rsidRDefault="007925D7" w:rsidP="00175A39">
      <w:pPr>
        <w:spacing w:line="276" w:lineRule="auto"/>
        <w:ind w:firstLine="720"/>
        <w:jc w:val="both"/>
        <w:rPr>
          <w:rFonts w:ascii="Arial" w:hAnsi="Arial" w:cs="Arial"/>
          <w:lang w:val="mn-MN"/>
        </w:rPr>
      </w:pPr>
      <w:r w:rsidRPr="006D1A06">
        <w:rPr>
          <w:rFonts w:ascii="Arial" w:hAnsi="Arial" w:cs="Arial"/>
          <w:lang w:val="mn-MN"/>
        </w:rPr>
        <w:t>Х</w:t>
      </w:r>
      <w:r w:rsidR="00A72565" w:rsidRPr="006D1A06">
        <w:rPr>
          <w:rFonts w:ascii="Arial" w:hAnsi="Arial" w:cs="Arial"/>
          <w:lang w:val="mn-MN"/>
        </w:rPr>
        <w:t>уулийн төсөл нь Эрүүгийн хэрэг хянан шийдвэрлэх тухай хуулийн 14.4 болон 26.1 дүгээр зүйлд нэмэлт</w:t>
      </w:r>
      <w:r w:rsidR="00945A31" w:rsidRPr="006D1A06">
        <w:rPr>
          <w:rFonts w:ascii="Arial" w:hAnsi="Arial" w:cs="Arial"/>
          <w:lang w:val="mn-MN"/>
        </w:rPr>
        <w:t xml:space="preserve"> </w:t>
      </w:r>
      <w:r w:rsidR="00A72565" w:rsidRPr="006D1A06">
        <w:rPr>
          <w:rFonts w:ascii="Arial" w:hAnsi="Arial" w:cs="Arial"/>
          <w:lang w:val="mn-MN"/>
        </w:rPr>
        <w:t>оруулах замаар хуулийн этгээдийн тодорхой төрлийн үйл ажиллагааг түдгэлзүүлэх таслан сэргийлэх арга хэмжээ</w:t>
      </w:r>
      <w:r w:rsidR="00DE70EA" w:rsidRPr="006D1A06">
        <w:rPr>
          <w:rFonts w:ascii="Arial" w:hAnsi="Arial" w:cs="Arial"/>
          <w:lang w:val="mn-MN"/>
        </w:rPr>
        <w:t xml:space="preserve"> болон хуулийн этгээдийн </w:t>
      </w:r>
      <w:r w:rsidR="00A72565" w:rsidRPr="006D1A06">
        <w:rPr>
          <w:rFonts w:ascii="Arial" w:hAnsi="Arial" w:cs="Arial"/>
          <w:lang w:val="mn-MN"/>
        </w:rPr>
        <w:t>хөрөнгийн шилжилт хөдөлгөөнийг хязгаарлах ажиллагаа</w:t>
      </w:r>
      <w:r w:rsidR="00DE70EA" w:rsidRPr="006D1A06">
        <w:rPr>
          <w:rFonts w:ascii="Arial" w:hAnsi="Arial" w:cs="Arial"/>
          <w:lang w:val="mn-MN"/>
        </w:rPr>
        <w:t xml:space="preserve">ны журмыг </w:t>
      </w:r>
      <w:r w:rsidR="00A72565" w:rsidRPr="006D1A06">
        <w:rPr>
          <w:rFonts w:ascii="Arial" w:hAnsi="Arial" w:cs="Arial"/>
          <w:lang w:val="mn-MN"/>
        </w:rPr>
        <w:t>нарийвчлан зохицуулж байна.</w:t>
      </w:r>
    </w:p>
    <w:p w14:paraId="780418BF" w14:textId="12B4EF7F" w:rsidR="00A72565" w:rsidRPr="006D1A06" w:rsidRDefault="00A72565" w:rsidP="00DE70EA">
      <w:pPr>
        <w:spacing w:line="276" w:lineRule="auto"/>
        <w:jc w:val="both"/>
        <w:rPr>
          <w:rFonts w:ascii="Arial" w:hAnsi="Arial" w:cs="Arial"/>
          <w:color w:val="000000" w:themeColor="text1"/>
          <w:lang w:val="mn-MN"/>
        </w:rPr>
      </w:pPr>
      <w:r w:rsidRPr="006D1A06">
        <w:rPr>
          <w:rFonts w:ascii="Arial" w:hAnsi="Arial" w:cs="Arial"/>
          <w:lang w:val="mn-MN"/>
        </w:rPr>
        <w:t xml:space="preserve">Энэхүү зохицуулалтад нийцүүлэн </w:t>
      </w:r>
      <w:r w:rsidR="00A84DCD" w:rsidRPr="006D1A06">
        <w:rPr>
          <w:rFonts w:ascii="Arial" w:hAnsi="Arial" w:cs="Arial"/>
          <w:lang w:val="mn-MN"/>
        </w:rPr>
        <w:t>ЭХХШтХ-д</w:t>
      </w:r>
      <w:r w:rsidR="001B592A" w:rsidRPr="006D1A06">
        <w:rPr>
          <w:rFonts w:ascii="Arial" w:hAnsi="Arial" w:cs="Arial"/>
          <w:lang w:val="mn-MN"/>
        </w:rPr>
        <w:t xml:space="preserve"> </w:t>
      </w:r>
      <w:r w:rsidR="00A84DCD" w:rsidRPr="006D1A06">
        <w:rPr>
          <w:rFonts w:ascii="Arial" w:hAnsi="Arial" w:cs="Arial"/>
          <w:lang w:val="mn-MN"/>
        </w:rPr>
        <w:t xml:space="preserve">дараах </w:t>
      </w:r>
      <w:r w:rsidR="001B592A" w:rsidRPr="006D1A06">
        <w:rPr>
          <w:rFonts w:ascii="Arial" w:hAnsi="Arial" w:cs="Arial"/>
          <w:lang w:val="mn-MN"/>
        </w:rPr>
        <w:t>нэмэл</w:t>
      </w:r>
      <w:r w:rsidR="00A84DCD" w:rsidRPr="006D1A06">
        <w:rPr>
          <w:rFonts w:ascii="Arial" w:hAnsi="Arial" w:cs="Arial"/>
          <w:lang w:val="mn-MN"/>
        </w:rPr>
        <w:t>тийг оруулна:</w:t>
      </w:r>
      <w:r w:rsidR="001B592A" w:rsidRPr="006D1A06">
        <w:rPr>
          <w:rFonts w:ascii="Arial" w:hAnsi="Arial" w:cs="Arial"/>
          <w:lang w:val="mn-MN"/>
        </w:rPr>
        <w:t xml:space="preserve"> </w:t>
      </w:r>
      <w:r w:rsidRPr="006D1A06">
        <w:rPr>
          <w:rFonts w:ascii="Arial" w:hAnsi="Arial" w:cs="Arial"/>
          <w:color w:val="000000" w:themeColor="text1"/>
          <w:lang w:val="mn-MN"/>
        </w:rPr>
        <w:t xml:space="preserve">  </w:t>
      </w:r>
    </w:p>
    <w:tbl>
      <w:tblPr>
        <w:tblStyle w:val="TableGrid"/>
        <w:tblW w:w="9016" w:type="dxa"/>
        <w:tblLook w:val="04A0" w:firstRow="1" w:lastRow="0" w:firstColumn="1" w:lastColumn="0" w:noHBand="0" w:noVBand="1"/>
      </w:tblPr>
      <w:tblGrid>
        <w:gridCol w:w="1411"/>
        <w:gridCol w:w="7605"/>
      </w:tblGrid>
      <w:tr w:rsidR="0012063F" w:rsidRPr="006D1A06" w14:paraId="75C17447" w14:textId="77777777" w:rsidTr="00874AF3">
        <w:tc>
          <w:tcPr>
            <w:tcW w:w="9016" w:type="dxa"/>
            <w:gridSpan w:val="2"/>
          </w:tcPr>
          <w:p w14:paraId="060B2CC7" w14:textId="2B5AE177" w:rsidR="0012063F" w:rsidRPr="006D1A06" w:rsidRDefault="0012063F" w:rsidP="00175A39">
            <w:pPr>
              <w:spacing w:after="240"/>
              <w:jc w:val="both"/>
              <w:rPr>
                <w:rFonts w:ascii="Arial" w:hAnsi="Arial" w:cs="Arial"/>
                <w:b/>
                <w:bCs/>
                <w:color w:val="000000" w:themeColor="text1"/>
                <w:sz w:val="22"/>
                <w:szCs w:val="22"/>
                <w:lang w:val="mn-MN"/>
              </w:rPr>
            </w:pPr>
            <w:r w:rsidRPr="006D1A06">
              <w:rPr>
                <w:rFonts w:ascii="Arial" w:hAnsi="Arial" w:cs="Arial"/>
                <w:b/>
                <w:bCs/>
                <w:color w:val="000000" w:themeColor="text1"/>
                <w:sz w:val="22"/>
                <w:szCs w:val="22"/>
                <w:lang w:val="mn-MN"/>
              </w:rPr>
              <w:t>14.4 дүгээр зүйл.</w:t>
            </w:r>
            <w:r w:rsidR="00FC5C7B" w:rsidRPr="006D1A06">
              <w:rPr>
                <w:rFonts w:ascii="Arial" w:hAnsi="Arial" w:cs="Arial"/>
                <w:b/>
                <w:bCs/>
                <w:color w:val="000000" w:themeColor="text1"/>
                <w:sz w:val="22"/>
                <w:szCs w:val="22"/>
                <w:lang w:val="mn-MN"/>
              </w:rPr>
              <w:t xml:space="preserve"> Тодорхой үйл ажиллагаа явуулах, албан үүргээ биелүүлэхийг түдгэлзүүлэх таслан сэргийлэх арга хэмжээ</w:t>
            </w:r>
          </w:p>
        </w:tc>
      </w:tr>
      <w:tr w:rsidR="00FC5C7B" w:rsidRPr="006D1A06" w14:paraId="32C3FD86" w14:textId="77777777" w:rsidTr="00874AF3">
        <w:trPr>
          <w:trHeight w:val="332"/>
        </w:trPr>
        <w:tc>
          <w:tcPr>
            <w:tcW w:w="1411" w:type="dxa"/>
          </w:tcPr>
          <w:p w14:paraId="4836B29B" w14:textId="194E392B" w:rsidR="00FC5C7B" w:rsidRPr="006D1A06" w:rsidRDefault="00FC5C7B" w:rsidP="00175A39">
            <w:pPr>
              <w:ind w:right="49"/>
              <w:jc w:val="center"/>
              <w:rPr>
                <w:rFonts w:ascii="Arial" w:hAnsi="Arial" w:cs="Arial"/>
                <w:b/>
                <w:bCs/>
                <w:color w:val="000000" w:themeColor="text1"/>
                <w:sz w:val="22"/>
                <w:szCs w:val="22"/>
                <w:lang w:val="mn-MN"/>
              </w:rPr>
            </w:pPr>
            <w:r w:rsidRPr="006D1A06">
              <w:rPr>
                <w:rFonts w:ascii="Arial" w:hAnsi="Arial" w:cs="Arial"/>
                <w:b/>
                <w:bCs/>
                <w:color w:val="000000" w:themeColor="text1"/>
                <w:sz w:val="22"/>
                <w:szCs w:val="22"/>
                <w:lang w:val="mn-MN"/>
              </w:rPr>
              <w:t>Заалт</w:t>
            </w:r>
          </w:p>
        </w:tc>
        <w:tc>
          <w:tcPr>
            <w:tcW w:w="7605" w:type="dxa"/>
          </w:tcPr>
          <w:p w14:paraId="756EB288" w14:textId="279C106D" w:rsidR="00FC5C7B" w:rsidRPr="006D1A06" w:rsidRDefault="00FC5C7B" w:rsidP="00175A39">
            <w:pPr>
              <w:spacing w:after="240"/>
              <w:jc w:val="both"/>
              <w:rPr>
                <w:rFonts w:ascii="Arial" w:hAnsi="Arial" w:cs="Arial"/>
                <w:b/>
                <w:bCs/>
                <w:color w:val="000000" w:themeColor="text1"/>
                <w:sz w:val="22"/>
                <w:szCs w:val="22"/>
                <w:lang w:val="mn-MN"/>
              </w:rPr>
            </w:pPr>
            <w:r w:rsidRPr="006D1A06">
              <w:rPr>
                <w:rFonts w:ascii="Arial" w:hAnsi="Arial" w:cs="Arial"/>
                <w:b/>
                <w:bCs/>
                <w:color w:val="000000" w:themeColor="text1"/>
                <w:sz w:val="22"/>
                <w:szCs w:val="22"/>
                <w:lang w:val="mn-MN"/>
              </w:rPr>
              <w:t>Нэмэлт</w:t>
            </w:r>
          </w:p>
        </w:tc>
      </w:tr>
      <w:tr w:rsidR="0012063F" w:rsidRPr="006D1A06" w14:paraId="5FAD2A29" w14:textId="6A7FA27E" w:rsidTr="00874AF3">
        <w:tc>
          <w:tcPr>
            <w:tcW w:w="1411" w:type="dxa"/>
            <w:vMerge w:val="restart"/>
          </w:tcPr>
          <w:p w14:paraId="7B6D2307" w14:textId="506C2519" w:rsidR="0012063F" w:rsidRPr="006D1A06" w:rsidRDefault="0012063F" w:rsidP="00175A39">
            <w:pPr>
              <w:ind w:right="49"/>
              <w:jc w:val="center"/>
              <w:rPr>
                <w:rFonts w:ascii="Arial" w:hAnsi="Arial" w:cs="Arial"/>
                <w:b/>
                <w:bCs/>
                <w:color w:val="000000" w:themeColor="text1"/>
                <w:sz w:val="22"/>
                <w:szCs w:val="22"/>
                <w:lang w:val="mn-MN"/>
              </w:rPr>
            </w:pPr>
            <w:r w:rsidRPr="006D1A06">
              <w:rPr>
                <w:rFonts w:ascii="Arial" w:hAnsi="Arial" w:cs="Arial"/>
                <w:b/>
                <w:bCs/>
                <w:color w:val="000000" w:themeColor="text1"/>
                <w:sz w:val="22"/>
                <w:szCs w:val="22"/>
                <w:lang w:val="mn-MN"/>
              </w:rPr>
              <w:t>14.4 дүгээр зүйлийн 6 дах хэсэг</w:t>
            </w:r>
          </w:p>
          <w:p w14:paraId="5BA056E1" w14:textId="77777777" w:rsidR="0012063F" w:rsidRPr="006D1A06" w:rsidRDefault="0012063F" w:rsidP="00175A39">
            <w:pPr>
              <w:ind w:right="49"/>
              <w:jc w:val="center"/>
              <w:rPr>
                <w:rFonts w:ascii="Arial" w:hAnsi="Arial" w:cs="Arial"/>
                <w:b/>
                <w:bCs/>
                <w:color w:val="000000" w:themeColor="text1"/>
                <w:sz w:val="22"/>
                <w:szCs w:val="22"/>
                <w:lang w:val="mn-MN"/>
              </w:rPr>
            </w:pPr>
          </w:p>
        </w:tc>
        <w:tc>
          <w:tcPr>
            <w:tcW w:w="7605" w:type="dxa"/>
          </w:tcPr>
          <w:p w14:paraId="1C1D98F3" w14:textId="77777777" w:rsidR="0012063F" w:rsidRPr="006D1A06" w:rsidRDefault="0012063F" w:rsidP="00175A39">
            <w:pPr>
              <w:spacing w:after="240"/>
              <w:jc w:val="both"/>
              <w:rPr>
                <w:rFonts w:ascii="Arial" w:hAnsi="Arial" w:cs="Arial"/>
                <w:color w:val="000000" w:themeColor="text1"/>
                <w:sz w:val="22"/>
                <w:szCs w:val="22"/>
                <w:lang w:val="mn-MN"/>
              </w:rPr>
            </w:pPr>
            <w:r w:rsidRPr="006D1A06">
              <w:rPr>
                <w:rFonts w:ascii="Arial" w:hAnsi="Arial" w:cs="Arial"/>
                <w:color w:val="000000" w:themeColor="text1"/>
                <w:sz w:val="22"/>
                <w:szCs w:val="22"/>
                <w:lang w:val="mn-MN"/>
              </w:rPr>
              <w:lastRenderedPageBreak/>
              <w:t>“6.</w:t>
            </w:r>
            <w:r w:rsidRPr="006D1A06">
              <w:rPr>
                <w:rFonts w:ascii="Arial" w:eastAsia="Times New Roman" w:hAnsi="Arial" w:cs="Arial"/>
                <w:color w:val="000000" w:themeColor="text1"/>
                <w:sz w:val="22"/>
                <w:szCs w:val="22"/>
                <w:lang w:val="mn-MN"/>
              </w:rPr>
              <w:t>Шүүх хуулийн этгээдийн тодорхой төрлийн үйл ажиллагаа явуулах эрхийг түдгэлзүүлэх таслан сэргийлэх арга хэмжээг авах эсэхийг дараах нөхцөл байдлыг харгалзан шийдвэрлэнэ.</w:t>
            </w:r>
            <w:r w:rsidRPr="006D1A06">
              <w:rPr>
                <w:rFonts w:ascii="Arial" w:hAnsi="Arial" w:cs="Arial"/>
                <w:color w:val="000000" w:themeColor="text1"/>
                <w:sz w:val="22"/>
                <w:szCs w:val="22"/>
                <w:lang w:val="mn-MN"/>
              </w:rPr>
              <w:t>”</w:t>
            </w:r>
          </w:p>
          <w:p w14:paraId="3131D460" w14:textId="77777777" w:rsidR="0012063F" w:rsidRPr="006D1A06" w:rsidRDefault="0012063F" w:rsidP="00175A39">
            <w:pPr>
              <w:ind w:right="49"/>
              <w:jc w:val="center"/>
              <w:rPr>
                <w:rFonts w:ascii="Arial" w:hAnsi="Arial" w:cs="Arial"/>
                <w:color w:val="000000" w:themeColor="text1"/>
                <w:sz w:val="22"/>
                <w:szCs w:val="22"/>
                <w:lang w:val="mn-MN"/>
              </w:rPr>
            </w:pPr>
          </w:p>
        </w:tc>
      </w:tr>
      <w:tr w:rsidR="0012063F" w:rsidRPr="006D1A06" w14:paraId="19392A25" w14:textId="672E40CD" w:rsidTr="00874AF3">
        <w:tc>
          <w:tcPr>
            <w:tcW w:w="1411" w:type="dxa"/>
            <w:vMerge/>
          </w:tcPr>
          <w:p w14:paraId="11374515" w14:textId="77777777" w:rsidR="0012063F" w:rsidRPr="006D1A06" w:rsidRDefault="0012063F" w:rsidP="00175A39">
            <w:pPr>
              <w:ind w:right="49"/>
              <w:jc w:val="center"/>
              <w:rPr>
                <w:rFonts w:ascii="Arial" w:hAnsi="Arial" w:cs="Arial"/>
                <w:b/>
                <w:bCs/>
                <w:color w:val="000000" w:themeColor="text1"/>
                <w:sz w:val="22"/>
                <w:szCs w:val="22"/>
                <w:lang w:val="mn-MN"/>
              </w:rPr>
            </w:pPr>
          </w:p>
        </w:tc>
        <w:tc>
          <w:tcPr>
            <w:tcW w:w="7605" w:type="dxa"/>
          </w:tcPr>
          <w:p w14:paraId="19FE02C1" w14:textId="77777777" w:rsidR="0012063F" w:rsidRPr="006D1A06" w:rsidRDefault="0012063F" w:rsidP="00175A39">
            <w:pPr>
              <w:pStyle w:val="NormalWeb"/>
              <w:shd w:val="clear" w:color="auto" w:fill="FFFFFF"/>
              <w:spacing w:before="0" w:beforeAutospacing="0" w:after="240" w:afterAutospacing="0"/>
              <w:jc w:val="both"/>
              <w:rPr>
                <w:rFonts w:ascii="Arial" w:hAnsi="Arial" w:cs="Arial"/>
                <w:color w:val="000000" w:themeColor="text1"/>
                <w:sz w:val="22"/>
                <w:szCs w:val="22"/>
                <w:lang w:val="mn-MN"/>
              </w:rPr>
            </w:pPr>
            <w:r w:rsidRPr="006D1A06">
              <w:rPr>
                <w:rFonts w:ascii="Arial" w:hAnsi="Arial" w:cs="Arial"/>
                <w:color w:val="000000" w:themeColor="text1"/>
                <w:sz w:val="22"/>
                <w:szCs w:val="22"/>
                <w:lang w:val="mn-MN"/>
              </w:rPr>
              <w:t>“6.1.Хуулийн этгээдийн тодорхой төрлийн үйл ажиллагаа явуулах эрхийг түдгэлзүүлэх нь бусдын амь нас, эрүүл мэнд, эд хөрөнгөд ноцтой, бусад хуулийн этгээд, эсхүл нийтийн ашиг сонирхолд илт хохирол учруулах эсэх;”</w:t>
            </w:r>
          </w:p>
          <w:p w14:paraId="1061F679" w14:textId="77777777" w:rsidR="0012063F" w:rsidRPr="006D1A06" w:rsidRDefault="0012063F" w:rsidP="00175A39">
            <w:pPr>
              <w:ind w:right="49"/>
              <w:jc w:val="center"/>
              <w:rPr>
                <w:rFonts w:ascii="Arial" w:hAnsi="Arial" w:cs="Arial"/>
                <w:color w:val="000000" w:themeColor="text1"/>
                <w:sz w:val="22"/>
                <w:szCs w:val="22"/>
                <w:lang w:val="mn-MN"/>
              </w:rPr>
            </w:pPr>
          </w:p>
        </w:tc>
      </w:tr>
      <w:tr w:rsidR="0012063F" w:rsidRPr="006D1A06" w14:paraId="04001BA1" w14:textId="5E50A8E2" w:rsidTr="00874AF3">
        <w:tc>
          <w:tcPr>
            <w:tcW w:w="1411" w:type="dxa"/>
            <w:vMerge/>
          </w:tcPr>
          <w:p w14:paraId="41128B08" w14:textId="77777777" w:rsidR="0012063F" w:rsidRPr="006D1A06" w:rsidRDefault="0012063F" w:rsidP="00175A39">
            <w:pPr>
              <w:ind w:right="49"/>
              <w:jc w:val="center"/>
              <w:rPr>
                <w:rFonts w:ascii="Arial" w:hAnsi="Arial" w:cs="Arial"/>
                <w:b/>
                <w:bCs/>
                <w:color w:val="000000" w:themeColor="text1"/>
                <w:sz w:val="22"/>
                <w:szCs w:val="22"/>
                <w:lang w:val="mn-MN"/>
              </w:rPr>
            </w:pPr>
          </w:p>
        </w:tc>
        <w:tc>
          <w:tcPr>
            <w:tcW w:w="7605" w:type="dxa"/>
          </w:tcPr>
          <w:p w14:paraId="15DF7ADB" w14:textId="77777777" w:rsidR="0012063F" w:rsidRPr="006D1A06" w:rsidRDefault="0012063F" w:rsidP="00175A39">
            <w:pPr>
              <w:spacing w:after="240"/>
              <w:jc w:val="both"/>
              <w:rPr>
                <w:rFonts w:ascii="Arial" w:hAnsi="Arial" w:cs="Arial"/>
                <w:color w:val="000000" w:themeColor="text1"/>
                <w:sz w:val="22"/>
                <w:szCs w:val="22"/>
                <w:lang w:val="mn-MN"/>
              </w:rPr>
            </w:pPr>
            <w:r w:rsidRPr="006D1A06">
              <w:rPr>
                <w:rFonts w:ascii="Arial" w:hAnsi="Arial" w:cs="Arial"/>
                <w:color w:val="000000" w:themeColor="text1"/>
                <w:sz w:val="22"/>
                <w:szCs w:val="22"/>
                <w:lang w:val="mn-MN"/>
              </w:rPr>
              <w:t>“6.2.Хуулийн этгээдийн тодорхой төрлийн үйл ажиллагаа явуулах эрхийг түдгэлзүүлэх нь тухайн хуулийн этгээдийн үйлдвэрлэл, үйлчилгээний хэвийн үйл ажиллагааг алдагдуулах, орлого олох эх үүсвэрийг хаах, түүнчлэн түүхий эд, бүтээгдэхүүн түргэн муудаж, чанараа алдах зэрэг үр дагаварт хүргэх эсэх;”</w:t>
            </w:r>
          </w:p>
          <w:p w14:paraId="7F6C9795" w14:textId="77777777" w:rsidR="0012063F" w:rsidRPr="006D1A06" w:rsidRDefault="0012063F" w:rsidP="00175A39">
            <w:pPr>
              <w:ind w:right="49"/>
              <w:jc w:val="center"/>
              <w:rPr>
                <w:rFonts w:ascii="Arial" w:hAnsi="Arial" w:cs="Arial"/>
                <w:color w:val="000000" w:themeColor="text1"/>
                <w:sz w:val="22"/>
                <w:szCs w:val="22"/>
                <w:lang w:val="mn-MN"/>
              </w:rPr>
            </w:pPr>
          </w:p>
        </w:tc>
      </w:tr>
      <w:tr w:rsidR="00CA4B66" w:rsidRPr="006D1A06" w14:paraId="2AD12AEF" w14:textId="5D13C22F" w:rsidTr="00874AF3">
        <w:tc>
          <w:tcPr>
            <w:tcW w:w="1411" w:type="dxa"/>
          </w:tcPr>
          <w:p w14:paraId="6E84A76B" w14:textId="07C94BC3" w:rsidR="00CA4B66" w:rsidRPr="006D1A06" w:rsidRDefault="00CA4B66" w:rsidP="00175A39">
            <w:pPr>
              <w:spacing w:after="240"/>
              <w:jc w:val="center"/>
              <w:rPr>
                <w:rFonts w:ascii="Arial" w:hAnsi="Arial" w:cs="Arial"/>
                <w:b/>
                <w:bCs/>
                <w:color w:val="000000" w:themeColor="text1"/>
                <w:sz w:val="22"/>
                <w:szCs w:val="22"/>
                <w:lang w:val="mn-MN"/>
              </w:rPr>
            </w:pPr>
            <w:r w:rsidRPr="006D1A06">
              <w:rPr>
                <w:rFonts w:ascii="Arial" w:hAnsi="Arial" w:cs="Arial"/>
                <w:b/>
                <w:bCs/>
                <w:color w:val="000000" w:themeColor="text1"/>
                <w:sz w:val="22"/>
                <w:szCs w:val="22"/>
                <w:lang w:val="mn-MN"/>
              </w:rPr>
              <w:t>14.4 дүгээр зүйлийн 7 дах хэсэг</w:t>
            </w:r>
          </w:p>
          <w:p w14:paraId="1330A391" w14:textId="77777777" w:rsidR="00CA4B66" w:rsidRPr="006D1A06" w:rsidRDefault="00CA4B66" w:rsidP="00175A39">
            <w:pPr>
              <w:ind w:right="49"/>
              <w:jc w:val="center"/>
              <w:rPr>
                <w:rFonts w:ascii="Arial" w:hAnsi="Arial" w:cs="Arial"/>
                <w:b/>
                <w:bCs/>
                <w:color w:val="000000" w:themeColor="text1"/>
                <w:sz w:val="22"/>
                <w:szCs w:val="22"/>
                <w:lang w:val="mn-MN"/>
              </w:rPr>
            </w:pPr>
          </w:p>
        </w:tc>
        <w:tc>
          <w:tcPr>
            <w:tcW w:w="7605" w:type="dxa"/>
          </w:tcPr>
          <w:p w14:paraId="1D1CD0E9" w14:textId="77777777" w:rsidR="00CA4B66" w:rsidRPr="006D1A06" w:rsidRDefault="00CA4B66" w:rsidP="00175A39">
            <w:pPr>
              <w:spacing w:after="240"/>
              <w:jc w:val="both"/>
              <w:rPr>
                <w:rFonts w:ascii="Arial" w:hAnsi="Arial" w:cs="Arial"/>
                <w:color w:val="000000" w:themeColor="text1"/>
                <w:sz w:val="22"/>
                <w:szCs w:val="22"/>
                <w:lang w:val="mn-MN"/>
              </w:rPr>
            </w:pPr>
            <w:r w:rsidRPr="006D1A06">
              <w:rPr>
                <w:rFonts w:ascii="Arial" w:hAnsi="Arial" w:cs="Arial"/>
                <w:color w:val="000000" w:themeColor="text1"/>
                <w:sz w:val="22"/>
                <w:szCs w:val="22"/>
                <w:lang w:val="mn-MN"/>
              </w:rPr>
              <w:t>“7.Хуулийн этгээдийн тодорхой төрлийн үйл ажиллагаа явуулах эрхийг түдгэлзүүлэх таслан сэргийлэх арга хэмжээг авах үндсэн хугацаа 1 сар хүртэл байна.”</w:t>
            </w:r>
          </w:p>
          <w:p w14:paraId="5A0D788A" w14:textId="77777777" w:rsidR="00CA4B66" w:rsidRPr="006D1A06" w:rsidRDefault="00CA4B66" w:rsidP="00175A39">
            <w:pPr>
              <w:spacing w:after="240"/>
              <w:jc w:val="both"/>
              <w:rPr>
                <w:rFonts w:ascii="Arial" w:hAnsi="Arial" w:cs="Arial"/>
                <w:color w:val="000000" w:themeColor="text1"/>
                <w:sz w:val="22"/>
                <w:szCs w:val="22"/>
                <w:lang w:val="mn-MN"/>
              </w:rPr>
            </w:pPr>
          </w:p>
        </w:tc>
      </w:tr>
      <w:tr w:rsidR="00CA4B66" w:rsidRPr="006D1A06" w14:paraId="17244EED" w14:textId="51D61C73" w:rsidTr="00874AF3">
        <w:tc>
          <w:tcPr>
            <w:tcW w:w="1411" w:type="dxa"/>
          </w:tcPr>
          <w:p w14:paraId="43519938" w14:textId="217E5D2D" w:rsidR="00CA4B66" w:rsidRPr="006D1A06" w:rsidRDefault="00CA4B66" w:rsidP="00175A39">
            <w:pPr>
              <w:spacing w:after="240"/>
              <w:jc w:val="center"/>
              <w:rPr>
                <w:rFonts w:ascii="Arial" w:hAnsi="Arial" w:cs="Arial"/>
                <w:b/>
                <w:bCs/>
                <w:color w:val="000000" w:themeColor="text1"/>
                <w:sz w:val="22"/>
                <w:szCs w:val="22"/>
                <w:lang w:val="mn-MN"/>
              </w:rPr>
            </w:pPr>
            <w:r w:rsidRPr="006D1A06">
              <w:rPr>
                <w:rFonts w:ascii="Arial" w:hAnsi="Arial" w:cs="Arial"/>
                <w:b/>
                <w:bCs/>
                <w:color w:val="000000" w:themeColor="text1"/>
                <w:sz w:val="22"/>
                <w:szCs w:val="22"/>
                <w:lang w:val="mn-MN"/>
              </w:rPr>
              <w:t>14.4 дүгээр зүйлийн 8 дах хэсэг</w:t>
            </w:r>
          </w:p>
          <w:p w14:paraId="3568E40C" w14:textId="77777777" w:rsidR="00CA4B66" w:rsidRPr="006D1A06" w:rsidRDefault="00CA4B66" w:rsidP="00175A39">
            <w:pPr>
              <w:ind w:right="49"/>
              <w:jc w:val="center"/>
              <w:rPr>
                <w:rFonts w:ascii="Arial" w:hAnsi="Arial" w:cs="Arial"/>
                <w:b/>
                <w:bCs/>
                <w:color w:val="000000" w:themeColor="text1"/>
                <w:sz w:val="22"/>
                <w:szCs w:val="22"/>
                <w:lang w:val="mn-MN"/>
              </w:rPr>
            </w:pPr>
          </w:p>
        </w:tc>
        <w:tc>
          <w:tcPr>
            <w:tcW w:w="7605" w:type="dxa"/>
          </w:tcPr>
          <w:p w14:paraId="51A417BC" w14:textId="77777777" w:rsidR="00CA4B66" w:rsidRPr="006D1A06" w:rsidRDefault="00CA4B66" w:rsidP="00175A39">
            <w:pPr>
              <w:spacing w:after="240"/>
              <w:jc w:val="both"/>
              <w:rPr>
                <w:rFonts w:ascii="Arial" w:eastAsia="Times New Roman" w:hAnsi="Arial" w:cs="Arial"/>
                <w:color w:val="000000" w:themeColor="text1"/>
                <w:sz w:val="22"/>
                <w:szCs w:val="22"/>
                <w:lang w:val="mn-MN"/>
              </w:rPr>
            </w:pPr>
            <w:r w:rsidRPr="006D1A06">
              <w:rPr>
                <w:rFonts w:ascii="Arial" w:eastAsia="Times New Roman" w:hAnsi="Arial" w:cs="Arial"/>
                <w:color w:val="000000" w:themeColor="text1"/>
                <w:sz w:val="22"/>
                <w:szCs w:val="22"/>
                <w:lang w:val="mn-MN"/>
              </w:rPr>
              <w:t>“8.Шүүх хуулийн этгээдийн тодорхой төрлийн үйл ажиллагаа явуулах эрхийг түдгэлзүүлэх таслан сэргийлэх арга хэмжээ авсан үндэслэл арилаагүй гэж үзвэл хуулийн этгээдэд авсан тухайн таслан сэргийлэх арга хэмжээний хугацааг тухай бүр 1 сар хүртэл хугацаагаар сунгаж болно.”</w:t>
            </w:r>
          </w:p>
          <w:p w14:paraId="1E0E4B36" w14:textId="77777777" w:rsidR="00CA4B66" w:rsidRPr="006D1A06" w:rsidRDefault="00CA4B66" w:rsidP="00175A39">
            <w:pPr>
              <w:spacing w:after="240"/>
              <w:jc w:val="both"/>
              <w:rPr>
                <w:rFonts w:ascii="Arial" w:eastAsia="Times New Roman" w:hAnsi="Arial" w:cs="Arial"/>
                <w:color w:val="000000" w:themeColor="text1"/>
                <w:sz w:val="22"/>
                <w:szCs w:val="22"/>
                <w:lang w:val="mn-MN"/>
              </w:rPr>
            </w:pPr>
          </w:p>
        </w:tc>
      </w:tr>
      <w:tr w:rsidR="00CA4B66" w:rsidRPr="006D1A06" w14:paraId="7815D096" w14:textId="25680B85" w:rsidTr="00874AF3">
        <w:tc>
          <w:tcPr>
            <w:tcW w:w="1411" w:type="dxa"/>
          </w:tcPr>
          <w:p w14:paraId="455BF316" w14:textId="299A5A13" w:rsidR="00CA4B66" w:rsidRPr="006D1A06" w:rsidRDefault="00CA4B66" w:rsidP="00175A39">
            <w:pPr>
              <w:ind w:right="49"/>
              <w:jc w:val="center"/>
              <w:rPr>
                <w:rFonts w:ascii="Arial" w:hAnsi="Arial" w:cs="Arial"/>
                <w:b/>
                <w:bCs/>
                <w:color w:val="000000" w:themeColor="text1"/>
                <w:sz w:val="22"/>
                <w:szCs w:val="22"/>
                <w:lang w:val="mn-MN"/>
              </w:rPr>
            </w:pPr>
            <w:r w:rsidRPr="006D1A06">
              <w:rPr>
                <w:rFonts w:ascii="Arial" w:hAnsi="Arial" w:cs="Arial"/>
                <w:b/>
                <w:bCs/>
                <w:color w:val="000000" w:themeColor="text1"/>
                <w:sz w:val="22"/>
                <w:szCs w:val="22"/>
                <w:lang w:val="mn-MN"/>
              </w:rPr>
              <w:t>14.4 дүгээр зүйлийн 9 дэх хэсэг</w:t>
            </w:r>
          </w:p>
        </w:tc>
        <w:tc>
          <w:tcPr>
            <w:tcW w:w="7605" w:type="dxa"/>
          </w:tcPr>
          <w:p w14:paraId="238EA9EF" w14:textId="269122F2" w:rsidR="00CA4B66" w:rsidRPr="006D1A06" w:rsidRDefault="00CA4B66" w:rsidP="00175A39">
            <w:pPr>
              <w:ind w:right="49"/>
              <w:jc w:val="both"/>
              <w:rPr>
                <w:rFonts w:ascii="Arial" w:eastAsia="Times New Roman" w:hAnsi="Arial" w:cs="Arial"/>
                <w:color w:val="000000" w:themeColor="text1"/>
                <w:sz w:val="22"/>
                <w:szCs w:val="22"/>
                <w:lang w:val="mn-MN"/>
              </w:rPr>
            </w:pPr>
            <w:r w:rsidRPr="006D1A06">
              <w:rPr>
                <w:rFonts w:ascii="Arial" w:eastAsia="Times New Roman" w:hAnsi="Arial" w:cs="Arial"/>
                <w:color w:val="000000" w:themeColor="text1"/>
                <w:sz w:val="22"/>
                <w:szCs w:val="22"/>
                <w:lang w:val="mn-MN"/>
              </w:rPr>
              <w:t>“9.Хуулийн этгээдийн тодорхой төрлийн үйл ажиллагаа явуулах эрхийг түдгэлзүүлэх таслан сэргийлэх арга хэмжээ авах нийт хугацаа 6 сараас хэтэрч болохгүй.”</w:t>
            </w:r>
          </w:p>
        </w:tc>
      </w:tr>
      <w:tr w:rsidR="00CA4B66" w:rsidRPr="006D1A06" w14:paraId="591C4436" w14:textId="331A0DA4" w:rsidTr="00874AF3">
        <w:tc>
          <w:tcPr>
            <w:tcW w:w="1411" w:type="dxa"/>
          </w:tcPr>
          <w:p w14:paraId="6895A139" w14:textId="572B0CE4" w:rsidR="00CA4B66" w:rsidRPr="006D1A06" w:rsidRDefault="00CA4B66" w:rsidP="00175A39">
            <w:pPr>
              <w:ind w:right="49"/>
              <w:jc w:val="center"/>
              <w:rPr>
                <w:rFonts w:ascii="Arial" w:hAnsi="Arial" w:cs="Arial"/>
                <w:b/>
                <w:bCs/>
                <w:color w:val="000000" w:themeColor="text1"/>
                <w:sz w:val="22"/>
                <w:szCs w:val="22"/>
                <w:lang w:val="mn-MN"/>
              </w:rPr>
            </w:pPr>
            <w:r w:rsidRPr="006D1A06">
              <w:rPr>
                <w:rFonts w:ascii="Arial" w:hAnsi="Arial" w:cs="Arial"/>
                <w:b/>
                <w:bCs/>
                <w:color w:val="000000" w:themeColor="text1"/>
                <w:sz w:val="22"/>
                <w:szCs w:val="22"/>
                <w:lang w:val="mn-MN"/>
              </w:rPr>
              <w:t>14.4 дүгээр зүйлийн 10 дах хэсэг</w:t>
            </w:r>
          </w:p>
        </w:tc>
        <w:tc>
          <w:tcPr>
            <w:tcW w:w="7605" w:type="dxa"/>
          </w:tcPr>
          <w:p w14:paraId="098A21ED" w14:textId="6AB6EFEF" w:rsidR="00CA4B66" w:rsidRPr="006D1A06" w:rsidRDefault="00CA4B66" w:rsidP="00175A39">
            <w:pPr>
              <w:ind w:right="49"/>
              <w:jc w:val="both"/>
              <w:rPr>
                <w:rFonts w:ascii="Arial" w:eastAsia="Times New Roman" w:hAnsi="Arial" w:cs="Arial"/>
                <w:color w:val="000000" w:themeColor="text1"/>
                <w:sz w:val="22"/>
                <w:szCs w:val="22"/>
                <w:lang w:val="mn-MN"/>
              </w:rPr>
            </w:pPr>
            <w:r w:rsidRPr="006D1A06">
              <w:rPr>
                <w:rFonts w:ascii="Arial" w:eastAsia="Times New Roman" w:hAnsi="Arial" w:cs="Arial"/>
                <w:color w:val="000000" w:themeColor="text1"/>
                <w:sz w:val="22"/>
                <w:szCs w:val="22"/>
                <w:lang w:val="mn-MN"/>
              </w:rPr>
              <w:t>“10.Мөрдөгч хуулийн этгээдийн тодорхой төрлийн үйл ажиллагаа явуулах эрхийг түдгэлзүүлэх таслан сэргийлэх арга хэмжээг авах хугацааг сунгах тухай саналаа хугацаа дуусахаас 7-оос доошгүй хоногийн өмнө прокурорт хүргүүлэх ба прокурор мөрдөгчийн саналыг үндэслэлтэй гэж үзвэл тухайн таслан сэргийлэх арга хэмжээний хугацааг сунгах тухай саналаа даруй шүүхэд хүргүүлнэ.”</w:t>
            </w:r>
          </w:p>
        </w:tc>
      </w:tr>
      <w:tr w:rsidR="00CA4B66" w:rsidRPr="006D1A06" w14:paraId="671A1727" w14:textId="1344304E" w:rsidTr="00874AF3">
        <w:tc>
          <w:tcPr>
            <w:tcW w:w="1411" w:type="dxa"/>
          </w:tcPr>
          <w:p w14:paraId="232914FF" w14:textId="6FACE71C" w:rsidR="00CA4B66" w:rsidRPr="006D1A06" w:rsidRDefault="00CA4B66" w:rsidP="00175A39">
            <w:pPr>
              <w:ind w:right="49"/>
              <w:jc w:val="center"/>
              <w:rPr>
                <w:rFonts w:ascii="Arial" w:hAnsi="Arial" w:cs="Arial"/>
                <w:b/>
                <w:bCs/>
                <w:color w:val="000000" w:themeColor="text1"/>
                <w:sz w:val="22"/>
                <w:szCs w:val="22"/>
                <w:lang w:val="mn-MN"/>
              </w:rPr>
            </w:pPr>
            <w:r w:rsidRPr="006D1A06">
              <w:rPr>
                <w:rFonts w:ascii="Arial" w:hAnsi="Arial" w:cs="Arial"/>
                <w:b/>
                <w:bCs/>
                <w:color w:val="000000" w:themeColor="text1"/>
                <w:sz w:val="22"/>
                <w:szCs w:val="22"/>
                <w:lang w:val="mn-MN"/>
              </w:rPr>
              <w:t>14.4 дүгээр зүйлийн 11 дэх хэсэг</w:t>
            </w:r>
          </w:p>
        </w:tc>
        <w:tc>
          <w:tcPr>
            <w:tcW w:w="7605" w:type="dxa"/>
          </w:tcPr>
          <w:p w14:paraId="39FDE472" w14:textId="754C9014" w:rsidR="00CA4B66" w:rsidRPr="006D1A06" w:rsidRDefault="00CA4B66" w:rsidP="00175A39">
            <w:pPr>
              <w:ind w:right="49"/>
              <w:jc w:val="both"/>
              <w:rPr>
                <w:rFonts w:ascii="Arial" w:hAnsi="Arial" w:cs="Arial"/>
                <w:color w:val="000000" w:themeColor="text1"/>
                <w:sz w:val="22"/>
                <w:szCs w:val="22"/>
                <w:lang w:val="mn-MN"/>
              </w:rPr>
            </w:pPr>
            <w:r w:rsidRPr="006D1A06">
              <w:rPr>
                <w:rFonts w:ascii="Arial" w:hAnsi="Arial" w:cs="Arial"/>
                <w:color w:val="000000" w:themeColor="text1"/>
                <w:sz w:val="22"/>
                <w:szCs w:val="22"/>
                <w:lang w:val="mn-MN"/>
              </w:rPr>
              <w:t>“11.</w:t>
            </w:r>
            <w:r w:rsidRPr="006D1A06">
              <w:rPr>
                <w:rFonts w:ascii="Arial" w:eastAsia="Times New Roman" w:hAnsi="Arial" w:cs="Arial"/>
                <w:color w:val="000000" w:themeColor="text1"/>
                <w:sz w:val="22"/>
                <w:szCs w:val="22"/>
                <w:lang w:val="mn-MN"/>
              </w:rPr>
              <w:t>Шүүх хуулийн этгээдийн тодорхой төрлийн үйл ажиллагаа явуулах эрхийг түдгэлзүүлэх таслан сэргийлэх арга хэмжээ авах хугацааг сунгах тухай прокурорын саналыг хугацаа дуусахаас 4-өөс доошгүй хоногийн өмнө энэ хуулийн 14.13 дугаар зүйлд зааснаар хянан хэлэлцэж, тухайн таслан сэргийлэх арга хэмжээний хугацааг сунгах, эсхүл сунгахыг татгалзах тухай шийдвэр гаргана.”</w:t>
            </w:r>
          </w:p>
        </w:tc>
      </w:tr>
      <w:tr w:rsidR="00874AF3" w:rsidRPr="006D1A06" w14:paraId="69809020" w14:textId="77777777" w:rsidTr="00874AF3">
        <w:tc>
          <w:tcPr>
            <w:tcW w:w="9016" w:type="dxa"/>
            <w:gridSpan w:val="2"/>
          </w:tcPr>
          <w:p w14:paraId="243013B9" w14:textId="77777777" w:rsidR="00B23074" w:rsidRPr="006D1A06" w:rsidRDefault="00B23074" w:rsidP="005809DB">
            <w:pPr>
              <w:ind w:right="49"/>
              <w:jc w:val="both"/>
              <w:rPr>
                <w:rFonts w:ascii="Arial" w:eastAsia="Times New Roman" w:hAnsi="Arial" w:cs="Arial"/>
                <w:b/>
                <w:bCs/>
                <w:color w:val="000000" w:themeColor="text1"/>
                <w:sz w:val="22"/>
                <w:szCs w:val="22"/>
                <w:lang w:val="mn-MN"/>
              </w:rPr>
            </w:pPr>
          </w:p>
          <w:p w14:paraId="00BE0821" w14:textId="52EB33D3" w:rsidR="00874AF3" w:rsidRPr="006D1A06" w:rsidRDefault="00874AF3" w:rsidP="005809DB">
            <w:pPr>
              <w:ind w:right="49"/>
              <w:jc w:val="both"/>
              <w:rPr>
                <w:rFonts w:ascii="Arial" w:eastAsia="Times New Roman" w:hAnsi="Arial" w:cs="Arial"/>
                <w:b/>
                <w:bCs/>
                <w:color w:val="000000" w:themeColor="text1"/>
                <w:sz w:val="22"/>
                <w:szCs w:val="22"/>
                <w:lang w:val="mn-MN"/>
              </w:rPr>
            </w:pPr>
            <w:r w:rsidRPr="006D1A06">
              <w:rPr>
                <w:rFonts w:ascii="Arial" w:eastAsia="Times New Roman" w:hAnsi="Arial" w:cs="Arial"/>
                <w:b/>
                <w:bCs/>
                <w:color w:val="000000" w:themeColor="text1"/>
                <w:sz w:val="22"/>
                <w:szCs w:val="22"/>
                <w:lang w:val="mn-MN"/>
              </w:rPr>
              <w:t>26.1 дүгээр зүйл. Хөрөнгийн шилжилт хөдөлгөөнийг хянах, хязгаарлах</w:t>
            </w:r>
          </w:p>
          <w:p w14:paraId="154A969C" w14:textId="77777777" w:rsidR="00874AF3" w:rsidRPr="006D1A06" w:rsidRDefault="00874AF3" w:rsidP="005809DB">
            <w:pPr>
              <w:ind w:right="49"/>
              <w:jc w:val="both"/>
              <w:rPr>
                <w:rFonts w:ascii="Arial" w:eastAsia="Times New Roman" w:hAnsi="Arial" w:cs="Arial"/>
                <w:b/>
                <w:bCs/>
                <w:color w:val="000000" w:themeColor="text1"/>
                <w:sz w:val="22"/>
                <w:szCs w:val="22"/>
                <w:lang w:val="mn-MN"/>
              </w:rPr>
            </w:pPr>
          </w:p>
        </w:tc>
      </w:tr>
      <w:tr w:rsidR="00874AF3" w:rsidRPr="006D1A06" w14:paraId="5B5D3F05" w14:textId="77777777" w:rsidTr="00874AF3">
        <w:trPr>
          <w:trHeight w:val="413"/>
        </w:trPr>
        <w:tc>
          <w:tcPr>
            <w:tcW w:w="1411" w:type="dxa"/>
          </w:tcPr>
          <w:p w14:paraId="0425FC79" w14:textId="77777777" w:rsidR="00874AF3" w:rsidRPr="006D1A06" w:rsidRDefault="00874AF3" w:rsidP="005809DB">
            <w:pPr>
              <w:ind w:right="49"/>
              <w:jc w:val="center"/>
              <w:rPr>
                <w:rFonts w:ascii="Arial" w:eastAsia="Times New Roman" w:hAnsi="Arial" w:cs="Arial"/>
                <w:b/>
                <w:bCs/>
                <w:color w:val="000000" w:themeColor="text1"/>
                <w:sz w:val="22"/>
                <w:szCs w:val="22"/>
                <w:lang w:val="mn-MN"/>
              </w:rPr>
            </w:pPr>
            <w:r w:rsidRPr="006D1A06">
              <w:rPr>
                <w:rFonts w:ascii="Arial" w:eastAsia="Times New Roman" w:hAnsi="Arial" w:cs="Arial"/>
                <w:b/>
                <w:bCs/>
                <w:color w:val="000000" w:themeColor="text1"/>
                <w:sz w:val="22"/>
                <w:szCs w:val="22"/>
                <w:lang w:val="mn-MN"/>
              </w:rPr>
              <w:t>Заалт</w:t>
            </w:r>
          </w:p>
        </w:tc>
        <w:tc>
          <w:tcPr>
            <w:tcW w:w="7605" w:type="dxa"/>
          </w:tcPr>
          <w:p w14:paraId="40536BD9" w14:textId="77777777" w:rsidR="00874AF3" w:rsidRPr="006D1A06" w:rsidRDefault="00874AF3" w:rsidP="005809DB">
            <w:pPr>
              <w:ind w:right="49"/>
              <w:jc w:val="both"/>
              <w:rPr>
                <w:rFonts w:ascii="Arial" w:eastAsia="Times New Roman" w:hAnsi="Arial" w:cs="Arial"/>
                <w:b/>
                <w:bCs/>
                <w:color w:val="000000" w:themeColor="text1"/>
                <w:sz w:val="22"/>
                <w:szCs w:val="22"/>
                <w:lang w:val="mn-MN"/>
              </w:rPr>
            </w:pPr>
            <w:r w:rsidRPr="006D1A06">
              <w:rPr>
                <w:rFonts w:ascii="Arial" w:eastAsia="Times New Roman" w:hAnsi="Arial" w:cs="Arial"/>
                <w:b/>
                <w:bCs/>
                <w:color w:val="000000" w:themeColor="text1"/>
                <w:sz w:val="22"/>
                <w:szCs w:val="22"/>
                <w:lang w:val="mn-MN"/>
              </w:rPr>
              <w:t>Нэмэлт</w:t>
            </w:r>
          </w:p>
        </w:tc>
      </w:tr>
      <w:tr w:rsidR="0012063F" w:rsidRPr="006D1A06" w14:paraId="07E82B6B" w14:textId="5C31C786" w:rsidTr="00874AF3">
        <w:tc>
          <w:tcPr>
            <w:tcW w:w="1411" w:type="dxa"/>
            <w:vMerge w:val="restart"/>
          </w:tcPr>
          <w:p w14:paraId="14FF7873" w14:textId="7FA4C881" w:rsidR="0012063F" w:rsidRPr="006D1A06" w:rsidRDefault="0012063F" w:rsidP="00175A39">
            <w:pPr>
              <w:ind w:right="49"/>
              <w:jc w:val="center"/>
              <w:rPr>
                <w:rFonts w:ascii="Arial" w:hAnsi="Arial" w:cs="Arial"/>
                <w:b/>
                <w:bCs/>
                <w:color w:val="000000" w:themeColor="text1"/>
                <w:sz w:val="22"/>
                <w:szCs w:val="22"/>
                <w:lang w:val="mn-MN"/>
              </w:rPr>
            </w:pPr>
            <w:r w:rsidRPr="006D1A06">
              <w:rPr>
                <w:rFonts w:ascii="Arial" w:eastAsia="Times New Roman" w:hAnsi="Arial" w:cs="Arial"/>
                <w:b/>
                <w:bCs/>
                <w:color w:val="000000" w:themeColor="text1"/>
                <w:sz w:val="22"/>
                <w:szCs w:val="22"/>
                <w:lang w:val="mn-MN"/>
              </w:rPr>
              <w:t>26.1 дүгээр зүйлийн 3 дах хэсэг</w:t>
            </w:r>
          </w:p>
        </w:tc>
        <w:tc>
          <w:tcPr>
            <w:tcW w:w="7605" w:type="dxa"/>
          </w:tcPr>
          <w:p w14:paraId="27BC8FDF" w14:textId="54A2BD76" w:rsidR="0012063F" w:rsidRPr="006D1A06" w:rsidRDefault="0012063F" w:rsidP="00175A39">
            <w:pPr>
              <w:ind w:right="49"/>
              <w:jc w:val="both"/>
              <w:rPr>
                <w:rFonts w:ascii="Arial" w:hAnsi="Arial" w:cs="Arial"/>
                <w:color w:val="000000" w:themeColor="text1"/>
                <w:sz w:val="22"/>
                <w:szCs w:val="22"/>
                <w:lang w:val="mn-MN"/>
              </w:rPr>
            </w:pPr>
            <w:r w:rsidRPr="006D1A06">
              <w:rPr>
                <w:rFonts w:ascii="Arial" w:eastAsia="Times New Roman" w:hAnsi="Arial" w:cs="Arial"/>
                <w:color w:val="000000" w:themeColor="text1"/>
                <w:sz w:val="22"/>
                <w:szCs w:val="22"/>
                <w:lang w:val="mn-MN"/>
              </w:rPr>
              <w:t xml:space="preserve">“3.Прокурор нь хуулийн этгээдэд холбогдуулан энэ зүйлийн 1 дэх хэсэгт заасан хөрөнгийн шилжилт хөдөлгөөнийг хязгаарлах мөрдөн шалгах ажиллагааг явуулахдаа дараах нөхцөл байдлыг харгалзан шийдвэрлэнэ. </w:t>
            </w:r>
          </w:p>
        </w:tc>
      </w:tr>
      <w:tr w:rsidR="0012063F" w:rsidRPr="006D1A06" w14:paraId="1F85A3CB" w14:textId="763A6BAC" w:rsidTr="00874AF3">
        <w:tc>
          <w:tcPr>
            <w:tcW w:w="1411" w:type="dxa"/>
            <w:vMerge/>
          </w:tcPr>
          <w:p w14:paraId="2887F9C0" w14:textId="77777777" w:rsidR="0012063F" w:rsidRPr="006D1A06" w:rsidRDefault="0012063F" w:rsidP="00175A39">
            <w:pPr>
              <w:ind w:right="49"/>
              <w:jc w:val="center"/>
              <w:rPr>
                <w:rFonts w:ascii="Arial" w:hAnsi="Arial" w:cs="Arial"/>
                <w:color w:val="000000" w:themeColor="text1"/>
                <w:sz w:val="22"/>
                <w:szCs w:val="22"/>
                <w:lang w:val="mn-MN"/>
              </w:rPr>
            </w:pPr>
          </w:p>
        </w:tc>
        <w:tc>
          <w:tcPr>
            <w:tcW w:w="7605" w:type="dxa"/>
          </w:tcPr>
          <w:p w14:paraId="0384FA5E" w14:textId="19CD1DC8" w:rsidR="0012063F" w:rsidRPr="006D1A06" w:rsidRDefault="0012063F" w:rsidP="00175A39">
            <w:pPr>
              <w:ind w:right="49"/>
              <w:jc w:val="both"/>
              <w:rPr>
                <w:rFonts w:ascii="Arial" w:hAnsi="Arial" w:cs="Arial"/>
                <w:color w:val="000000" w:themeColor="text1"/>
                <w:sz w:val="22"/>
                <w:szCs w:val="22"/>
                <w:lang w:val="mn-MN"/>
              </w:rPr>
            </w:pPr>
            <w:r w:rsidRPr="006D1A06">
              <w:rPr>
                <w:rFonts w:ascii="Arial" w:eastAsia="Times New Roman" w:hAnsi="Arial" w:cs="Arial"/>
                <w:color w:val="000000" w:themeColor="text1"/>
                <w:sz w:val="22"/>
                <w:szCs w:val="22"/>
                <w:lang w:val="mn-MN"/>
              </w:rPr>
              <w:t>“3.1.Бусдын амь нас, эрүүл мэнд, эд хөрөнгөд ноцтой, бусад хуулийн этгээд, эсхүл нийтийн ашиг сонирхолд илт хохирол учруулах эсэх”</w:t>
            </w:r>
          </w:p>
        </w:tc>
      </w:tr>
      <w:tr w:rsidR="0012063F" w:rsidRPr="006D1A06" w14:paraId="6FDC7995" w14:textId="04F9919E" w:rsidTr="00874AF3">
        <w:tc>
          <w:tcPr>
            <w:tcW w:w="1411" w:type="dxa"/>
            <w:vMerge/>
          </w:tcPr>
          <w:p w14:paraId="098E8CDB" w14:textId="77777777" w:rsidR="0012063F" w:rsidRPr="006D1A06" w:rsidRDefault="0012063F" w:rsidP="00175A39">
            <w:pPr>
              <w:ind w:right="49"/>
              <w:jc w:val="center"/>
              <w:rPr>
                <w:rFonts w:ascii="Arial" w:hAnsi="Arial" w:cs="Arial"/>
                <w:color w:val="000000" w:themeColor="text1"/>
                <w:sz w:val="22"/>
                <w:szCs w:val="22"/>
                <w:lang w:val="mn-MN"/>
              </w:rPr>
            </w:pPr>
          </w:p>
        </w:tc>
        <w:tc>
          <w:tcPr>
            <w:tcW w:w="7605" w:type="dxa"/>
          </w:tcPr>
          <w:p w14:paraId="3CBE695A" w14:textId="25274427" w:rsidR="0012063F" w:rsidRPr="006D1A06" w:rsidRDefault="0012063F" w:rsidP="00175A39">
            <w:pPr>
              <w:ind w:right="49"/>
              <w:jc w:val="both"/>
              <w:rPr>
                <w:rFonts w:ascii="Arial" w:hAnsi="Arial" w:cs="Arial"/>
                <w:color w:val="000000" w:themeColor="text1"/>
                <w:sz w:val="22"/>
                <w:szCs w:val="22"/>
                <w:lang w:val="mn-MN"/>
              </w:rPr>
            </w:pPr>
            <w:r w:rsidRPr="006D1A06">
              <w:rPr>
                <w:rFonts w:ascii="Arial" w:eastAsia="Times New Roman" w:hAnsi="Arial" w:cs="Arial"/>
                <w:color w:val="000000" w:themeColor="text1"/>
                <w:sz w:val="22"/>
                <w:szCs w:val="22"/>
                <w:lang w:val="mn-MN"/>
              </w:rPr>
              <w:t>“3.2.Тухайн хуулийн этгээдийн үйлдвэрлэл, үйлчилгээний хэвийн үйл ажиллагааг алдагдуулах, орлого олох эх үүсвэрийг хаах, түүнчлэн бүтээгдэхүүн түргэн муудаж, чанараа алдах зэрэг үр дагаварт хүргэх эсэх.”</w:t>
            </w:r>
          </w:p>
        </w:tc>
      </w:tr>
      <w:tr w:rsidR="00CA4B66" w:rsidRPr="006D1A06" w14:paraId="590E7BAC" w14:textId="3496BCB2" w:rsidTr="00874AF3">
        <w:tc>
          <w:tcPr>
            <w:tcW w:w="1411" w:type="dxa"/>
          </w:tcPr>
          <w:p w14:paraId="64042E5C" w14:textId="5D96DCE3" w:rsidR="00CA4B66" w:rsidRPr="006D1A06" w:rsidRDefault="00CA4B66" w:rsidP="00175A39">
            <w:pPr>
              <w:ind w:right="49"/>
              <w:jc w:val="center"/>
              <w:rPr>
                <w:rFonts w:ascii="Arial" w:hAnsi="Arial" w:cs="Arial"/>
                <w:b/>
                <w:bCs/>
                <w:color w:val="000000" w:themeColor="text1"/>
                <w:sz w:val="22"/>
                <w:szCs w:val="22"/>
                <w:lang w:val="mn-MN"/>
              </w:rPr>
            </w:pPr>
            <w:r w:rsidRPr="006D1A06">
              <w:rPr>
                <w:rFonts w:ascii="Arial" w:eastAsia="Times New Roman" w:hAnsi="Arial" w:cs="Arial"/>
                <w:b/>
                <w:bCs/>
                <w:color w:val="000000" w:themeColor="text1"/>
                <w:sz w:val="22"/>
                <w:szCs w:val="22"/>
                <w:lang w:val="mn-MN"/>
              </w:rPr>
              <w:t>26.1 дүгээр зүйлийн 4 дэх хэсэг</w:t>
            </w:r>
          </w:p>
        </w:tc>
        <w:tc>
          <w:tcPr>
            <w:tcW w:w="7605" w:type="dxa"/>
          </w:tcPr>
          <w:p w14:paraId="15D1C060" w14:textId="1FA7FF06" w:rsidR="00CA4B66" w:rsidRPr="006D1A06" w:rsidRDefault="00CA4B66" w:rsidP="00175A39">
            <w:pPr>
              <w:ind w:right="49"/>
              <w:jc w:val="both"/>
              <w:rPr>
                <w:rFonts w:ascii="Arial" w:eastAsia="Times New Roman" w:hAnsi="Arial" w:cs="Arial"/>
                <w:color w:val="000000" w:themeColor="text1"/>
                <w:sz w:val="22"/>
                <w:szCs w:val="22"/>
                <w:lang w:val="mn-MN"/>
              </w:rPr>
            </w:pPr>
            <w:r w:rsidRPr="006D1A06">
              <w:rPr>
                <w:rFonts w:ascii="Arial" w:eastAsia="Times New Roman" w:hAnsi="Arial" w:cs="Arial"/>
                <w:color w:val="000000" w:themeColor="text1"/>
                <w:sz w:val="22"/>
                <w:szCs w:val="22"/>
                <w:lang w:val="mn-MN"/>
              </w:rPr>
              <w:t>“4.Хуулийн этгээдэд холбогдуулан энэ зүйлийн 1 дэх хэсэгт заасан хөрөнгийн шилжилт хөдөлгөөнийг хязгаарлах мөрдөн шалгах ажиллагааг явуулах нийт хугацаа 6 сараас хэтэрч болохгүй.”</w:t>
            </w:r>
          </w:p>
        </w:tc>
      </w:tr>
    </w:tbl>
    <w:p w14:paraId="594F4FF0" w14:textId="77777777" w:rsidR="0048704D" w:rsidRPr="006D1A06" w:rsidRDefault="0048704D" w:rsidP="0048704D">
      <w:pPr>
        <w:spacing w:line="276" w:lineRule="auto"/>
        <w:jc w:val="both"/>
        <w:rPr>
          <w:rFonts w:ascii="Arial" w:hAnsi="Arial" w:cs="Arial"/>
          <w:lang w:val="mn-MN"/>
        </w:rPr>
      </w:pPr>
    </w:p>
    <w:p w14:paraId="63717387" w14:textId="77777777" w:rsidR="00B23074" w:rsidRPr="006D1A06" w:rsidRDefault="00B23074" w:rsidP="00B23074">
      <w:pPr>
        <w:spacing w:line="276" w:lineRule="auto"/>
        <w:jc w:val="both"/>
        <w:rPr>
          <w:rFonts w:ascii="Arial" w:eastAsia="Times New Roman" w:hAnsi="Arial" w:cs="Arial"/>
          <w:i/>
          <w:iCs/>
          <w:kern w:val="0"/>
          <w:lang w:val="mn-MN"/>
          <w14:ligatures w14:val="none"/>
        </w:rPr>
      </w:pPr>
      <w:r w:rsidRPr="006D1A06">
        <w:rPr>
          <w:rFonts w:ascii="Arial" w:eastAsia="Times New Roman" w:hAnsi="Arial" w:cs="Arial"/>
          <w:i/>
          <w:iCs/>
          <w:kern w:val="0"/>
          <w:lang w:val="mn-MN"/>
          <w14:ligatures w14:val="none"/>
        </w:rPr>
        <w:t>Бусад улс орны туршлага</w:t>
      </w:r>
    </w:p>
    <w:p w14:paraId="1269DB49" w14:textId="77777777" w:rsidR="00B23074" w:rsidRPr="006D1A06" w:rsidRDefault="00B23074" w:rsidP="00B23074">
      <w:pPr>
        <w:spacing w:line="276" w:lineRule="auto"/>
        <w:ind w:firstLine="720"/>
        <w:jc w:val="both"/>
        <w:rPr>
          <w:rFonts w:ascii="Arial" w:eastAsia="Times New Roman" w:hAnsi="Arial" w:cs="Arial"/>
          <w:kern w:val="0"/>
          <w:lang w:val="mn-MN"/>
          <w14:ligatures w14:val="none"/>
        </w:rPr>
      </w:pPr>
      <w:r w:rsidRPr="006D1A06">
        <w:rPr>
          <w:rFonts w:ascii="Arial" w:eastAsia="Times New Roman" w:hAnsi="Arial" w:cs="Arial"/>
          <w:kern w:val="0"/>
          <w:lang w:val="mn-MN"/>
          <w14:ligatures w14:val="none"/>
        </w:rPr>
        <w:t>Хуулийн этгээдэд хариуцлага хүлээлгэдэг эрх зүйн зохицуулалттай Франц, Испани, Эквадор зэрэг улсуудын процессын хуулиас үзвэл эдгээр улс оронд эрүүгийн гэмт хэрэгт шалгагдаж байгаа хуулийн этгээдийн хувьд хөрөнгө хамгаалах хэлбэрийн түр арга хэмжээнүүд авахаар хуульчлагдсан байна. Ингэхдээ ихэвчлэн нотлох баримт цуглуулах, нотлох баримтыг устгах, нуун дарагдуулахаас зайлсхийх, хохирогчийн хохирол барагдах боломжийг баталгаажуулах зэрэг зорилготой байна. Тухайлбал Франц улсын эрүүгийн процессын хууль (</w:t>
      </w:r>
      <w:r w:rsidRPr="006D1A06">
        <w:rPr>
          <w:rFonts w:ascii="Arial" w:hAnsi="Arial" w:cs="Arial"/>
          <w:lang w:val="mn-MN"/>
        </w:rPr>
        <w:t>Code de procedure penale</w:t>
      </w:r>
      <w:r w:rsidRPr="006D1A06">
        <w:rPr>
          <w:rStyle w:val="FootnoteReference"/>
          <w:rFonts w:ascii="Arial" w:hAnsi="Arial" w:cs="Arial"/>
          <w:lang w:val="mn-MN"/>
        </w:rPr>
        <w:footnoteReference w:id="1"/>
      </w:r>
      <w:r w:rsidRPr="006D1A06">
        <w:rPr>
          <w:rFonts w:ascii="Arial" w:eastAsia="Times New Roman" w:hAnsi="Arial" w:cs="Arial"/>
          <w:kern w:val="0"/>
          <w:lang w:val="mn-MN"/>
          <w14:ligatures w14:val="none"/>
        </w:rPr>
        <w:t>) болоод Ялын код (</w:t>
      </w:r>
      <w:r w:rsidRPr="006D1A06">
        <w:rPr>
          <w:rFonts w:ascii="Arial" w:hAnsi="Arial" w:cs="Arial"/>
          <w:lang w:val="mn-MN"/>
        </w:rPr>
        <w:t>Code pénal</w:t>
      </w:r>
      <w:r w:rsidRPr="006D1A06">
        <w:rPr>
          <w:rStyle w:val="FootnoteReference"/>
          <w:rFonts w:ascii="Arial" w:hAnsi="Arial" w:cs="Arial"/>
          <w:lang w:val="mn-MN"/>
        </w:rPr>
        <w:footnoteReference w:id="2"/>
      </w:r>
      <w:r w:rsidRPr="006D1A06">
        <w:rPr>
          <w:rFonts w:ascii="Arial" w:eastAsia="Times New Roman" w:hAnsi="Arial" w:cs="Arial"/>
          <w:kern w:val="0"/>
          <w:lang w:val="mn-MN"/>
          <w14:ligatures w14:val="none"/>
        </w:rPr>
        <w:t>)-д зааснаар хөрөнгө царцаах</w:t>
      </w:r>
      <w:r w:rsidRPr="006D1A06">
        <w:rPr>
          <w:rStyle w:val="FootnoteReference"/>
          <w:rFonts w:ascii="Arial" w:eastAsia="Times New Roman" w:hAnsi="Arial" w:cs="Arial"/>
          <w:kern w:val="0"/>
          <w:lang w:val="mn-MN"/>
          <w14:ligatures w14:val="none"/>
        </w:rPr>
        <w:footnoteReference w:id="3"/>
      </w:r>
      <w:r w:rsidRPr="006D1A06">
        <w:rPr>
          <w:rFonts w:ascii="Arial" w:eastAsia="Times New Roman" w:hAnsi="Arial" w:cs="Arial"/>
          <w:kern w:val="0"/>
          <w:lang w:val="mn-MN"/>
          <w14:ligatures w14:val="none"/>
        </w:rPr>
        <w:t>, үйл ажиллагааг түр зогсоох</w:t>
      </w:r>
      <w:r w:rsidRPr="006D1A06">
        <w:rPr>
          <w:rStyle w:val="FootnoteReference"/>
          <w:rFonts w:ascii="Arial" w:eastAsia="Times New Roman" w:hAnsi="Arial" w:cs="Arial"/>
          <w:kern w:val="0"/>
          <w:lang w:val="mn-MN"/>
          <w14:ligatures w14:val="none"/>
        </w:rPr>
        <w:footnoteReference w:id="4"/>
      </w:r>
      <w:r w:rsidRPr="006D1A06">
        <w:rPr>
          <w:rFonts w:ascii="Arial" w:eastAsia="Times New Roman" w:hAnsi="Arial" w:cs="Arial"/>
          <w:kern w:val="0"/>
          <w:lang w:val="mn-MN"/>
          <w14:ligatures w14:val="none"/>
        </w:rPr>
        <w:t>, компанийн дотоод үйл ажиллагааг хянаж хэрэгжүүлэх хэрэг гүйцэтгэгч томилох</w:t>
      </w:r>
      <w:r w:rsidRPr="006D1A06">
        <w:rPr>
          <w:rStyle w:val="FootnoteReference"/>
          <w:rFonts w:ascii="Arial" w:eastAsia="Times New Roman" w:hAnsi="Arial" w:cs="Arial"/>
          <w:kern w:val="0"/>
          <w:lang w:val="mn-MN"/>
          <w14:ligatures w14:val="none"/>
        </w:rPr>
        <w:footnoteReference w:id="5"/>
      </w:r>
      <w:r w:rsidRPr="006D1A06">
        <w:rPr>
          <w:rFonts w:ascii="Arial" w:eastAsia="Times New Roman" w:hAnsi="Arial" w:cs="Arial"/>
          <w:kern w:val="0"/>
          <w:lang w:val="mn-MN"/>
          <w14:ligatures w14:val="none"/>
        </w:rPr>
        <w:t>, компани дээр шүүхийн хяналт хэрэгжүүлэх</w:t>
      </w:r>
      <w:r w:rsidRPr="006D1A06">
        <w:rPr>
          <w:rStyle w:val="FootnoteReference"/>
          <w:rFonts w:ascii="Arial" w:eastAsia="Times New Roman" w:hAnsi="Arial" w:cs="Arial"/>
          <w:kern w:val="0"/>
          <w:lang w:val="mn-MN"/>
          <w14:ligatures w14:val="none"/>
        </w:rPr>
        <w:footnoteReference w:id="6"/>
      </w:r>
      <w:r w:rsidRPr="006D1A06">
        <w:rPr>
          <w:rFonts w:ascii="Arial" w:eastAsia="Times New Roman" w:hAnsi="Arial" w:cs="Arial"/>
          <w:kern w:val="0"/>
          <w:lang w:val="mn-MN"/>
          <w14:ligatures w14:val="none"/>
        </w:rPr>
        <w:t xml:space="preserve"> зэрэг түр арга хэмжээ авахаар хуульчилсан. Эдгээрээс хэрэг бүртгэгч томилох, шүүхийн хяналт хэрэгжүүлэх арга хэмжээний үеэр тухайн шалгагдаж буй эрүүгийн хэрэгтэй шууд хамааралтай үйл ажиллагааг зогсоох/түдгэлзүүлэх, тусгай зөвшөөрлийг түдгэлзүүлэх, эсвэл тодорхой санхүүгийн хязгаарлалтууд тавигддаг. Эдгээр арга хэмжээг авахад дараах шаардлагууд тавигдана:</w:t>
      </w:r>
    </w:p>
    <w:p w14:paraId="020E3FD0" w14:textId="59DF54D5" w:rsidR="00B23074" w:rsidRPr="006D1A06" w:rsidRDefault="00B23074" w:rsidP="00B23074">
      <w:pPr>
        <w:pStyle w:val="ListParagraph"/>
        <w:numPr>
          <w:ilvl w:val="0"/>
          <w:numId w:val="1"/>
        </w:numPr>
        <w:spacing w:after="0" w:line="276" w:lineRule="auto"/>
        <w:jc w:val="both"/>
        <w:rPr>
          <w:rFonts w:eastAsia="Times New Roman"/>
          <w:kern w:val="0"/>
          <w:lang w:val="mn-MN"/>
          <w14:ligatures w14:val="none"/>
        </w:rPr>
      </w:pPr>
      <w:r w:rsidRPr="006D1A06">
        <w:rPr>
          <w:rFonts w:eastAsia="Times New Roman"/>
          <w:kern w:val="0"/>
          <w:lang w:val="mn-MN"/>
          <w14:ligatures w14:val="none"/>
        </w:rPr>
        <w:t>Шүүхийн зөвшөөрөл авсан байх</w:t>
      </w:r>
      <w:r w:rsidR="005D3C16">
        <w:rPr>
          <w:rFonts w:eastAsia="Times New Roman"/>
          <w:kern w:val="0"/>
          <w14:ligatures w14:val="none"/>
        </w:rPr>
        <w:t>;</w:t>
      </w:r>
    </w:p>
    <w:p w14:paraId="77B2BC31" w14:textId="3E77C98F" w:rsidR="00B23074" w:rsidRPr="006D1A06" w:rsidRDefault="00B23074" w:rsidP="00B23074">
      <w:pPr>
        <w:pStyle w:val="ListParagraph"/>
        <w:numPr>
          <w:ilvl w:val="0"/>
          <w:numId w:val="1"/>
        </w:numPr>
        <w:spacing w:before="100" w:beforeAutospacing="1" w:after="100" w:afterAutospacing="1" w:line="276" w:lineRule="auto"/>
        <w:jc w:val="both"/>
        <w:rPr>
          <w:rFonts w:eastAsia="Times New Roman"/>
          <w:kern w:val="0"/>
          <w:lang w:val="mn-MN"/>
          <w14:ligatures w14:val="none"/>
        </w:rPr>
      </w:pPr>
      <w:r w:rsidRPr="006D1A06">
        <w:rPr>
          <w:rFonts w:eastAsia="Times New Roman"/>
          <w:kern w:val="0"/>
          <w:lang w:val="mn-MN"/>
          <w14:ligatures w14:val="none"/>
        </w:rPr>
        <w:t>Хууль ёсны зарчимд нийцсэн буюу зөвхөн хуульд заасан тохиолдолд тус арга хэмжээг авах</w:t>
      </w:r>
      <w:r w:rsidR="005D3C16">
        <w:rPr>
          <w:rFonts w:eastAsia="Times New Roman"/>
          <w:kern w:val="0"/>
          <w14:ligatures w14:val="none"/>
        </w:rPr>
        <w:t>;</w:t>
      </w:r>
    </w:p>
    <w:p w14:paraId="1EEA9566" w14:textId="7CA6B510" w:rsidR="00B23074" w:rsidRPr="006D1A06" w:rsidRDefault="00B23074" w:rsidP="00B23074">
      <w:pPr>
        <w:pStyle w:val="ListParagraph"/>
        <w:numPr>
          <w:ilvl w:val="0"/>
          <w:numId w:val="1"/>
        </w:numPr>
        <w:spacing w:before="100" w:beforeAutospacing="1" w:after="100" w:afterAutospacing="1" w:line="276" w:lineRule="auto"/>
        <w:jc w:val="both"/>
        <w:rPr>
          <w:rFonts w:eastAsia="Times New Roman"/>
          <w:kern w:val="0"/>
          <w:lang w:val="mn-MN"/>
          <w14:ligatures w14:val="none"/>
        </w:rPr>
      </w:pPr>
      <w:r w:rsidRPr="006D1A06">
        <w:rPr>
          <w:rFonts w:eastAsia="Times New Roman"/>
          <w:kern w:val="0"/>
          <w:lang w:val="mn-MN"/>
          <w14:ligatures w14:val="none"/>
        </w:rPr>
        <w:t>Тодорхой хүрээнд, тодорхой хугацаатай авагдах (жишээ нь хэрэг гүйцэтгэгч томилогдож байгаа бол 6 сар тутам шүүхээр хянагддаг)</w:t>
      </w:r>
      <w:r w:rsidR="005D3C16">
        <w:rPr>
          <w:rFonts w:eastAsia="Times New Roman"/>
          <w:kern w:val="0"/>
          <w14:ligatures w14:val="none"/>
        </w:rPr>
        <w:t>;</w:t>
      </w:r>
    </w:p>
    <w:p w14:paraId="28721C55" w14:textId="37B0265E" w:rsidR="00B23074" w:rsidRPr="006D1A06" w:rsidRDefault="00B23074" w:rsidP="00B23074">
      <w:pPr>
        <w:pStyle w:val="ListParagraph"/>
        <w:numPr>
          <w:ilvl w:val="0"/>
          <w:numId w:val="1"/>
        </w:numPr>
        <w:spacing w:before="100" w:beforeAutospacing="1" w:after="100" w:afterAutospacing="1" w:line="276" w:lineRule="auto"/>
        <w:jc w:val="both"/>
        <w:rPr>
          <w:rFonts w:eastAsia="Times New Roman"/>
          <w:kern w:val="0"/>
          <w:lang w:val="mn-MN"/>
          <w14:ligatures w14:val="none"/>
        </w:rPr>
      </w:pPr>
      <w:r w:rsidRPr="006D1A06">
        <w:rPr>
          <w:rFonts w:eastAsia="Times New Roman"/>
          <w:kern w:val="0"/>
          <w:lang w:val="mn-MN"/>
          <w14:ligatures w14:val="none"/>
        </w:rPr>
        <w:t>Хүний эрх, эрхэм чанарт үл халдах</w:t>
      </w:r>
      <w:r w:rsidR="005D3C16">
        <w:rPr>
          <w:rFonts w:eastAsia="Times New Roman"/>
          <w:kern w:val="0"/>
          <w14:ligatures w14:val="none"/>
        </w:rPr>
        <w:t>;</w:t>
      </w:r>
    </w:p>
    <w:p w14:paraId="3CB5BE26" w14:textId="139D7B67" w:rsidR="00B23074" w:rsidRPr="006D1A06" w:rsidRDefault="00B23074" w:rsidP="00B23074">
      <w:pPr>
        <w:pStyle w:val="ListParagraph"/>
        <w:numPr>
          <w:ilvl w:val="0"/>
          <w:numId w:val="1"/>
        </w:numPr>
        <w:spacing w:line="276" w:lineRule="auto"/>
        <w:jc w:val="both"/>
        <w:rPr>
          <w:rFonts w:eastAsia="Times New Roman"/>
          <w:kern w:val="0"/>
          <w:lang w:val="mn-MN"/>
          <w14:ligatures w14:val="none"/>
        </w:rPr>
      </w:pPr>
      <w:r w:rsidRPr="006D1A06">
        <w:rPr>
          <w:rFonts w:eastAsia="Times New Roman"/>
          <w:kern w:val="0"/>
          <w:lang w:val="mn-MN"/>
          <w14:ligatures w14:val="none"/>
        </w:rPr>
        <w:t>Улс дамнасан мөрдөн шалгалтын тохиолдолд гадаад улсын хөрөнгөд онцгой хамгаалалт тогтоох</w:t>
      </w:r>
      <w:r w:rsidR="005D3C16">
        <w:rPr>
          <w:rFonts w:eastAsia="Times New Roman"/>
          <w:kern w:val="0"/>
          <w14:ligatures w14:val="none"/>
        </w:rPr>
        <w:t>;</w:t>
      </w:r>
    </w:p>
    <w:p w14:paraId="234C8668" w14:textId="77777777" w:rsidR="00B23074" w:rsidRPr="006D1A06" w:rsidRDefault="00B23074" w:rsidP="00B23074">
      <w:pPr>
        <w:spacing w:after="0" w:line="276" w:lineRule="auto"/>
        <w:ind w:firstLine="720"/>
        <w:jc w:val="both"/>
        <w:rPr>
          <w:rFonts w:ascii="Arial" w:eastAsia="Times New Roman" w:hAnsi="Arial" w:cs="Arial"/>
          <w:kern w:val="0"/>
          <w:lang w:val="mn-MN"/>
          <w14:ligatures w14:val="none"/>
        </w:rPr>
      </w:pPr>
      <w:r w:rsidRPr="006D1A06">
        <w:rPr>
          <w:rFonts w:ascii="Arial" w:eastAsia="Times New Roman" w:hAnsi="Arial" w:cs="Arial"/>
          <w:kern w:val="0"/>
          <w:lang w:val="mn-MN"/>
          <w14:ligatures w14:val="none"/>
        </w:rPr>
        <w:t xml:space="preserve">Түүнчлэн Франц улсын хувьд банкны дансан дах мөнгийг царцаах (saisie pénale spéciale) ажиллагааг хийсэн бол 10 хоногийн дотор шүүхээс тус арга хэмжээг үргэлжлүүлэх эсэхийг шийддэг зохицуулалттай. </w:t>
      </w:r>
    </w:p>
    <w:p w14:paraId="49CD0C03" w14:textId="77777777" w:rsidR="00B23074" w:rsidRPr="006D1A06" w:rsidRDefault="00B23074" w:rsidP="00B23074">
      <w:pPr>
        <w:spacing w:after="0" w:line="276" w:lineRule="auto"/>
        <w:jc w:val="both"/>
        <w:rPr>
          <w:rFonts w:ascii="Arial" w:eastAsia="Times New Roman" w:hAnsi="Arial" w:cs="Arial"/>
          <w:kern w:val="0"/>
          <w:lang w:val="mn-MN"/>
          <w14:ligatures w14:val="none"/>
        </w:rPr>
      </w:pPr>
    </w:p>
    <w:p w14:paraId="5A52ACD3" w14:textId="0D9ABF9B" w:rsidR="00B23074" w:rsidRPr="006D1A06" w:rsidRDefault="00B23074" w:rsidP="00B23074">
      <w:pPr>
        <w:spacing w:after="0" w:line="276" w:lineRule="auto"/>
        <w:ind w:firstLine="720"/>
        <w:jc w:val="both"/>
        <w:rPr>
          <w:rFonts w:ascii="Arial" w:eastAsia="Times New Roman" w:hAnsi="Arial" w:cs="Arial"/>
          <w:kern w:val="0"/>
          <w:lang w:val="mn-MN"/>
          <w14:ligatures w14:val="none"/>
        </w:rPr>
      </w:pPr>
      <w:r w:rsidRPr="006D1A06">
        <w:rPr>
          <w:rFonts w:ascii="Arial" w:eastAsia="Times New Roman" w:hAnsi="Arial" w:cs="Arial"/>
          <w:kern w:val="0"/>
          <w:lang w:val="mn-MN"/>
          <w14:ligatures w14:val="none"/>
        </w:rPr>
        <w:t xml:space="preserve">Эндээс үзвэл хуулийн этгээдийг эрүүгийн хэрэгт шалгаж байх хугацаанд түр арга хэмжээ авах зохицуулалт дэлхийн улс орнуудад янз бүрээр хуульчлагдсан байна. Гагцхүү тухайн арга хэмжээг авах үндэслэл, шаардлага, хугацаа, цаашлаад процедур журмыг дэлгэрэнгүй тусгаж, зайлшгүй шаардлагатай үед </w:t>
      </w:r>
      <w:r w:rsidR="005D3C16">
        <w:rPr>
          <w:rFonts w:ascii="Arial" w:eastAsia="Times New Roman" w:hAnsi="Arial" w:cs="Arial"/>
          <w:kern w:val="0"/>
          <w:lang w:val="mn-MN"/>
          <w14:ligatures w14:val="none"/>
        </w:rPr>
        <w:t>болон</w:t>
      </w:r>
      <w:r w:rsidRPr="006D1A06">
        <w:rPr>
          <w:rFonts w:ascii="Arial" w:eastAsia="Times New Roman" w:hAnsi="Arial" w:cs="Arial"/>
          <w:kern w:val="0"/>
          <w:lang w:val="mn-MN"/>
          <w14:ligatures w14:val="none"/>
        </w:rPr>
        <w:t xml:space="preserve"> шалгаж буй эрүүгийн хэрэгт шууд хамааралтай байдлыг харгалздаг нь харагдаж байна. </w:t>
      </w:r>
    </w:p>
    <w:p w14:paraId="755EB713" w14:textId="77777777" w:rsidR="00015C57" w:rsidRPr="006D1A06" w:rsidRDefault="00015C57" w:rsidP="00015C57">
      <w:pPr>
        <w:spacing w:after="0" w:line="276" w:lineRule="auto"/>
        <w:jc w:val="both"/>
        <w:rPr>
          <w:rFonts w:ascii="Arial" w:eastAsia="Times New Roman" w:hAnsi="Arial" w:cs="Arial"/>
          <w:kern w:val="0"/>
          <w:lang w:val="mn-MN"/>
          <w14:ligatures w14:val="none"/>
        </w:rPr>
      </w:pPr>
    </w:p>
    <w:p w14:paraId="7B719E07" w14:textId="61F1F986" w:rsidR="00015C57" w:rsidRPr="006D1A06" w:rsidRDefault="00015C57" w:rsidP="00015C57">
      <w:pPr>
        <w:spacing w:after="0" w:line="276" w:lineRule="auto"/>
        <w:jc w:val="both"/>
        <w:rPr>
          <w:rFonts w:ascii="Arial" w:eastAsia="Times New Roman" w:hAnsi="Arial" w:cs="Arial"/>
          <w:i/>
          <w:iCs/>
          <w:kern w:val="0"/>
          <w:lang w:val="mn-MN"/>
          <w14:ligatures w14:val="none"/>
        </w:rPr>
      </w:pPr>
      <w:r w:rsidRPr="006D1A06">
        <w:rPr>
          <w:rFonts w:ascii="Arial" w:eastAsia="Times New Roman" w:hAnsi="Arial" w:cs="Arial"/>
          <w:i/>
          <w:iCs/>
          <w:kern w:val="0"/>
          <w:lang w:val="mn-MN"/>
          <w14:ligatures w14:val="none"/>
        </w:rPr>
        <w:t>ЭХХШтХ-д шинээр тусгагдсан нэр томъёо</w:t>
      </w:r>
      <w:r w:rsidR="00B15B97" w:rsidRPr="006D1A06">
        <w:rPr>
          <w:rFonts w:ascii="Arial" w:eastAsia="Times New Roman" w:hAnsi="Arial" w:cs="Arial"/>
          <w:i/>
          <w:iCs/>
          <w:kern w:val="0"/>
          <w:lang w:val="mn-MN"/>
          <w14:ligatures w14:val="none"/>
        </w:rPr>
        <w:t>, ухагдахуун</w:t>
      </w:r>
      <w:r w:rsidRPr="006D1A06">
        <w:rPr>
          <w:rFonts w:ascii="Arial" w:eastAsia="Times New Roman" w:hAnsi="Arial" w:cs="Arial"/>
          <w:i/>
          <w:iCs/>
          <w:kern w:val="0"/>
          <w:lang w:val="mn-MN"/>
          <w14:ligatures w14:val="none"/>
        </w:rPr>
        <w:t>:</w:t>
      </w:r>
    </w:p>
    <w:p w14:paraId="33B0691A" w14:textId="77777777" w:rsidR="00015C57" w:rsidRPr="006D1A06" w:rsidRDefault="00015C57" w:rsidP="00015C57">
      <w:pPr>
        <w:spacing w:after="0" w:line="276" w:lineRule="auto"/>
        <w:jc w:val="both"/>
        <w:rPr>
          <w:rFonts w:ascii="Arial" w:eastAsia="Times New Roman" w:hAnsi="Arial" w:cs="Arial"/>
          <w:kern w:val="0"/>
          <w:lang w:val="mn-MN"/>
          <w14:ligatures w14:val="none"/>
        </w:rPr>
      </w:pPr>
    </w:p>
    <w:p w14:paraId="3ECFB1C6" w14:textId="18BBA0E1" w:rsidR="006D1A06" w:rsidRPr="006D1A06" w:rsidRDefault="008E3DF0" w:rsidP="006D1A06">
      <w:pPr>
        <w:spacing w:after="0" w:line="276" w:lineRule="auto"/>
        <w:ind w:firstLine="720"/>
        <w:jc w:val="both"/>
        <w:rPr>
          <w:rFonts w:ascii="Arial" w:eastAsia="Times New Roman" w:hAnsi="Arial" w:cs="Arial"/>
          <w:kern w:val="0"/>
          <w:lang w:val="mn-MN"/>
          <w14:ligatures w14:val="none"/>
        </w:rPr>
      </w:pPr>
      <w:r w:rsidRPr="006D1A06">
        <w:rPr>
          <w:rFonts w:ascii="Arial" w:eastAsia="Times New Roman" w:hAnsi="Arial" w:cs="Arial"/>
          <w:kern w:val="0"/>
          <w:lang w:val="mn-MN"/>
          <w14:ligatures w14:val="none"/>
        </w:rPr>
        <w:t>Дээр дурдсанчлан ЭХХШтХ-д хуулийн этгээдийн онцлогт тохирсон журам дутмаг байгаагаас түүнтэй холбоотой ухагдахуун ч төдийлөн тусгагдаагүй байдаг. Энэ шалтгаанаар таслан сэргийлэх арга хэмжээ авахад “харгалзах” үндэслэ</w:t>
      </w:r>
      <w:r w:rsidR="00543295" w:rsidRPr="006D1A06">
        <w:rPr>
          <w:rFonts w:ascii="Arial" w:eastAsia="Times New Roman" w:hAnsi="Arial" w:cs="Arial"/>
          <w:kern w:val="0"/>
          <w:lang w:val="mn-MN"/>
          <w14:ligatures w14:val="none"/>
        </w:rPr>
        <w:t xml:space="preserve">лийг хуулийн этгээд гэх эрх зүйн субьекттэй нь уялдуулж шинээр томъёолох шаардлага үүссэн. Гэвч эдгээр нь бусад хууль тогтоомжид хэдийнээ тусгагдаж, практик хэрэгжилт, албан ёсны тайлбараар тодорхойлогдсон байдаг. </w:t>
      </w:r>
      <w:r w:rsidR="00E3082E" w:rsidRPr="006D1A06">
        <w:rPr>
          <w:rFonts w:ascii="Arial" w:eastAsia="Times New Roman" w:hAnsi="Arial" w:cs="Arial"/>
          <w:kern w:val="0"/>
          <w:lang w:val="mn-MN"/>
          <w14:ligatures w14:val="none"/>
        </w:rPr>
        <w:t xml:space="preserve">Процессын хэм хэмжээ тодорхой байх шаардлагатайн хувьд </w:t>
      </w:r>
      <w:r w:rsidR="006D1A06" w:rsidRPr="006D1A06">
        <w:rPr>
          <w:rFonts w:ascii="Arial" w:eastAsia="Times New Roman" w:hAnsi="Arial" w:cs="Arial"/>
          <w:kern w:val="0"/>
          <w:lang w:val="mn-MN"/>
          <w14:ligatures w14:val="none"/>
        </w:rPr>
        <w:t xml:space="preserve">нэр томъёо нь </w:t>
      </w:r>
      <w:r w:rsidR="00E3082E" w:rsidRPr="006D1A06">
        <w:rPr>
          <w:rFonts w:ascii="Arial" w:eastAsia="Times New Roman" w:hAnsi="Arial" w:cs="Arial"/>
          <w:kern w:val="0"/>
          <w:lang w:val="mn-MN"/>
          <w14:ligatures w14:val="none"/>
        </w:rPr>
        <w:t xml:space="preserve">хоёрдмол утгагүй, хэрэгжих боломжтой, </w:t>
      </w:r>
      <w:r w:rsidR="006D1A06" w:rsidRPr="006D1A06">
        <w:rPr>
          <w:rFonts w:ascii="Arial" w:eastAsia="Times New Roman" w:hAnsi="Arial" w:cs="Arial"/>
          <w:kern w:val="0"/>
          <w:lang w:val="mn-MN"/>
          <w14:ligatures w14:val="none"/>
        </w:rPr>
        <w:t>нэг мөр хэрэглээг бий болгох боломжтой байх шаардлагатай. Эдгээр шалтгаанаар дараах нэр томъёог тус хуулийн төсөлд шинээр тусгасан болно. Үүнд:</w:t>
      </w:r>
    </w:p>
    <w:p w14:paraId="7049F679" w14:textId="77777777" w:rsidR="006D1A06" w:rsidRPr="006D1A06" w:rsidRDefault="006D1A06" w:rsidP="006D1A06">
      <w:pPr>
        <w:spacing w:after="0" w:line="276" w:lineRule="auto"/>
        <w:jc w:val="both"/>
        <w:rPr>
          <w:rFonts w:ascii="Arial" w:eastAsia="Times New Roman" w:hAnsi="Arial" w:cs="Arial"/>
          <w:kern w:val="0"/>
          <w:lang w:val="mn-MN"/>
          <w14:ligatures w14:val="none"/>
        </w:rPr>
      </w:pPr>
    </w:p>
    <w:p w14:paraId="3E83BCF4" w14:textId="2E60CBAE" w:rsidR="00501A6E" w:rsidRDefault="00983695" w:rsidP="006D1A06">
      <w:pPr>
        <w:pStyle w:val="ListParagraph"/>
        <w:numPr>
          <w:ilvl w:val="0"/>
          <w:numId w:val="1"/>
        </w:numPr>
        <w:spacing w:after="0" w:line="276" w:lineRule="auto"/>
        <w:jc w:val="both"/>
        <w:rPr>
          <w:rFonts w:eastAsia="Times New Roman"/>
          <w:kern w:val="0"/>
          <w:lang w:val="mn-MN"/>
          <w14:ligatures w14:val="none"/>
        </w:rPr>
      </w:pPr>
      <w:r w:rsidRPr="00983695">
        <w:rPr>
          <w:rFonts w:eastAsia="Times New Roman"/>
          <w:kern w:val="0"/>
          <w:lang w:val="mn-MN"/>
          <w14:ligatures w14:val="none"/>
        </w:rPr>
        <w:t>Бусдын амь нас, эрүүл мэнд, эд хөрөнгөд ноцтой</w:t>
      </w:r>
      <w:r>
        <w:rPr>
          <w:rFonts w:eastAsia="Times New Roman"/>
          <w:kern w:val="0"/>
          <w:lang w:val="mn-MN"/>
          <w14:ligatures w14:val="none"/>
        </w:rPr>
        <w:t xml:space="preserve"> хохирол учруулах эсэх -</w:t>
      </w:r>
    </w:p>
    <w:p w14:paraId="09299D51" w14:textId="74F7EEE4" w:rsidR="00983695" w:rsidRDefault="00983695" w:rsidP="00983695">
      <w:pPr>
        <w:pStyle w:val="ListParagraph"/>
        <w:spacing w:after="0" w:line="276" w:lineRule="auto"/>
        <w:jc w:val="both"/>
        <w:rPr>
          <w:rFonts w:eastAsia="Times New Roman"/>
          <w:kern w:val="0"/>
          <w:lang w:val="mn-MN"/>
          <w14:ligatures w14:val="none"/>
        </w:rPr>
      </w:pPr>
      <w:r>
        <w:rPr>
          <w:rFonts w:eastAsia="Times New Roman"/>
          <w:kern w:val="0"/>
          <w:lang w:val="mn-MN"/>
          <w14:ligatures w14:val="none"/>
        </w:rPr>
        <w:t xml:space="preserve">Энэ ойлголтыг Захиргааны хэрэг шүүхэд хянан шийдвэрлэх тухай хуулийн 62 дугаар зүйлийн 62.1-т Захиргааны актын биелэлтийг түдгэлзүүлж болохгүй нэг тохиолдол байдлаар хуульчилсан байдаг. Улсын дээд шүүхийн нийт шүүгчийн 2023 оны 4 сарын 14-ний өдрийн хуралдааны 18 дугаар тогтоолоор “ноцтой хохирол” гэдгийг “... хэргийн оролцогч иргэний хувьд болон маргаан бүхий актын үйлчлэл шууд хандаж буй </w:t>
      </w:r>
      <w:r w:rsidR="007F5940">
        <w:rPr>
          <w:rFonts w:eastAsia="Times New Roman"/>
          <w:kern w:val="0"/>
          <w:lang w:val="mn-MN"/>
          <w14:ligatures w14:val="none"/>
        </w:rPr>
        <w:t>бусад иргнэий ам нас нь эрсдэлд орох, эрүүл мэнд нь доройтох, эд хөрөнгө нь зориулалтын дагуу ашиглах боломжгүй болох, тухайн этгээд түүнийг өөрийн хүчээр эргүүлэн сэргээх боломжгүй, эсхүл сэргээсэн ч өмнөх байдлаасаа чанар байдлын хувьд дордохоор сөрөг үр дагавар үүсэхийг ойлгоно” гэжээ.</w:t>
      </w:r>
    </w:p>
    <w:p w14:paraId="6216028A" w14:textId="26BB89E4" w:rsidR="006D1A06" w:rsidRDefault="00AE7DC5" w:rsidP="006D1A06">
      <w:pPr>
        <w:pStyle w:val="ListParagraph"/>
        <w:numPr>
          <w:ilvl w:val="0"/>
          <w:numId w:val="1"/>
        </w:numPr>
        <w:spacing w:after="0" w:line="276" w:lineRule="auto"/>
        <w:jc w:val="both"/>
        <w:rPr>
          <w:rFonts w:eastAsia="Times New Roman"/>
          <w:kern w:val="0"/>
          <w:lang w:val="mn-MN"/>
          <w14:ligatures w14:val="none"/>
        </w:rPr>
      </w:pPr>
      <w:r>
        <w:rPr>
          <w:rFonts w:eastAsia="Times New Roman"/>
          <w:kern w:val="0"/>
          <w:lang w:val="mn-MN"/>
          <w14:ligatures w14:val="none"/>
        </w:rPr>
        <w:t>Хуулийн этгээд эсхүл нийтийн ашиг сонирхолд илт хохирол учруулах эсэх –</w:t>
      </w:r>
      <w:r w:rsidR="00983695">
        <w:rPr>
          <w:rFonts w:eastAsia="Times New Roman"/>
          <w:kern w:val="0"/>
          <w:lang w:val="mn-MN"/>
          <w14:ligatures w14:val="none"/>
        </w:rPr>
        <w:t xml:space="preserve"> Мөн </w:t>
      </w:r>
      <w:r>
        <w:rPr>
          <w:rFonts w:eastAsia="Times New Roman"/>
          <w:kern w:val="0"/>
          <w:lang w:val="mn-MN"/>
          <w14:ligatures w14:val="none"/>
        </w:rPr>
        <w:t xml:space="preserve"> </w:t>
      </w:r>
      <w:r w:rsidR="00983695">
        <w:rPr>
          <w:rFonts w:eastAsia="Times New Roman"/>
          <w:kern w:val="0"/>
          <w:lang w:val="mn-MN"/>
          <w14:ligatures w14:val="none"/>
        </w:rPr>
        <w:t xml:space="preserve">Захиргааны хэрэг шүүхэд хянан шийдвэрлэх тухай хуулийн 62 дугаар зүйлийн 62.1-т энэ томъёоло туссан бөгөөд </w:t>
      </w:r>
      <w:r>
        <w:rPr>
          <w:rFonts w:eastAsia="Times New Roman"/>
          <w:kern w:val="0"/>
          <w:lang w:val="mn-MN"/>
          <w14:ligatures w14:val="none"/>
        </w:rPr>
        <w:t>”илт хохирол” гэдгийг Улсын дээд шүүхийн нийт шүүгчдийн 2023 оны 4 сарын 14-ний өдрийн хуралдааны 18 дугаар тогтоолоор “хэргийн оролцогч хуулийн этгээдийн мөнгө болон мөнгөөр үнэлэгдэхүйц баялаг, эд хөрөнгөөөр хэмжигдэх эрх, болон хөрөнгө, мөнгөөр хэмжигдэхгүй эдийн бус эрхэд их хэмжээний алдагдал бий болох нь илэрхий, тодорхой, нотлогдохуйц байхыг, эсхүл нийтийн ашиг сонирхлыг эргэж сэргээх боломжгүйгээр хохироохуйц сөрөг үр дагавар учрах нь бодитой, нотлох шаардлагагүй байхыг тус тус ойлгоно” гэж тайлбарласан байдаг.</w:t>
      </w:r>
    </w:p>
    <w:p w14:paraId="6FD2B790" w14:textId="2E77BEE7" w:rsidR="007F5940" w:rsidRPr="00212058" w:rsidRDefault="007F5940" w:rsidP="006D1A06">
      <w:pPr>
        <w:pStyle w:val="ListParagraph"/>
        <w:numPr>
          <w:ilvl w:val="0"/>
          <w:numId w:val="1"/>
        </w:numPr>
        <w:spacing w:after="0" w:line="276" w:lineRule="auto"/>
        <w:jc w:val="both"/>
        <w:rPr>
          <w:rFonts w:eastAsia="Times New Roman"/>
          <w:kern w:val="0"/>
          <w:lang w:val="mn-MN"/>
          <w14:ligatures w14:val="none"/>
        </w:rPr>
      </w:pPr>
      <w:r>
        <w:rPr>
          <w:bCs/>
          <w:color w:val="000000" w:themeColor="text1"/>
          <w:lang w:val="mn-MN"/>
        </w:rPr>
        <w:t>Ү</w:t>
      </w:r>
      <w:r w:rsidRPr="00D516D2">
        <w:rPr>
          <w:bCs/>
          <w:color w:val="000000" w:themeColor="text1"/>
          <w:lang w:val="mn-MN"/>
        </w:rPr>
        <w:t xml:space="preserve">йлдвэрлэл, үйлчилгээний хэвийн үйл ажиллагааг алдагдуулах, орлого олох эх үүсвэрийг хаах, түүнчлэн </w:t>
      </w:r>
      <w:r w:rsidRPr="00792AB1">
        <w:rPr>
          <w:bCs/>
          <w:color w:val="000000" w:themeColor="text1"/>
          <w:lang w:val="mn-MN"/>
        </w:rPr>
        <w:t xml:space="preserve">түүхий эд, </w:t>
      </w:r>
      <w:r w:rsidRPr="00D516D2">
        <w:rPr>
          <w:bCs/>
          <w:color w:val="000000" w:themeColor="text1"/>
          <w:lang w:val="mn-MN"/>
        </w:rPr>
        <w:t>бүтээгдэхүүн түргэн муудаж, чанараа алдах зэрэг үр дагаварт хүргэх</w:t>
      </w:r>
      <w:r>
        <w:rPr>
          <w:bCs/>
          <w:color w:val="000000" w:themeColor="text1"/>
          <w:lang w:val="mn-MN"/>
        </w:rPr>
        <w:t xml:space="preserve"> </w:t>
      </w:r>
      <w:r w:rsidR="00952696">
        <w:rPr>
          <w:bCs/>
          <w:color w:val="000000" w:themeColor="text1"/>
          <w:lang w:val="mn-MN"/>
        </w:rPr>
        <w:t>–</w:t>
      </w:r>
      <w:r>
        <w:rPr>
          <w:bCs/>
          <w:color w:val="000000" w:themeColor="text1"/>
          <w:lang w:val="mn-MN"/>
        </w:rPr>
        <w:t xml:space="preserve"> </w:t>
      </w:r>
      <w:r w:rsidR="00952696">
        <w:rPr>
          <w:bCs/>
          <w:color w:val="000000" w:themeColor="text1"/>
          <w:lang w:val="mn-MN"/>
        </w:rPr>
        <w:t xml:space="preserve">Энэ томъёоллыг Иргэний хэрэг шүүхэд хянан </w:t>
      </w:r>
      <w:r w:rsidR="00952696">
        <w:rPr>
          <w:bCs/>
          <w:color w:val="000000" w:themeColor="text1"/>
          <w:lang w:val="mn-MN"/>
        </w:rPr>
        <w:lastRenderedPageBreak/>
        <w:t xml:space="preserve">шийдвэрлэх тухай хуулийн 69 дүгээр зүйлийн 69.5-д заасан шүүхээс гарах шийдвэрийн биелэлтийг баталгаажуулах арга хэмжээ авах хязгаарлалт байдлаар хуульчилж, хэрэглэж байна. </w:t>
      </w:r>
    </w:p>
    <w:p w14:paraId="5AEBB53F" w14:textId="093FB751" w:rsidR="0048704D" w:rsidRPr="006829CA" w:rsidRDefault="00212058" w:rsidP="0048704D">
      <w:pPr>
        <w:pStyle w:val="ListParagraph"/>
        <w:numPr>
          <w:ilvl w:val="0"/>
          <w:numId w:val="1"/>
        </w:numPr>
        <w:spacing w:after="0" w:line="276" w:lineRule="auto"/>
        <w:jc w:val="both"/>
        <w:rPr>
          <w:rFonts w:eastAsia="Times New Roman"/>
          <w:kern w:val="0"/>
          <w:lang w:val="mn-MN"/>
          <w14:ligatures w14:val="none"/>
        </w:rPr>
      </w:pPr>
      <w:r>
        <w:rPr>
          <w:bCs/>
          <w:color w:val="000000" w:themeColor="text1"/>
          <w:lang w:val="mn-MN"/>
        </w:rPr>
        <w:t xml:space="preserve">“Шүүх ... харгалзан шийдвэрлэнэ.” – Хуульд нөхцөлийг хатуу хориг байдлаар бус “харгалзаж үзэх нөхцөл” байдлаар тусгах нь 1-т хууль зүйн техникийн хувьд ЭХХШтХ-ийн бичилтэд нийцэх, 2-т хүний эрхийг хязгаарлах нь хамгийн сүүлийн бөгөөд хууль ёсны хамгийн бага хязгаарлалтаар хэрэгжих зарчимд нийцэх, 3-т шүүхийн дотоод итгэлийг хүлээн зөвшөөрөх, 4-т мэтгэлцэх зарчмыг хангана гэж дүгнэж байна. </w:t>
      </w:r>
    </w:p>
    <w:p w14:paraId="79B6159A" w14:textId="77777777" w:rsidR="006829CA" w:rsidRPr="006829CA" w:rsidRDefault="006829CA" w:rsidP="006829CA">
      <w:pPr>
        <w:pStyle w:val="ListParagraph"/>
        <w:spacing w:after="0" w:line="276" w:lineRule="auto"/>
        <w:jc w:val="both"/>
        <w:rPr>
          <w:rFonts w:eastAsia="Times New Roman"/>
          <w:kern w:val="0"/>
          <w:lang w:val="mn-MN"/>
          <w14:ligatures w14:val="none"/>
        </w:rPr>
      </w:pPr>
    </w:p>
    <w:p w14:paraId="276DC713" w14:textId="77777777" w:rsidR="00B7601A" w:rsidRPr="00CA674B" w:rsidRDefault="00B7601A" w:rsidP="00B7601A">
      <w:pPr>
        <w:spacing w:after="0" w:line="276" w:lineRule="auto"/>
        <w:ind w:firstLine="720"/>
        <w:jc w:val="both"/>
        <w:rPr>
          <w:rFonts w:ascii="Arial" w:hAnsi="Arial" w:cs="Arial"/>
          <w:lang w:val="mn-MN"/>
        </w:rPr>
      </w:pPr>
      <w:r w:rsidRPr="00CA674B">
        <w:rPr>
          <w:rFonts w:ascii="Arial" w:hAnsi="Arial" w:cs="Arial"/>
          <w:lang w:val="mn-MN"/>
        </w:rPr>
        <w:t>ЭХХШтХ-д нэмэлт оруулах хуулийн төсөл батлагдсанаар хуулийн этгээдэд таслан сэргийлэх арга хэмжээ авах, хөрөнгийн шилжилт хөдөлгөөнийг хязгаарлах ажиллагаанд харгалзах нөхцөл, үндэслэл тодорхой бус, хугацааны хувьд тодорхой зохицуулаагүй байдлыг зохицуулах нь шударга шүүхээр шүүлгэх эрх, due-process-г хангах, пропорциональ зарчмыг хангах суурь болох ба нөгөө талаас эдийн засгийн гол хөшүүрэг болсон хувийн хэвшил, бизнесийн байгууллагуудын тогтвортой байдлыг нэмэгдүүлэх, цаашлаад энэ нь хууль зүйн орчны тодорхойгүй байдлыг бууруулж, Монгол Улсад гадаадын хөрөнгө оруулалт татах зэрэг нийгэм, эдийн засгийн эерэг үр дагавартай.</w:t>
      </w:r>
    </w:p>
    <w:p w14:paraId="15F6A2B8" w14:textId="77777777" w:rsidR="00BE5E4E" w:rsidRPr="006D1A06" w:rsidRDefault="00BE5E4E" w:rsidP="00BE5E4E">
      <w:pPr>
        <w:spacing w:after="0" w:line="276" w:lineRule="auto"/>
        <w:ind w:firstLine="360"/>
        <w:jc w:val="both"/>
        <w:rPr>
          <w:rFonts w:ascii="Arial" w:hAnsi="Arial" w:cs="Arial"/>
          <w:lang w:val="mn-MN"/>
        </w:rPr>
      </w:pPr>
    </w:p>
    <w:p w14:paraId="40EE7221" w14:textId="77777777" w:rsidR="00675859" w:rsidRPr="006D1A06" w:rsidRDefault="00675859" w:rsidP="00BE5E4E">
      <w:pPr>
        <w:spacing w:line="276" w:lineRule="auto"/>
        <w:ind w:firstLine="720"/>
        <w:jc w:val="both"/>
        <w:rPr>
          <w:rFonts w:ascii="Arial" w:hAnsi="Arial" w:cs="Arial"/>
          <w:lang w:val="mn-MN"/>
        </w:rPr>
      </w:pPr>
    </w:p>
    <w:p w14:paraId="52055783" w14:textId="29AF40E1" w:rsidR="00DE70EA" w:rsidRPr="006D1A06" w:rsidRDefault="00675859" w:rsidP="004137E4">
      <w:pPr>
        <w:spacing w:line="276" w:lineRule="auto"/>
        <w:jc w:val="center"/>
        <w:rPr>
          <w:rFonts w:ascii="Arial" w:hAnsi="Arial" w:cs="Arial"/>
          <w:lang w:val="mn-MN"/>
        </w:rPr>
      </w:pPr>
      <w:r>
        <w:rPr>
          <w:rFonts w:ascii="Arial" w:hAnsi="Arial" w:cs="Arial"/>
          <w:lang w:val="mn-MN"/>
        </w:rPr>
        <w:t>---</w:t>
      </w:r>
    </w:p>
    <w:sectPr w:rsidR="00DE70EA" w:rsidRPr="006D1A06" w:rsidSect="005A1689">
      <w:pgSz w:w="11906" w:h="16838"/>
      <w:pgMar w:top="1440" w:right="11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CCE5" w14:textId="77777777" w:rsidR="00065983" w:rsidRDefault="00065983" w:rsidP="007A555C">
      <w:pPr>
        <w:spacing w:after="0" w:line="240" w:lineRule="auto"/>
      </w:pPr>
      <w:r>
        <w:separator/>
      </w:r>
    </w:p>
  </w:endnote>
  <w:endnote w:type="continuationSeparator" w:id="0">
    <w:p w14:paraId="0CA68C38" w14:textId="77777777" w:rsidR="00065983" w:rsidRDefault="00065983" w:rsidP="007A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755DF" w14:textId="77777777" w:rsidR="00065983" w:rsidRDefault="00065983" w:rsidP="007A555C">
      <w:pPr>
        <w:spacing w:after="0" w:line="240" w:lineRule="auto"/>
      </w:pPr>
      <w:r>
        <w:separator/>
      </w:r>
    </w:p>
  </w:footnote>
  <w:footnote w:type="continuationSeparator" w:id="0">
    <w:p w14:paraId="306D5580" w14:textId="77777777" w:rsidR="00065983" w:rsidRDefault="00065983" w:rsidP="007A555C">
      <w:pPr>
        <w:spacing w:after="0" w:line="240" w:lineRule="auto"/>
      </w:pPr>
      <w:r>
        <w:continuationSeparator/>
      </w:r>
    </w:p>
  </w:footnote>
  <w:footnote w:id="1">
    <w:p w14:paraId="30BCFD69" w14:textId="77777777" w:rsidR="00B23074" w:rsidRPr="00C8617B" w:rsidRDefault="00B23074" w:rsidP="00B23074">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hyperlink r:id="rId1" w:history="1">
        <w:r w:rsidRPr="00C8617B">
          <w:rPr>
            <w:rStyle w:val="Hyperlink"/>
            <w:rFonts w:ascii="Arial" w:hAnsi="Arial" w:cs="Arial"/>
            <w:lang w:val="mn-MN"/>
          </w:rPr>
          <w:t>Code of Criminal Procedure - Légifrance</w:t>
        </w:r>
      </w:hyperlink>
      <w:r w:rsidRPr="00C8617B">
        <w:rPr>
          <w:rFonts w:ascii="Arial" w:hAnsi="Arial" w:cs="Arial"/>
          <w:lang w:val="mn-MN"/>
        </w:rPr>
        <w:t xml:space="preserve"> </w:t>
      </w:r>
    </w:p>
  </w:footnote>
  <w:footnote w:id="2">
    <w:p w14:paraId="5D52680E" w14:textId="77777777" w:rsidR="00B23074" w:rsidRPr="00C8617B" w:rsidRDefault="00B23074" w:rsidP="00B23074">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hyperlink r:id="rId2" w:history="1">
        <w:r w:rsidRPr="00C8617B">
          <w:rPr>
            <w:rStyle w:val="Hyperlink"/>
            <w:rFonts w:ascii="Arial" w:hAnsi="Arial" w:cs="Arial"/>
            <w:lang w:val="mn-MN"/>
          </w:rPr>
          <w:t>https://www.legifrance.gouv.fr/codes/texte_lc/LEGITEXT000006070719/</w:t>
        </w:r>
      </w:hyperlink>
      <w:r w:rsidRPr="00C8617B">
        <w:rPr>
          <w:rFonts w:ascii="Arial" w:hAnsi="Arial" w:cs="Arial"/>
          <w:lang w:val="mn-MN"/>
        </w:rPr>
        <w:t xml:space="preserve"> </w:t>
      </w:r>
    </w:p>
  </w:footnote>
  <w:footnote w:id="3">
    <w:p w14:paraId="3D6EC2CB" w14:textId="77777777" w:rsidR="00B23074" w:rsidRPr="00C8617B" w:rsidRDefault="00B23074" w:rsidP="00B23074">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Criminal of Criminal Procedure – 706-103, 706-141</w:t>
      </w:r>
    </w:p>
  </w:footnote>
  <w:footnote w:id="4">
    <w:p w14:paraId="5D33BA30" w14:textId="77777777" w:rsidR="00B23074" w:rsidRPr="00C8617B" w:rsidRDefault="00B23074" w:rsidP="00B23074">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Code of Penalty – 131-39</w:t>
      </w:r>
    </w:p>
  </w:footnote>
  <w:footnote w:id="5">
    <w:p w14:paraId="247AB87A" w14:textId="77777777" w:rsidR="00B23074" w:rsidRPr="00C8617B" w:rsidRDefault="00B23074" w:rsidP="00B23074">
      <w:pPr>
        <w:pStyle w:val="FootnoteText"/>
        <w:ind w:left="426" w:hanging="426"/>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r>
        <w:rPr>
          <w:rFonts w:ascii="Arial" w:hAnsi="Arial" w:cs="Arial"/>
          <w:lang w:val="mn-MN"/>
        </w:rPr>
        <w:t xml:space="preserve"> </w:t>
      </w:r>
      <w:r w:rsidRPr="00C8617B">
        <w:rPr>
          <w:rFonts w:ascii="Arial" w:hAnsi="Arial" w:cs="Arial"/>
          <w:lang w:val="mn-MN"/>
        </w:rPr>
        <w:t>Code of Penalty – 131-39-2</w:t>
      </w:r>
    </w:p>
  </w:footnote>
  <w:footnote w:id="6">
    <w:p w14:paraId="1303EF86" w14:textId="77777777" w:rsidR="00B23074" w:rsidRPr="00D06E28" w:rsidRDefault="00B23074" w:rsidP="00B23074">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Code of Penalty – 131-46 (Татан буулгах нь эрүүгийн хариуцлагын нэг төрөл боловч эцсийн шийдвэр гарахаас өмнө шүүхээс урьдчилсан байдлаар хуулийн этгээдийн эрх зүйн байдлыг түдгэлзүүлэх тохиолдол байдаг)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00F14"/>
    <w:multiLevelType w:val="hybridMultilevel"/>
    <w:tmpl w:val="92160286"/>
    <w:lvl w:ilvl="0" w:tplc="6810CC92">
      <w:start w:val="2015"/>
      <w:numFmt w:val="bullet"/>
      <w:lvlText w:val="-"/>
      <w:lvlJc w:val="left"/>
      <w:pPr>
        <w:ind w:left="720" w:hanging="360"/>
      </w:pPr>
      <w:rPr>
        <w:rFonts w:ascii="Arial" w:eastAsiaTheme="minorHAnsi" w:hAnsi="Arial" w:cs="Arial" w:hint="default"/>
        <w:color w:val="333333"/>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64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NDE1MTQ1NDEzMjFW0lEKTi0uzszPAykwrAUAvwGReywAAAA="/>
  </w:docVars>
  <w:rsids>
    <w:rsidRoot w:val="00A72565"/>
    <w:rsid w:val="00001DD1"/>
    <w:rsid w:val="00015C57"/>
    <w:rsid w:val="0002653C"/>
    <w:rsid w:val="00030565"/>
    <w:rsid w:val="00037BD1"/>
    <w:rsid w:val="00054AAD"/>
    <w:rsid w:val="00061F1D"/>
    <w:rsid w:val="0006366C"/>
    <w:rsid w:val="00065983"/>
    <w:rsid w:val="00065C42"/>
    <w:rsid w:val="00082058"/>
    <w:rsid w:val="00082E03"/>
    <w:rsid w:val="000A4732"/>
    <w:rsid w:val="000B6D84"/>
    <w:rsid w:val="000B6DF3"/>
    <w:rsid w:val="000E2FFE"/>
    <w:rsid w:val="0012063F"/>
    <w:rsid w:val="00121453"/>
    <w:rsid w:val="00122830"/>
    <w:rsid w:val="001258D1"/>
    <w:rsid w:val="00126604"/>
    <w:rsid w:val="0013457B"/>
    <w:rsid w:val="001378B2"/>
    <w:rsid w:val="001450AC"/>
    <w:rsid w:val="0015669A"/>
    <w:rsid w:val="00163B26"/>
    <w:rsid w:val="00170A32"/>
    <w:rsid w:val="001746B4"/>
    <w:rsid w:val="00175A39"/>
    <w:rsid w:val="001A4E63"/>
    <w:rsid w:val="001B592A"/>
    <w:rsid w:val="001C3961"/>
    <w:rsid w:val="001D0D6C"/>
    <w:rsid w:val="001D1509"/>
    <w:rsid w:val="001F3D50"/>
    <w:rsid w:val="00212058"/>
    <w:rsid w:val="002413ED"/>
    <w:rsid w:val="00251E6F"/>
    <w:rsid w:val="00266363"/>
    <w:rsid w:val="002673D7"/>
    <w:rsid w:val="00275162"/>
    <w:rsid w:val="002F367B"/>
    <w:rsid w:val="00311240"/>
    <w:rsid w:val="00321580"/>
    <w:rsid w:val="00334DC1"/>
    <w:rsid w:val="003728C8"/>
    <w:rsid w:val="003C507B"/>
    <w:rsid w:val="003E270B"/>
    <w:rsid w:val="003F0D8A"/>
    <w:rsid w:val="004137E4"/>
    <w:rsid w:val="0043161D"/>
    <w:rsid w:val="0044274A"/>
    <w:rsid w:val="00453DCE"/>
    <w:rsid w:val="00470DCC"/>
    <w:rsid w:val="004728EC"/>
    <w:rsid w:val="0048704D"/>
    <w:rsid w:val="004F19B5"/>
    <w:rsid w:val="00501A6E"/>
    <w:rsid w:val="0050226B"/>
    <w:rsid w:val="00521D89"/>
    <w:rsid w:val="005304CA"/>
    <w:rsid w:val="00543295"/>
    <w:rsid w:val="00545B36"/>
    <w:rsid w:val="00572365"/>
    <w:rsid w:val="00590AEA"/>
    <w:rsid w:val="00597D8A"/>
    <w:rsid w:val="005A1689"/>
    <w:rsid w:val="005A4AD2"/>
    <w:rsid w:val="005D3C16"/>
    <w:rsid w:val="0060096A"/>
    <w:rsid w:val="00625088"/>
    <w:rsid w:val="00633D38"/>
    <w:rsid w:val="00651099"/>
    <w:rsid w:val="006517E4"/>
    <w:rsid w:val="006651C6"/>
    <w:rsid w:val="0067297A"/>
    <w:rsid w:val="00675859"/>
    <w:rsid w:val="00682034"/>
    <w:rsid w:val="006829CA"/>
    <w:rsid w:val="00684C32"/>
    <w:rsid w:val="006C0341"/>
    <w:rsid w:val="006D1A06"/>
    <w:rsid w:val="006D47F6"/>
    <w:rsid w:val="006E3297"/>
    <w:rsid w:val="006E5A1F"/>
    <w:rsid w:val="006F1791"/>
    <w:rsid w:val="00711B42"/>
    <w:rsid w:val="00712E89"/>
    <w:rsid w:val="00724A44"/>
    <w:rsid w:val="007836F7"/>
    <w:rsid w:val="0078797D"/>
    <w:rsid w:val="007925D7"/>
    <w:rsid w:val="00797C53"/>
    <w:rsid w:val="007A555C"/>
    <w:rsid w:val="007A7235"/>
    <w:rsid w:val="007C3346"/>
    <w:rsid w:val="007E2FBD"/>
    <w:rsid w:val="007F19FB"/>
    <w:rsid w:val="007F5940"/>
    <w:rsid w:val="00822C0F"/>
    <w:rsid w:val="00833B81"/>
    <w:rsid w:val="008438CD"/>
    <w:rsid w:val="008674DA"/>
    <w:rsid w:val="00874273"/>
    <w:rsid w:val="00874AF3"/>
    <w:rsid w:val="00886FE8"/>
    <w:rsid w:val="008E3DF0"/>
    <w:rsid w:val="008E67EC"/>
    <w:rsid w:val="00913438"/>
    <w:rsid w:val="0091662D"/>
    <w:rsid w:val="009219DE"/>
    <w:rsid w:val="00943F3E"/>
    <w:rsid w:val="009453C6"/>
    <w:rsid w:val="00945A31"/>
    <w:rsid w:val="00952696"/>
    <w:rsid w:val="009567E4"/>
    <w:rsid w:val="00967765"/>
    <w:rsid w:val="0097007A"/>
    <w:rsid w:val="0097150C"/>
    <w:rsid w:val="0097317C"/>
    <w:rsid w:val="009802A9"/>
    <w:rsid w:val="00983695"/>
    <w:rsid w:val="00983B67"/>
    <w:rsid w:val="00997834"/>
    <w:rsid w:val="009B20E7"/>
    <w:rsid w:val="00A25D1D"/>
    <w:rsid w:val="00A72565"/>
    <w:rsid w:val="00A84DCD"/>
    <w:rsid w:val="00A92DFA"/>
    <w:rsid w:val="00AA4EA7"/>
    <w:rsid w:val="00AA5FD7"/>
    <w:rsid w:val="00AC5A09"/>
    <w:rsid w:val="00AD1887"/>
    <w:rsid w:val="00AD1D1B"/>
    <w:rsid w:val="00AD74AA"/>
    <w:rsid w:val="00AE7DC5"/>
    <w:rsid w:val="00B03FC6"/>
    <w:rsid w:val="00B129A0"/>
    <w:rsid w:val="00B15B97"/>
    <w:rsid w:val="00B23074"/>
    <w:rsid w:val="00B235F6"/>
    <w:rsid w:val="00B40D82"/>
    <w:rsid w:val="00B464AF"/>
    <w:rsid w:val="00B5291E"/>
    <w:rsid w:val="00B541AC"/>
    <w:rsid w:val="00B56793"/>
    <w:rsid w:val="00B7601A"/>
    <w:rsid w:val="00B82B38"/>
    <w:rsid w:val="00BD37AD"/>
    <w:rsid w:val="00BE5E4E"/>
    <w:rsid w:val="00C10D1A"/>
    <w:rsid w:val="00C4782D"/>
    <w:rsid w:val="00C71B3B"/>
    <w:rsid w:val="00C847AB"/>
    <w:rsid w:val="00CA4B66"/>
    <w:rsid w:val="00CE2752"/>
    <w:rsid w:val="00D058C0"/>
    <w:rsid w:val="00D151BB"/>
    <w:rsid w:val="00D27813"/>
    <w:rsid w:val="00D46870"/>
    <w:rsid w:val="00D50E31"/>
    <w:rsid w:val="00D6037F"/>
    <w:rsid w:val="00D64956"/>
    <w:rsid w:val="00DE1D66"/>
    <w:rsid w:val="00DE6C90"/>
    <w:rsid w:val="00DE70EA"/>
    <w:rsid w:val="00E07CC8"/>
    <w:rsid w:val="00E3082E"/>
    <w:rsid w:val="00E313D3"/>
    <w:rsid w:val="00E444A1"/>
    <w:rsid w:val="00E44549"/>
    <w:rsid w:val="00E56A2F"/>
    <w:rsid w:val="00E75D56"/>
    <w:rsid w:val="00E773D8"/>
    <w:rsid w:val="00E81B3F"/>
    <w:rsid w:val="00EA3708"/>
    <w:rsid w:val="00EC0D1E"/>
    <w:rsid w:val="00EE400E"/>
    <w:rsid w:val="00F22DBA"/>
    <w:rsid w:val="00F30D17"/>
    <w:rsid w:val="00F3321F"/>
    <w:rsid w:val="00F85661"/>
    <w:rsid w:val="00FB6A1E"/>
    <w:rsid w:val="00FC5435"/>
    <w:rsid w:val="00FC5C7B"/>
    <w:rsid w:val="00FC7433"/>
    <w:rsid w:val="00FD7868"/>
    <w:rsid w:val="00FE2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F57B"/>
  <w15:chartTrackingRefBased/>
  <w15:docId w15:val="{0213E0A9-BF25-4634-A80E-0452D428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7256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WebChar">
    <w:name w:val="Normal (Web) Char"/>
    <w:link w:val="NormalWeb"/>
    <w:uiPriority w:val="99"/>
    <w:locked/>
    <w:rsid w:val="00A72565"/>
    <w:rPr>
      <w:rFonts w:ascii="Times New Roman" w:eastAsia="Times New Roman" w:hAnsi="Times New Roman" w:cs="Times New Roman"/>
      <w:kern w:val="0"/>
      <w:lang w:val="en-US"/>
      <w14:ligatures w14:val="none"/>
    </w:rPr>
  </w:style>
  <w:style w:type="table" w:styleId="TableGrid">
    <w:name w:val="Table Grid"/>
    <w:basedOn w:val="TableNormal"/>
    <w:uiPriority w:val="39"/>
    <w:rsid w:val="00A72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074"/>
    <w:pPr>
      <w:spacing w:line="360" w:lineRule="auto"/>
      <w:ind w:left="720"/>
      <w:contextualSpacing/>
    </w:pPr>
    <w:rPr>
      <w:rFonts w:ascii="Arial" w:hAnsi="Arial" w:cs="Arial"/>
      <w:lang w:val="en-US"/>
    </w:rPr>
  </w:style>
  <w:style w:type="paragraph" w:styleId="FootnoteText">
    <w:name w:val="footnote text"/>
    <w:basedOn w:val="Normal"/>
    <w:link w:val="FootnoteTextChar"/>
    <w:uiPriority w:val="99"/>
    <w:semiHidden/>
    <w:unhideWhenUsed/>
    <w:rsid w:val="00B2307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23074"/>
    <w:rPr>
      <w:sz w:val="20"/>
      <w:szCs w:val="20"/>
      <w:lang w:val="en-US"/>
    </w:rPr>
  </w:style>
  <w:style w:type="character" w:styleId="FootnoteReference">
    <w:name w:val="footnote reference"/>
    <w:basedOn w:val="DefaultParagraphFont"/>
    <w:uiPriority w:val="99"/>
    <w:semiHidden/>
    <w:unhideWhenUsed/>
    <w:rsid w:val="00B23074"/>
    <w:rPr>
      <w:vertAlign w:val="superscript"/>
    </w:rPr>
  </w:style>
  <w:style w:type="character" w:styleId="Hyperlink">
    <w:name w:val="Hyperlink"/>
    <w:basedOn w:val="DefaultParagraphFont"/>
    <w:uiPriority w:val="99"/>
    <w:unhideWhenUsed/>
    <w:rsid w:val="00B23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9227">
      <w:bodyDiv w:val="1"/>
      <w:marLeft w:val="0"/>
      <w:marRight w:val="0"/>
      <w:marTop w:val="0"/>
      <w:marBottom w:val="0"/>
      <w:divBdr>
        <w:top w:val="none" w:sz="0" w:space="0" w:color="auto"/>
        <w:left w:val="none" w:sz="0" w:space="0" w:color="auto"/>
        <w:bottom w:val="none" w:sz="0" w:space="0" w:color="auto"/>
        <w:right w:val="none" w:sz="0" w:space="0" w:color="auto"/>
      </w:divBdr>
    </w:div>
    <w:div w:id="18278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codes/texte_lc/LEGITEXT000006070719/" TargetMode="External"/><Relationship Id="rId1" Type="http://schemas.openxmlformats.org/officeDocument/2006/relationships/hyperlink" Target="https://www.legifrance.gouv.fr/codes/texte_lc/LEGITEXT000006071154/2005-1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Bolor.G</dc:creator>
  <cp:keywords/>
  <dc:description/>
  <cp:lastModifiedBy>Enkhtuvshin</cp:lastModifiedBy>
  <cp:revision>5</cp:revision>
  <dcterms:created xsi:type="dcterms:W3CDTF">2025-11-04T04:32:00Z</dcterms:created>
  <dcterms:modified xsi:type="dcterms:W3CDTF">2025-11-04T08:49:00Z</dcterms:modified>
</cp:coreProperties>
</file>