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8323" w14:textId="336E3AFC" w:rsidR="000E131B" w:rsidRPr="00CB4958" w:rsidRDefault="00DB2C55" w:rsidP="00727305">
      <w:pPr>
        <w:pStyle w:val="NoSpacing"/>
        <w:tabs>
          <w:tab w:val="left" w:pos="7037"/>
        </w:tabs>
        <w:jc w:val="both"/>
        <w:rPr>
          <w:rFonts w:ascii="Arial" w:hAnsi="Arial" w:cs="Arial"/>
          <w:szCs w:val="24"/>
          <w:lang w:val="mn-MN"/>
        </w:rPr>
      </w:pPr>
      <w:r w:rsidRPr="00CB4958">
        <w:rPr>
          <w:rFonts w:ascii="Arial" w:hAnsi="Arial" w:cs="Arial"/>
          <w:b/>
          <w:szCs w:val="24"/>
          <w:lang w:val="mn-MN"/>
        </w:rPr>
        <w:t>БАТЛАВ.</w:t>
      </w:r>
      <w:r w:rsidRPr="00CB4958">
        <w:rPr>
          <w:rFonts w:ascii="Arial" w:hAnsi="Arial" w:cs="Arial"/>
          <w:szCs w:val="24"/>
          <w:lang w:val="mn-MN"/>
        </w:rPr>
        <w:t xml:space="preserve"> </w:t>
      </w:r>
      <w:r w:rsidR="00345752" w:rsidRPr="00345752">
        <w:rPr>
          <w:rFonts w:ascii="Arial" w:hAnsi="Arial" w:cs="Arial"/>
          <w:b/>
          <w:bCs/>
          <w:szCs w:val="24"/>
          <w:lang w:val="mn-MN"/>
        </w:rPr>
        <w:t xml:space="preserve">УЛСЫН ИХ ХУРЛЫН ГИШҮҮН </w:t>
      </w:r>
      <w:r w:rsidR="00345752" w:rsidRPr="00345752">
        <w:rPr>
          <w:rFonts w:ascii="Arial" w:hAnsi="Arial" w:cs="Arial"/>
          <w:b/>
          <w:bCs/>
          <w:szCs w:val="24"/>
          <w:lang w:val="mn-MN"/>
        </w:rPr>
        <w:tab/>
        <w:t>Э.БОЛОРМАА</w:t>
      </w:r>
    </w:p>
    <w:p w14:paraId="52665B4B" w14:textId="77777777" w:rsidR="008A490A" w:rsidRPr="00CB4958" w:rsidRDefault="008A490A" w:rsidP="00727305">
      <w:pPr>
        <w:pStyle w:val="NoSpacing"/>
        <w:jc w:val="both"/>
        <w:rPr>
          <w:rFonts w:ascii="Arial" w:hAnsi="Arial" w:cs="Arial"/>
          <w:szCs w:val="24"/>
          <w:lang w:val="mn-MN"/>
        </w:rPr>
      </w:pPr>
    </w:p>
    <w:p w14:paraId="254820A3" w14:textId="77777777" w:rsidR="008A490A" w:rsidRPr="00CB4958" w:rsidRDefault="008A490A" w:rsidP="00727305">
      <w:pPr>
        <w:tabs>
          <w:tab w:val="left" w:pos="8327"/>
        </w:tabs>
        <w:spacing w:after="0" w:line="240" w:lineRule="auto"/>
        <w:jc w:val="center"/>
        <w:rPr>
          <w:rFonts w:ascii="Arial" w:hAnsi="Arial" w:cs="Arial"/>
          <w:b/>
          <w:szCs w:val="24"/>
          <w:lang w:val="mn-MN"/>
        </w:rPr>
      </w:pPr>
    </w:p>
    <w:p w14:paraId="67405454" w14:textId="77777777" w:rsidR="005916C0" w:rsidRPr="00CB4958" w:rsidRDefault="005916C0" w:rsidP="00727305">
      <w:pPr>
        <w:tabs>
          <w:tab w:val="left" w:pos="8327"/>
        </w:tabs>
        <w:spacing w:after="0" w:line="240" w:lineRule="auto"/>
        <w:jc w:val="center"/>
        <w:rPr>
          <w:rFonts w:ascii="Arial" w:hAnsi="Arial" w:cs="Arial"/>
          <w:b/>
          <w:szCs w:val="24"/>
          <w:lang w:val="mn-MN"/>
        </w:rPr>
      </w:pPr>
    </w:p>
    <w:p w14:paraId="61CE7D1E" w14:textId="2B834D7C" w:rsidR="00D95E7C" w:rsidRPr="00CB4958" w:rsidRDefault="008A490A" w:rsidP="00727305">
      <w:pPr>
        <w:tabs>
          <w:tab w:val="left" w:pos="8327"/>
        </w:tabs>
        <w:spacing w:after="0" w:line="240" w:lineRule="auto"/>
        <w:jc w:val="center"/>
        <w:rPr>
          <w:rFonts w:ascii="Arial" w:eastAsiaTheme="minorEastAsia" w:hAnsi="Arial" w:cs="Arial"/>
          <w:szCs w:val="24"/>
          <w:lang w:val="mn-MN" w:eastAsia="zh-CN"/>
        </w:rPr>
      </w:pPr>
      <w:r w:rsidRPr="00CB4958">
        <w:rPr>
          <w:rFonts w:ascii="Arial" w:hAnsi="Arial" w:cs="Arial"/>
          <w:b/>
          <w:szCs w:val="24"/>
          <w:lang w:val="mn-MN"/>
        </w:rPr>
        <w:t>САНХҮҮГИЙН ХЭРЭГЛЭГЧИЙН ЭРХИЙГ ХАМГААЛАХ</w:t>
      </w:r>
      <w:r w:rsidR="00266486" w:rsidRPr="00CB4958">
        <w:rPr>
          <w:rFonts w:ascii="Arial" w:hAnsi="Arial" w:cs="Arial"/>
          <w:b/>
          <w:szCs w:val="24"/>
          <w:lang w:val="mn-MN"/>
        </w:rPr>
        <w:t xml:space="preserve"> ТУХАЙ ХУУЛИЙН </w:t>
      </w:r>
      <w:r w:rsidR="00D95E7C" w:rsidRPr="00CB4958">
        <w:rPr>
          <w:rFonts w:ascii="Arial" w:eastAsiaTheme="minorEastAsia" w:hAnsi="Arial" w:cs="Arial"/>
          <w:b/>
          <w:szCs w:val="24"/>
          <w:lang w:val="mn-MN" w:eastAsia="zh-CN"/>
        </w:rPr>
        <w:t>ТӨСЛИЙН ҮЗЭЛ БАРИМТЛАЛ</w:t>
      </w:r>
    </w:p>
    <w:p w14:paraId="49A2DFEF" w14:textId="77777777" w:rsidR="00D95E7C" w:rsidRPr="00CB4958" w:rsidRDefault="00D95E7C" w:rsidP="00727305">
      <w:pPr>
        <w:spacing w:after="0" w:line="240" w:lineRule="auto"/>
        <w:jc w:val="center"/>
        <w:rPr>
          <w:rFonts w:ascii="Arial" w:eastAsiaTheme="minorEastAsia" w:hAnsi="Arial" w:cs="Arial"/>
          <w:szCs w:val="24"/>
          <w:lang w:val="mn-MN" w:eastAsia="zh-CN"/>
        </w:rPr>
      </w:pPr>
    </w:p>
    <w:p w14:paraId="0875AD38" w14:textId="77777777" w:rsidR="00D95E7C" w:rsidRPr="00CB4958" w:rsidRDefault="00D95E7C" w:rsidP="00727305">
      <w:pPr>
        <w:spacing w:after="0" w:line="240" w:lineRule="auto"/>
        <w:jc w:val="center"/>
        <w:rPr>
          <w:rFonts w:ascii="Arial" w:eastAsiaTheme="minorEastAsia" w:hAnsi="Arial" w:cs="Arial"/>
          <w:szCs w:val="24"/>
          <w:lang w:val="mn-MN" w:eastAsia="zh-CN"/>
        </w:rPr>
      </w:pPr>
    </w:p>
    <w:p w14:paraId="2582E535" w14:textId="77777777" w:rsidR="00D95E7C" w:rsidRPr="00CB4958" w:rsidRDefault="00D95E7C" w:rsidP="00727305">
      <w:pPr>
        <w:spacing w:after="0" w:line="240" w:lineRule="auto"/>
        <w:ind w:firstLine="720"/>
        <w:jc w:val="both"/>
        <w:rPr>
          <w:rFonts w:ascii="Arial" w:eastAsiaTheme="minorEastAsia" w:hAnsi="Arial" w:cs="Arial"/>
          <w:szCs w:val="24"/>
          <w:lang w:val="mn-MN" w:eastAsia="zh-CN"/>
        </w:rPr>
      </w:pPr>
      <w:r w:rsidRPr="00CB4958">
        <w:rPr>
          <w:rFonts w:ascii="Arial" w:eastAsiaTheme="minorEastAsia" w:hAnsi="Arial" w:cs="Arial"/>
          <w:b/>
          <w:szCs w:val="24"/>
          <w:lang w:val="mn-MN" w:eastAsia="zh-CN"/>
        </w:rPr>
        <w:t>Нэг.Хуулийн төсөл боловсруулах болсон үндэслэл, шаардлага</w:t>
      </w:r>
    </w:p>
    <w:p w14:paraId="7AB77F86" w14:textId="77777777" w:rsidR="00947214" w:rsidRPr="00CB4958" w:rsidRDefault="001E4564" w:rsidP="00947214">
      <w:pPr>
        <w:spacing w:before="240" w:after="0" w:line="240" w:lineRule="auto"/>
        <w:ind w:firstLine="720"/>
        <w:jc w:val="both"/>
        <w:rPr>
          <w:rFonts w:ascii="Arial" w:hAnsi="Arial" w:cs="Arial"/>
          <w:szCs w:val="24"/>
          <w:lang w:val="mn-MN"/>
        </w:rPr>
      </w:pPr>
      <w:r w:rsidRPr="00CB4958">
        <w:rPr>
          <w:rFonts w:ascii="Arial" w:hAnsi="Arial" w:cs="Arial"/>
          <w:szCs w:val="24"/>
          <w:lang w:val="mn-MN"/>
        </w:rPr>
        <w:t xml:space="preserve">Монгол Улсын Их Хурлаас </w:t>
      </w:r>
      <w:r w:rsidR="009C142E" w:rsidRPr="00CB4958">
        <w:rPr>
          <w:rFonts w:ascii="Arial" w:hAnsi="Arial" w:cs="Arial"/>
          <w:szCs w:val="24"/>
          <w:lang w:val="mn-MN"/>
        </w:rPr>
        <w:t xml:space="preserve">2018 оны 1 дүгээр сарын 12-ны өдөр </w:t>
      </w:r>
      <w:r w:rsidRPr="00CB4958">
        <w:rPr>
          <w:rFonts w:ascii="Arial" w:hAnsi="Arial" w:cs="Arial"/>
          <w:szCs w:val="24"/>
          <w:lang w:val="mn-MN"/>
        </w:rPr>
        <w:t xml:space="preserve">баталсан </w:t>
      </w:r>
      <w:r w:rsidR="009C142E" w:rsidRPr="00CB4958">
        <w:rPr>
          <w:rFonts w:ascii="Arial" w:hAnsi="Arial" w:cs="Arial"/>
          <w:szCs w:val="24"/>
          <w:lang w:val="mn-MN"/>
        </w:rPr>
        <w:t>Төв бан</w:t>
      </w:r>
      <w:r w:rsidRPr="00CB4958">
        <w:rPr>
          <w:rFonts w:ascii="Arial" w:hAnsi="Arial" w:cs="Arial"/>
          <w:szCs w:val="24"/>
          <w:lang w:val="mn-MN"/>
        </w:rPr>
        <w:t>к (Монголбанк)-ны тухай хуульд нэмэлт, өөрчлөлт оруулах тухай хуулиар Монголбанкинд “</w:t>
      </w:r>
      <w:r w:rsidR="009C142E" w:rsidRPr="00CB4958">
        <w:rPr>
          <w:rFonts w:ascii="Arial" w:hAnsi="Arial" w:cs="Arial"/>
          <w:szCs w:val="24"/>
          <w:lang w:val="mn-MN"/>
        </w:rPr>
        <w:t>банкны харилцагч, хадгаламж эзэмшигчийн эрх, хууль ёсны ашиг сонирхлыг хамгаалах</w:t>
      </w:r>
      <w:r w:rsidRPr="00CB4958">
        <w:rPr>
          <w:rFonts w:ascii="Arial" w:hAnsi="Arial" w:cs="Arial"/>
          <w:szCs w:val="24"/>
          <w:lang w:val="mn-MN"/>
        </w:rPr>
        <w:t>”</w:t>
      </w:r>
      <w:r w:rsidR="009C142E" w:rsidRPr="00CB4958">
        <w:rPr>
          <w:rFonts w:ascii="Arial" w:hAnsi="Arial" w:cs="Arial"/>
          <w:szCs w:val="24"/>
          <w:lang w:val="mn-MN"/>
        </w:rPr>
        <w:t xml:space="preserve"> </w:t>
      </w:r>
      <w:r w:rsidRPr="00CB4958">
        <w:rPr>
          <w:rFonts w:ascii="Arial" w:hAnsi="Arial" w:cs="Arial"/>
          <w:szCs w:val="24"/>
          <w:lang w:val="mn-MN"/>
        </w:rPr>
        <w:t>мандат шинээр нэмэгдсэн.</w:t>
      </w:r>
    </w:p>
    <w:p w14:paraId="14F7B860" w14:textId="77777777" w:rsidR="00947214" w:rsidRPr="00CB4958" w:rsidRDefault="00CD32DE" w:rsidP="00947214">
      <w:pPr>
        <w:spacing w:before="240" w:after="0" w:line="240" w:lineRule="auto"/>
        <w:ind w:firstLine="720"/>
        <w:jc w:val="both"/>
        <w:rPr>
          <w:rFonts w:ascii="Arial" w:hAnsi="Arial" w:cs="Arial"/>
          <w:lang w:val="mn-MN"/>
        </w:rPr>
      </w:pPr>
      <w:r w:rsidRPr="00CB4958">
        <w:rPr>
          <w:rFonts w:ascii="Arial" w:hAnsi="Arial" w:cs="Arial"/>
          <w:bCs/>
          <w:lang w:val="mn-MN"/>
        </w:rPr>
        <w:t xml:space="preserve">Түүнчлэн УИХ-ын </w:t>
      </w:r>
      <w:r w:rsidR="009C142E" w:rsidRPr="00CB4958">
        <w:rPr>
          <w:rFonts w:ascii="Arial" w:hAnsi="Arial" w:cs="Arial"/>
          <w:lang w:val="mn-MN"/>
        </w:rPr>
        <w:t xml:space="preserve">2020 оны 32 дугаар тогтоолоор </w:t>
      </w:r>
      <w:r w:rsidRPr="00CB4958">
        <w:rPr>
          <w:rFonts w:ascii="Arial" w:hAnsi="Arial" w:cs="Arial"/>
          <w:lang w:val="mn-MN"/>
        </w:rPr>
        <w:t xml:space="preserve">баталсан </w:t>
      </w:r>
      <w:r w:rsidRPr="00CB4958">
        <w:rPr>
          <w:rFonts w:ascii="Arial" w:hAnsi="Arial" w:cs="Arial"/>
          <w:bCs/>
          <w:lang w:val="mn-MN"/>
        </w:rPr>
        <w:t xml:space="preserve">Төрөөс мөнгөний бодлогын талаар 2021 онд баримтлах үндсэн чиглэлийн </w:t>
      </w:r>
      <w:r w:rsidR="001E4564" w:rsidRPr="00CB4958">
        <w:rPr>
          <w:rFonts w:ascii="Arial" w:hAnsi="Arial" w:cs="Arial"/>
          <w:bCs/>
          <w:lang w:val="mn-MN"/>
        </w:rPr>
        <w:t xml:space="preserve">2-т </w:t>
      </w:r>
      <w:r w:rsidRPr="00CB4958">
        <w:rPr>
          <w:rFonts w:ascii="Arial" w:hAnsi="Arial" w:cs="Arial"/>
          <w:bCs/>
          <w:lang w:val="mn-MN"/>
        </w:rPr>
        <w:t>“</w:t>
      </w:r>
      <w:r w:rsidR="001E4564" w:rsidRPr="00CB4958">
        <w:rPr>
          <w:rFonts w:ascii="Arial" w:hAnsi="Arial" w:cs="Arial"/>
          <w:lang w:val="mn-MN"/>
        </w:rPr>
        <w:t xml:space="preserve">санхүүгийн хэрэглэгчийн эрх ашгийг хамгаалах эрх зүйн орчныг сайжруулж, санхүүгийн маргааныг олон улсын шилдэг туршлагад үндэслэн шийдвэрлэх оновчтой тогтолцоог бүрдүүлэх”-ээр, 2021 оны 91 дүгээр тогтоолоор батлагдсан </w:t>
      </w:r>
      <w:r w:rsidR="001E4564" w:rsidRPr="00CB4958">
        <w:rPr>
          <w:rFonts w:ascii="Arial" w:hAnsi="Arial" w:cs="Arial"/>
          <w:bCs/>
          <w:lang w:val="mn-MN"/>
        </w:rPr>
        <w:t>Төрөөс мөнгөний бодлогын талаар 2022 онд баримтлах үндсэн чиглэлийн хавсралтын 3.3-т “</w:t>
      </w:r>
      <w:r w:rsidR="001E4564" w:rsidRPr="00CB4958">
        <w:rPr>
          <w:rStyle w:val="Strong"/>
          <w:rFonts w:ascii="Arial" w:hAnsi="Arial" w:cs="Arial"/>
          <w:b w:val="0"/>
          <w:lang w:val="mn-MN"/>
        </w:rPr>
        <w:t>с</w:t>
      </w:r>
      <w:r w:rsidR="009C142E" w:rsidRPr="00CB4958">
        <w:rPr>
          <w:rStyle w:val="highlight2"/>
          <w:rFonts w:ascii="Arial" w:hAnsi="Arial" w:cs="Arial"/>
          <w:lang w:val="mn-MN"/>
        </w:rPr>
        <w:t xml:space="preserve">анхүүгийн </w:t>
      </w:r>
      <w:r w:rsidR="009C142E" w:rsidRPr="00CB4958">
        <w:rPr>
          <w:rFonts w:ascii="Arial" w:hAnsi="Arial" w:cs="Arial"/>
          <w:lang w:val="mn-MN"/>
        </w:rPr>
        <w:t xml:space="preserve">хэрэглэгчийн эрх ашгийг хамгаалах хүрээнд иргэд, бичил, жижиг, дунд үйлдвэрлэл эрхлэгчдийн </w:t>
      </w:r>
      <w:r w:rsidR="009C142E" w:rsidRPr="00CB4958">
        <w:rPr>
          <w:rStyle w:val="highlight2"/>
          <w:rFonts w:ascii="Arial" w:hAnsi="Arial" w:cs="Arial"/>
          <w:lang w:val="mn-MN"/>
        </w:rPr>
        <w:t xml:space="preserve">санхүүгийн </w:t>
      </w:r>
      <w:r w:rsidR="001E4564" w:rsidRPr="00CB4958">
        <w:rPr>
          <w:rFonts w:ascii="Arial" w:hAnsi="Arial" w:cs="Arial"/>
          <w:lang w:val="mn-MN"/>
        </w:rPr>
        <w:t>суурь мэдлэгийг дэмжих”-ээр тус тус тусгагдсан</w:t>
      </w:r>
      <w:r w:rsidR="00947214" w:rsidRPr="00CB4958">
        <w:rPr>
          <w:rFonts w:ascii="Arial" w:hAnsi="Arial" w:cs="Arial"/>
          <w:lang w:val="mn-MN"/>
        </w:rPr>
        <w:t>.</w:t>
      </w:r>
    </w:p>
    <w:p w14:paraId="74AB7265" w14:textId="77777777" w:rsidR="003C7816" w:rsidRPr="00CB4958" w:rsidRDefault="00947214" w:rsidP="00947214">
      <w:pPr>
        <w:spacing w:before="240" w:after="0" w:line="240" w:lineRule="auto"/>
        <w:ind w:firstLine="720"/>
        <w:jc w:val="both"/>
        <w:rPr>
          <w:rFonts w:ascii="Arial" w:hAnsi="Arial" w:cs="Arial"/>
          <w:szCs w:val="24"/>
          <w:lang w:val="mn-MN"/>
        </w:rPr>
      </w:pPr>
      <w:r w:rsidRPr="00CB4958">
        <w:rPr>
          <w:rFonts w:ascii="Arial" w:hAnsi="Arial" w:cs="Arial"/>
          <w:szCs w:val="24"/>
          <w:lang w:val="mn-MN"/>
        </w:rPr>
        <w:t>1991 онд Монгол Улс төвлөрсөн төлөвлөгөөт эдийн засгаас зах зээлийн эдийн засагт шилжиж  банк</w:t>
      </w:r>
      <w:r w:rsidR="004A20D6" w:rsidRPr="00CB4958">
        <w:rPr>
          <w:rFonts w:ascii="Arial" w:hAnsi="Arial" w:cs="Arial"/>
          <w:szCs w:val="24"/>
          <w:lang w:val="mn-MN"/>
        </w:rPr>
        <w:t>ны</w:t>
      </w:r>
      <w:r w:rsidRPr="00CB4958">
        <w:rPr>
          <w:rFonts w:ascii="Arial" w:hAnsi="Arial" w:cs="Arial"/>
          <w:szCs w:val="24"/>
          <w:lang w:val="mn-MN"/>
        </w:rPr>
        <w:t xml:space="preserve"> 2 шатлалт тогтолцоо бий бол</w:t>
      </w:r>
      <w:r w:rsidR="004A20D6" w:rsidRPr="00CB4958">
        <w:rPr>
          <w:rFonts w:ascii="Arial" w:hAnsi="Arial" w:cs="Arial"/>
          <w:szCs w:val="24"/>
          <w:lang w:val="mn-MN"/>
        </w:rPr>
        <w:t>ж</w:t>
      </w:r>
      <w:r w:rsidRPr="00CB4958">
        <w:rPr>
          <w:rFonts w:ascii="Arial" w:hAnsi="Arial" w:cs="Arial"/>
          <w:szCs w:val="24"/>
          <w:lang w:val="mn-MN"/>
        </w:rPr>
        <w:t> Монгол Улсын Төв банк болох Монголбанк банкны салбарын үндсэн зохицуулагчаар ажиллаж эхэлсэн бөгөөд бодлогын бүх шатанд банкны салбарыг хөгжүүлэх, бэхжүүлэхэд ихээхэн анхаарч ирсэн ба</w:t>
      </w:r>
      <w:r w:rsidR="004A20D6" w:rsidRPr="00CB4958">
        <w:rPr>
          <w:rFonts w:ascii="Arial" w:hAnsi="Arial" w:cs="Arial"/>
          <w:szCs w:val="24"/>
          <w:lang w:val="mn-MN"/>
        </w:rPr>
        <w:t>йдаг.</w:t>
      </w:r>
      <w:r w:rsidRPr="00CB4958">
        <w:rPr>
          <w:rFonts w:ascii="Arial" w:hAnsi="Arial" w:cs="Arial"/>
          <w:szCs w:val="24"/>
          <w:lang w:val="mn-MN"/>
        </w:rPr>
        <w:t xml:space="preserve"> </w:t>
      </w:r>
      <w:r w:rsidR="004A20D6" w:rsidRPr="00CB4958">
        <w:rPr>
          <w:rFonts w:ascii="Arial" w:hAnsi="Arial" w:cs="Arial"/>
          <w:szCs w:val="24"/>
          <w:lang w:val="mn-MN"/>
        </w:rPr>
        <w:t>Банк, санхүүгийн</w:t>
      </w:r>
      <w:r w:rsidRPr="00CB4958">
        <w:rPr>
          <w:rFonts w:ascii="Arial" w:hAnsi="Arial" w:cs="Arial"/>
          <w:szCs w:val="24"/>
          <w:lang w:val="mn-MN"/>
        </w:rPr>
        <w:t xml:space="preserve"> салбар </w:t>
      </w:r>
      <w:r w:rsidR="004A20D6" w:rsidRPr="00CB4958">
        <w:rPr>
          <w:rFonts w:ascii="Arial" w:hAnsi="Arial" w:cs="Arial"/>
          <w:szCs w:val="24"/>
          <w:lang w:val="mn-MN"/>
        </w:rPr>
        <w:t xml:space="preserve">нь </w:t>
      </w:r>
      <w:r w:rsidRPr="00CB4958">
        <w:rPr>
          <w:rFonts w:ascii="Arial" w:hAnsi="Arial" w:cs="Arial"/>
          <w:szCs w:val="24"/>
          <w:lang w:val="mn-MN"/>
        </w:rPr>
        <w:t xml:space="preserve">Монгол Улсын эдийн засгийн төдийгүй нийтлэг хөгжилд ихээхэн хувь нэмэр оруулж ирсэн </w:t>
      </w:r>
      <w:r w:rsidR="004A20D6" w:rsidRPr="00CB4958">
        <w:rPr>
          <w:rFonts w:ascii="Arial" w:hAnsi="Arial" w:cs="Arial"/>
          <w:szCs w:val="24"/>
          <w:lang w:val="mn-MN"/>
        </w:rPr>
        <w:t>бөгөөд</w:t>
      </w:r>
      <w:r w:rsidRPr="00CB4958">
        <w:rPr>
          <w:rFonts w:ascii="Arial" w:hAnsi="Arial" w:cs="Arial"/>
          <w:szCs w:val="24"/>
          <w:lang w:val="mn-MN"/>
        </w:rPr>
        <w:t xml:space="preserve"> хөгжлийн</w:t>
      </w:r>
      <w:r w:rsidR="004A20D6" w:rsidRPr="00CB4958">
        <w:rPr>
          <w:rFonts w:ascii="Arial" w:hAnsi="Arial" w:cs="Arial"/>
          <w:szCs w:val="24"/>
          <w:lang w:val="mn-MN"/>
        </w:rPr>
        <w:t>хөө</w:t>
      </w:r>
      <w:r w:rsidRPr="00CB4958">
        <w:rPr>
          <w:rFonts w:ascii="Arial" w:hAnsi="Arial" w:cs="Arial"/>
          <w:szCs w:val="24"/>
          <w:lang w:val="mn-MN"/>
        </w:rPr>
        <w:t xml:space="preserve"> явцад дутагдалтай байсан зүйлүү</w:t>
      </w:r>
      <w:r w:rsidR="004A20D6" w:rsidRPr="00CB4958">
        <w:rPr>
          <w:rFonts w:ascii="Arial" w:hAnsi="Arial" w:cs="Arial"/>
          <w:szCs w:val="24"/>
          <w:lang w:val="mn-MN"/>
        </w:rPr>
        <w:t>дээ засварлаж боловсронгуй болгосоор байгаа билээ.</w:t>
      </w:r>
      <w:r w:rsidRPr="00CB4958">
        <w:rPr>
          <w:rFonts w:ascii="Arial" w:hAnsi="Arial" w:cs="Arial"/>
          <w:szCs w:val="24"/>
          <w:lang w:val="mn-MN"/>
        </w:rPr>
        <w:t xml:space="preserve"> </w:t>
      </w:r>
    </w:p>
    <w:p w14:paraId="13E0B5CC" w14:textId="2C24B5B8" w:rsidR="00947214" w:rsidRPr="00CB4958" w:rsidRDefault="003C7816" w:rsidP="003C7816">
      <w:pPr>
        <w:spacing w:before="240" w:after="0" w:line="240" w:lineRule="auto"/>
        <w:ind w:firstLine="720"/>
        <w:jc w:val="both"/>
        <w:rPr>
          <w:rFonts w:ascii="Arial" w:eastAsia="Times New Roman" w:hAnsi="Arial" w:cs="Arial"/>
          <w:bCs/>
          <w:szCs w:val="24"/>
          <w:lang w:val="mn-MN"/>
        </w:rPr>
      </w:pPr>
      <w:r w:rsidRPr="00CB4958">
        <w:rPr>
          <w:rFonts w:ascii="Arial" w:hAnsi="Arial" w:cs="Arial"/>
          <w:szCs w:val="24"/>
          <w:lang w:val="mn-MN"/>
        </w:rPr>
        <w:t>Өнөөгийн банк, санхүүгийн салбарт тулгамдаж байгаа харилцагч</w:t>
      </w:r>
      <w:r w:rsidR="00947214" w:rsidRPr="00CB4958">
        <w:rPr>
          <w:rFonts w:ascii="Arial" w:hAnsi="Arial" w:cs="Arial"/>
          <w:szCs w:val="24"/>
          <w:lang w:val="mn-MN"/>
        </w:rPr>
        <w:t>, хадгаламж эзэмшигчийн хууль ёсны эрхийг хамгаалах хууль, эрх зүйн орчин</w:t>
      </w:r>
      <w:r w:rsidRPr="00CB4958">
        <w:rPr>
          <w:rFonts w:ascii="Arial" w:hAnsi="Arial" w:cs="Arial"/>
          <w:szCs w:val="24"/>
          <w:lang w:val="mn-MN"/>
        </w:rPr>
        <w:t xml:space="preserve">г боловсронгуй болгох хэрэгцээ, шаардлага нь </w:t>
      </w:r>
      <w:r w:rsidR="003B7B1A" w:rsidRPr="00CB4958">
        <w:rPr>
          <w:rFonts w:ascii="Arial" w:hAnsi="Arial" w:cs="Arial"/>
          <w:szCs w:val="24"/>
          <w:lang w:val="mn-MN"/>
        </w:rPr>
        <w:t>Дэлхийн банкны “Санхүүгийн хэрэглэгчийн эрхийг хамгаалах сайн туршлага” судалгаа</w:t>
      </w:r>
      <w:r w:rsidR="003B7B1A" w:rsidRPr="00CB4958">
        <w:rPr>
          <w:rStyle w:val="FootnoteReference"/>
          <w:rFonts w:ascii="Arial" w:hAnsi="Arial" w:cs="Arial"/>
          <w:szCs w:val="24"/>
          <w:lang w:val="mn-MN"/>
        </w:rPr>
        <w:footnoteReference w:id="1"/>
      </w:r>
      <w:r w:rsidR="003B7B1A" w:rsidRPr="00CB4958">
        <w:rPr>
          <w:rFonts w:ascii="Arial" w:hAnsi="Arial" w:cs="Arial"/>
          <w:szCs w:val="24"/>
          <w:lang w:val="mn-MN"/>
        </w:rPr>
        <w:t xml:space="preserve">,  Нэгдсэн </w:t>
      </w:r>
      <w:r w:rsidR="003D4269" w:rsidRPr="00CB4958">
        <w:rPr>
          <w:rFonts w:ascii="Arial" w:eastAsiaTheme="minorEastAsia" w:hAnsi="Arial" w:cs="Arial"/>
          <w:szCs w:val="24"/>
          <w:lang w:val="mn-MN" w:eastAsia="zh-CN"/>
        </w:rPr>
        <w:t xml:space="preserve">Үндэснийн Байгууллагын Ерөнхий Ассамблей санхүүгийн хэрэглэгчийн эрхийг хамгаалах шинэчилсэн удирдамж болон </w:t>
      </w:r>
      <w:r w:rsidRPr="00CB4958">
        <w:rPr>
          <w:rFonts w:ascii="Arial" w:hAnsi="Arial" w:cs="Arial"/>
          <w:bCs/>
          <w:szCs w:val="24"/>
          <w:lang w:val="mn-MN"/>
        </w:rPr>
        <w:t>Санхүүгийн хэрэглэгчийн эрхийг хамгаалах тухай хуулийн хэрэгцээ, шаардлагыг урьдчилан тандан судлах судалгааны тайлан</w:t>
      </w:r>
      <w:r w:rsidR="003D4269" w:rsidRPr="00CB4958">
        <w:rPr>
          <w:rFonts w:ascii="Arial" w:hAnsi="Arial" w:cs="Arial"/>
          <w:bCs/>
          <w:szCs w:val="24"/>
          <w:lang w:val="mn-MN"/>
        </w:rPr>
        <w:t xml:space="preserve">гаас харагдаж байгаа ба </w:t>
      </w:r>
      <w:r w:rsidR="003D4269" w:rsidRPr="00CB4958">
        <w:rPr>
          <w:rFonts w:ascii="Arial" w:eastAsiaTheme="minorEastAsia" w:hAnsi="Arial" w:cs="Arial"/>
          <w:szCs w:val="24"/>
          <w:lang w:val="mn-MN" w:eastAsia="zh-CN"/>
        </w:rPr>
        <w:t xml:space="preserve">Нэгдсэн Үндэсний байгууллагаас  дэлхийн санхүүгийн зах зээл дээр үүссэн 2008 оны хямрал </w:t>
      </w:r>
      <w:r w:rsidR="003D4269" w:rsidRPr="00CB4958">
        <w:rPr>
          <w:rFonts w:ascii="Arial" w:eastAsiaTheme="minorEastAsia" w:hAnsi="Arial" w:cs="Arial"/>
          <w:szCs w:val="24"/>
          <w:lang w:val="mn-MN" w:eastAsia="zh-CN"/>
        </w:rPr>
        <w:lastRenderedPageBreak/>
        <w:t>нь "санхүүгийн хэрэглэгч"-ийн эрх ашгийг хамгаалах үр дүнтэй арга хэмжээ дутмаг байгааг харуулсансургамж болсоныг дүгнэсэн байдаг. Энэ нь улс орнууд санхүүгийн хэрэглэгчийн эрхийг хамгаалах хууль тогтоомж, бодлого хэрэгжүүлэгч агентлагуудыг бий болгоход түлхэц болсон. Санхүүгийн хэрэглэгчийг хамгаалахад хууль, эрх зүйн акт боловсруулах, зохицуулагч байгууллага болон хяналт шалгалтын тогтолцоо байх ёстой гэж үзсэн байдаг</w:t>
      </w:r>
      <w:r w:rsidR="003D4269" w:rsidRPr="00CB4958">
        <w:rPr>
          <w:rStyle w:val="FootnoteReference"/>
          <w:rFonts w:ascii="Arial" w:eastAsiaTheme="minorEastAsia" w:hAnsi="Arial" w:cs="Arial"/>
          <w:szCs w:val="24"/>
          <w:lang w:val="mn-MN" w:eastAsia="zh-CN"/>
        </w:rPr>
        <w:footnoteReference w:id="2"/>
      </w:r>
      <w:r w:rsidR="003D4269" w:rsidRPr="00CB4958">
        <w:rPr>
          <w:rFonts w:ascii="Arial" w:eastAsiaTheme="minorEastAsia" w:hAnsi="Arial" w:cs="Arial"/>
          <w:szCs w:val="24"/>
          <w:lang w:val="mn-MN" w:eastAsia="zh-CN"/>
        </w:rPr>
        <w:t>.</w:t>
      </w:r>
    </w:p>
    <w:p w14:paraId="5978B58D" w14:textId="4375A8FC" w:rsidR="00727305" w:rsidRPr="00CB4958" w:rsidRDefault="00727305" w:rsidP="00947214">
      <w:pPr>
        <w:spacing w:before="240" w:after="0" w:line="240" w:lineRule="auto"/>
        <w:ind w:firstLine="720"/>
        <w:jc w:val="both"/>
        <w:rPr>
          <w:rFonts w:ascii="Arial" w:eastAsia="Times New Roman" w:hAnsi="Arial" w:cs="Arial"/>
          <w:szCs w:val="24"/>
          <w:lang w:val="mn-MN"/>
        </w:rPr>
      </w:pPr>
      <w:r w:rsidRPr="00CB4958">
        <w:rPr>
          <w:rFonts w:ascii="Arial" w:hAnsi="Arial" w:cs="Arial"/>
          <w:szCs w:val="24"/>
          <w:lang w:val="mn-MN"/>
        </w:rPr>
        <w:t xml:space="preserve">Монгол улсад </w:t>
      </w:r>
      <w:r w:rsidR="00F51488" w:rsidRPr="00CB4958">
        <w:rPr>
          <w:rFonts w:ascii="Arial" w:hAnsi="Arial" w:cs="Arial"/>
          <w:szCs w:val="24"/>
          <w:lang w:val="mn-MN"/>
        </w:rPr>
        <w:t xml:space="preserve">санхүүгийн </w:t>
      </w:r>
      <w:r w:rsidRPr="00CB4958">
        <w:rPr>
          <w:rFonts w:ascii="Arial" w:hAnsi="Arial" w:cs="Arial"/>
          <w:szCs w:val="24"/>
          <w:lang w:val="mn-MN"/>
        </w:rPr>
        <w:t xml:space="preserve">хэрэглэгчийн </w:t>
      </w:r>
      <w:r w:rsidR="00F51488" w:rsidRPr="00CB4958">
        <w:rPr>
          <w:rFonts w:ascii="Arial" w:hAnsi="Arial" w:cs="Arial"/>
          <w:szCs w:val="24"/>
          <w:lang w:val="mn-MN"/>
        </w:rPr>
        <w:t xml:space="preserve">эрх ашгийг </w:t>
      </w:r>
      <w:r w:rsidRPr="00CB4958">
        <w:rPr>
          <w:rFonts w:ascii="Arial" w:hAnsi="Arial" w:cs="Arial"/>
          <w:szCs w:val="24"/>
          <w:lang w:val="mn-MN"/>
        </w:rPr>
        <w:t>хамгаалах</w:t>
      </w:r>
      <w:r w:rsidR="00F51488" w:rsidRPr="00CB4958">
        <w:rPr>
          <w:rFonts w:ascii="Arial" w:hAnsi="Arial" w:cs="Arial"/>
          <w:szCs w:val="24"/>
          <w:lang w:val="mn-MN"/>
        </w:rPr>
        <w:t xml:space="preserve">тай холбоотой зохицуулалтыг “Иргэний хууль”, “Хэрэглэгчийн эрхийг хамгаалах тухай хууль”, “Өрсөлдөөний тухай хууль” зэрэг хуулиудад ерөнхий байдлаар тусгасан боловч  тус харилцааг нарийвчлан зохицуулсан тусгайлсан хууль байхгүй байна. Түүнчлэн </w:t>
      </w:r>
      <w:r w:rsidR="000A15A4" w:rsidRPr="00CB4958">
        <w:rPr>
          <w:rFonts w:ascii="Arial" w:hAnsi="Arial" w:cs="Arial"/>
          <w:szCs w:val="24"/>
          <w:lang w:val="mn-MN"/>
        </w:rPr>
        <w:t xml:space="preserve">Банкны тухай хууль, Банк, эрх бүхий этгээдийн мөнгөн хадгаламж, мөнгөн хөрөнгийн шилжүүлэг, зээлийн үйл ажиллагааны тухай хууль, Банк бус санхүүгийн байгууллагын тухай хууль зэрэг тухайлсан салбарын хуулиуд нь тухайн  байгууллагын үйл ажиллагааг зохицуулахад чиглэсэн байдаг бөгөөд </w:t>
      </w:r>
      <w:r w:rsidR="000A15A4" w:rsidRPr="00CB4958">
        <w:rPr>
          <w:rFonts w:ascii="Arial" w:hAnsi="Arial" w:cs="Arial"/>
          <w:bCs/>
          <w:szCs w:val="24"/>
          <w:lang w:val="mn-MN"/>
        </w:rPr>
        <w:t>санхүүгийн бүтээгдэхүүн, үйлчилгээг санхүүгийн хэрэглэгчид хүргэхэд тавигдах шаардлагатай холбоотой зохицуулалт байхгүй байна.</w:t>
      </w:r>
    </w:p>
    <w:p w14:paraId="3A28557B" w14:textId="2881B992" w:rsidR="000A15A4" w:rsidRPr="00CB4958" w:rsidRDefault="000A15A4" w:rsidP="00D95AE8">
      <w:pPr>
        <w:spacing w:before="240" w:line="240" w:lineRule="auto"/>
        <w:ind w:firstLine="720"/>
        <w:jc w:val="both"/>
        <w:rPr>
          <w:rFonts w:ascii="Arial" w:eastAsia="Times New Roman" w:hAnsi="Arial" w:cs="Arial"/>
          <w:szCs w:val="24"/>
          <w:lang w:val="mn-MN"/>
        </w:rPr>
      </w:pPr>
      <w:r w:rsidRPr="00CB4958">
        <w:rPr>
          <w:rFonts w:ascii="Arial" w:hAnsi="Arial" w:cs="Arial"/>
          <w:bCs/>
          <w:szCs w:val="24"/>
          <w:lang w:val="mn-MN"/>
        </w:rPr>
        <w:t xml:space="preserve">Мөн Монголбанк, Санхүүгийн зохицуулах хорооноос </w:t>
      </w:r>
      <w:r w:rsidRPr="00CB4958">
        <w:rPr>
          <w:rFonts w:ascii="Arial" w:eastAsia="Times New Roman" w:hAnsi="Arial" w:cs="Arial"/>
          <w:szCs w:val="24"/>
          <w:lang w:val="mn-MN"/>
        </w:rPr>
        <w:t xml:space="preserve">зохицуулалттай этгээдийн санхүүгийн чадварт үндэслэн санхүүгийн </w:t>
      </w:r>
      <w:r w:rsidR="00D95AE8" w:rsidRPr="00CB4958">
        <w:rPr>
          <w:rFonts w:ascii="Arial" w:hAnsi="Arial" w:cs="Arial"/>
          <w:szCs w:val="24"/>
          <w:lang w:val="mn-MN"/>
        </w:rPr>
        <w:t>системд</w:t>
      </w:r>
      <w:r w:rsidRPr="00CB4958">
        <w:rPr>
          <w:rFonts w:ascii="Arial" w:hAnsi="Arial" w:cs="Arial"/>
          <w:szCs w:val="24"/>
          <w:lang w:val="mn-MN"/>
        </w:rPr>
        <w:t xml:space="preserve"> эрсдэл үүсэхээс урьдчилан сэргийлэхэд чиглэсэн </w:t>
      </w:r>
      <w:r w:rsidRPr="00CB4958">
        <w:rPr>
          <w:rFonts w:ascii="Arial" w:eastAsia="Times New Roman" w:hAnsi="Arial" w:cs="Arial"/>
          <w:szCs w:val="24"/>
          <w:lang w:val="mn-MN"/>
        </w:rPr>
        <w:t>зохистой хяналт шалгалтыг хэрэгжүүлж байгаа бөгөөд</w:t>
      </w:r>
      <w:r w:rsidR="00D95AE8" w:rsidRPr="00CB4958">
        <w:rPr>
          <w:rFonts w:ascii="Arial" w:eastAsia="Times New Roman" w:hAnsi="Arial" w:cs="Arial"/>
          <w:szCs w:val="24"/>
          <w:lang w:val="mn-MN"/>
        </w:rPr>
        <w:t xml:space="preserve"> санхүүгийн хэрэглэгчид санал болгож, хүргэж байгаа бүтээгдэхүүн, үйлчилгээнд чиглэсэн с</w:t>
      </w:r>
      <w:r w:rsidRPr="00CB4958">
        <w:rPr>
          <w:rFonts w:ascii="Arial" w:eastAsia="Times New Roman" w:hAnsi="Arial" w:cs="Arial"/>
          <w:szCs w:val="24"/>
          <w:lang w:val="mn-MN"/>
        </w:rPr>
        <w:t xml:space="preserve">анхүүгийн хэрэглэгчийн </w:t>
      </w:r>
      <w:r w:rsidR="00D95AE8" w:rsidRPr="00CB4958">
        <w:rPr>
          <w:rFonts w:ascii="Arial" w:eastAsia="Times New Roman" w:hAnsi="Arial" w:cs="Arial"/>
          <w:szCs w:val="24"/>
          <w:lang w:val="mn-MN"/>
        </w:rPr>
        <w:t xml:space="preserve">эрхийг хамгаалах хяналт шалгалтыг хэрэгжүүлэх хууль эрх зүйн орчин бүрдээгүй байна. </w:t>
      </w:r>
    </w:p>
    <w:p w14:paraId="3DD9A713" w14:textId="27E55E9D" w:rsidR="003470E0" w:rsidRPr="00CB4958" w:rsidRDefault="00D95AE8" w:rsidP="00727305">
      <w:pPr>
        <w:spacing w:before="240" w:line="240" w:lineRule="auto"/>
        <w:ind w:firstLine="720"/>
        <w:jc w:val="both"/>
        <w:rPr>
          <w:rFonts w:ascii="Arial" w:eastAsia="Times New Roman" w:hAnsi="Arial" w:cs="Arial"/>
          <w:szCs w:val="24"/>
          <w:lang w:val="mn-MN"/>
        </w:rPr>
      </w:pPr>
      <w:r w:rsidRPr="00CB4958">
        <w:rPr>
          <w:rFonts w:ascii="Arial" w:eastAsia="Times New Roman" w:hAnsi="Arial" w:cs="Arial"/>
          <w:szCs w:val="24"/>
          <w:lang w:val="mn-MN"/>
        </w:rPr>
        <w:t xml:space="preserve">Дээрх зохицуулалтуудыг </w:t>
      </w:r>
      <w:r w:rsidR="003470E0" w:rsidRPr="00CB4958">
        <w:rPr>
          <w:rFonts w:ascii="Arial" w:eastAsia="Times New Roman" w:hAnsi="Arial" w:cs="Arial"/>
          <w:szCs w:val="24"/>
          <w:lang w:val="mn-MN"/>
        </w:rPr>
        <w:t>санхүүгийн мэдлэгийг дээшлүүлэх үйл ажиллагаа зэр</w:t>
      </w:r>
      <w:r w:rsidRPr="00CB4958">
        <w:rPr>
          <w:rFonts w:ascii="Arial" w:eastAsia="Times New Roman" w:hAnsi="Arial" w:cs="Arial"/>
          <w:szCs w:val="24"/>
          <w:lang w:val="mn-MN"/>
        </w:rPr>
        <w:t xml:space="preserve">эг алхмуудтай зэрэг үр дүнтэй хэрэгжүүлснээр санхүүгийн хэрэглэгчийн эрхийг хамгаалж, </w:t>
      </w:r>
      <w:r w:rsidR="003470E0" w:rsidRPr="00CB4958">
        <w:rPr>
          <w:rFonts w:ascii="Arial" w:eastAsia="Times New Roman" w:hAnsi="Arial" w:cs="Arial"/>
          <w:szCs w:val="24"/>
          <w:lang w:val="mn-MN"/>
        </w:rPr>
        <w:t>санхүүгийн тогтвортой байдалд</w:t>
      </w:r>
      <w:r w:rsidRPr="00CB4958">
        <w:rPr>
          <w:rFonts w:ascii="Arial" w:eastAsia="Times New Roman" w:hAnsi="Arial" w:cs="Arial"/>
          <w:szCs w:val="24"/>
          <w:lang w:val="mn-MN"/>
        </w:rPr>
        <w:t xml:space="preserve"> дэмжлэг үзүүлнэ.</w:t>
      </w:r>
    </w:p>
    <w:p w14:paraId="5457E923" w14:textId="77777777" w:rsidR="00FC294D" w:rsidRPr="00CB4958" w:rsidRDefault="00FC294D" w:rsidP="00727305">
      <w:pPr>
        <w:pStyle w:val="ListParagraph"/>
        <w:spacing w:after="0" w:line="240" w:lineRule="auto"/>
        <w:ind w:left="0" w:firstLine="720"/>
        <w:jc w:val="both"/>
        <w:rPr>
          <w:rFonts w:ascii="Arial" w:hAnsi="Arial" w:cs="Arial"/>
          <w:bCs/>
          <w:szCs w:val="24"/>
          <w:lang w:val="mn-MN"/>
        </w:rPr>
      </w:pPr>
    </w:p>
    <w:p w14:paraId="37A91603" w14:textId="3FA26C59" w:rsidR="008B21A5" w:rsidRPr="00CB4958" w:rsidRDefault="00595082" w:rsidP="00727305">
      <w:pPr>
        <w:spacing w:after="0" w:line="240" w:lineRule="auto"/>
        <w:ind w:firstLine="720"/>
        <w:jc w:val="both"/>
        <w:rPr>
          <w:rFonts w:ascii="Arial" w:eastAsiaTheme="minorEastAsia" w:hAnsi="Arial" w:cs="Arial"/>
          <w:b/>
          <w:szCs w:val="24"/>
          <w:lang w:val="mn-MN" w:eastAsia="zh-CN"/>
        </w:rPr>
      </w:pPr>
      <w:r w:rsidRPr="00CB4958">
        <w:rPr>
          <w:rFonts w:ascii="Arial" w:eastAsiaTheme="minorEastAsia" w:hAnsi="Arial" w:cs="Arial"/>
          <w:b/>
          <w:szCs w:val="24"/>
          <w:lang w:val="mn-MN" w:eastAsia="zh-CN"/>
        </w:rPr>
        <w:t>Хоёр</w:t>
      </w:r>
      <w:r w:rsidR="00D95E7C" w:rsidRPr="00CB4958">
        <w:rPr>
          <w:rFonts w:ascii="Arial" w:eastAsiaTheme="minorEastAsia" w:hAnsi="Arial" w:cs="Arial"/>
          <w:b/>
          <w:szCs w:val="24"/>
          <w:lang w:val="mn-MN" w:eastAsia="zh-CN"/>
        </w:rPr>
        <w:t>.</w:t>
      </w:r>
      <w:r w:rsidR="008B21A5" w:rsidRPr="00CB4958">
        <w:rPr>
          <w:rFonts w:ascii="Arial" w:eastAsiaTheme="minorEastAsia" w:hAnsi="Arial" w:cs="Arial"/>
          <w:b/>
          <w:szCs w:val="24"/>
          <w:lang w:val="mn-MN" w:eastAsia="zh-CN"/>
        </w:rPr>
        <w:t>Хуулийн төслийн ерөнхий бүтэц, хамрах хүрээ, зохицуулах харилцаа</w:t>
      </w:r>
    </w:p>
    <w:p w14:paraId="4BD6FBB3" w14:textId="77777777" w:rsidR="008B21A5" w:rsidRPr="00CB4958" w:rsidRDefault="008B21A5" w:rsidP="00727305">
      <w:pPr>
        <w:spacing w:after="0" w:line="240" w:lineRule="auto"/>
        <w:ind w:firstLine="720"/>
        <w:jc w:val="both"/>
        <w:rPr>
          <w:rFonts w:ascii="Arial" w:eastAsiaTheme="minorEastAsia" w:hAnsi="Arial" w:cs="Arial"/>
          <w:b/>
          <w:szCs w:val="24"/>
          <w:lang w:val="mn-MN" w:eastAsia="zh-CN"/>
        </w:rPr>
      </w:pPr>
    </w:p>
    <w:p w14:paraId="08A0D777" w14:textId="58429D22" w:rsidR="008B21A5" w:rsidRPr="00CB4958" w:rsidRDefault="008B21A5" w:rsidP="008B21A5">
      <w:pPr>
        <w:spacing w:after="0" w:line="240" w:lineRule="auto"/>
        <w:ind w:firstLine="720"/>
        <w:jc w:val="both"/>
        <w:rPr>
          <w:rFonts w:ascii="Arial" w:hAnsi="Arial" w:cs="Arial"/>
          <w:bCs/>
          <w:szCs w:val="24"/>
          <w:lang w:val="mn-MN"/>
        </w:rPr>
      </w:pPr>
      <w:r w:rsidRPr="00CB4958">
        <w:rPr>
          <w:rFonts w:ascii="Arial" w:hAnsi="Arial" w:cs="Arial"/>
          <w:bCs/>
          <w:szCs w:val="24"/>
          <w:lang w:val="mn-MN"/>
        </w:rPr>
        <w:t>Хуулийн төсөл нь санхүүгийн үйлчилгээ үзүүлэгчээс санхүүгийн бүтээгдэхүүн, үйлчилгээг санхүүгийн хэрэглэгчид хүргэхэд тавигдах нийтлэг шаардлагыг тогтоох, түүнтэй холбоотой гомдол, маргааныг хянан шийдвэрлэх,  олон нийтийн санхүүгийн боловсролыг дээшлүүлэх, санхүүгийн хэрэглэгчийн хууль ёсны эрхийг хамгаалахтай холбогдсон харилцааг зохицуулснаар тус хуулийн зохицуулах харилцаа, хамрах хүрээг тодорхойлох болно. Хуулийн төсөл нь 9 бүлэг, 27 зүйлтэй байх бөгөөд дараах агуулгатай байна:</w:t>
      </w:r>
    </w:p>
    <w:p w14:paraId="7025C2B4" w14:textId="77777777" w:rsidR="008B21A5" w:rsidRPr="00CB4958" w:rsidRDefault="008B21A5" w:rsidP="008B21A5">
      <w:pPr>
        <w:spacing w:after="0" w:line="240" w:lineRule="auto"/>
        <w:ind w:firstLine="720"/>
        <w:jc w:val="both"/>
        <w:rPr>
          <w:rFonts w:ascii="Arial" w:eastAsiaTheme="minorEastAsia" w:hAnsi="Arial" w:cs="Arial"/>
          <w:bCs/>
          <w:szCs w:val="24"/>
          <w:lang w:val="mn-MN" w:eastAsia="zh-CN"/>
        </w:rPr>
      </w:pPr>
    </w:p>
    <w:p w14:paraId="2AB3098F" w14:textId="77777777" w:rsidR="00113567" w:rsidRPr="00CB4958" w:rsidRDefault="008B21A5" w:rsidP="008B21A5">
      <w:pPr>
        <w:spacing w:after="0" w:line="240" w:lineRule="auto"/>
        <w:ind w:firstLine="720"/>
        <w:jc w:val="both"/>
        <w:rPr>
          <w:rFonts w:ascii="Arial" w:eastAsiaTheme="minorEastAsia" w:hAnsi="Arial" w:cs="Arial"/>
          <w:bCs/>
          <w:szCs w:val="24"/>
          <w:lang w:val="mn-MN" w:eastAsia="zh-CN"/>
        </w:rPr>
      </w:pPr>
      <w:r w:rsidRPr="00CB4958">
        <w:rPr>
          <w:rFonts w:ascii="Arial" w:eastAsiaTheme="minorEastAsia" w:hAnsi="Arial" w:cs="Arial"/>
          <w:bCs/>
          <w:szCs w:val="24"/>
          <w:lang w:val="mn-MN" w:eastAsia="zh-CN"/>
        </w:rPr>
        <w:t>1.</w:t>
      </w:r>
      <w:r w:rsidR="00113567" w:rsidRPr="00CB4958">
        <w:rPr>
          <w:rFonts w:ascii="Arial" w:eastAsiaTheme="minorEastAsia" w:hAnsi="Arial" w:cs="Arial"/>
          <w:bCs/>
          <w:szCs w:val="24"/>
          <w:lang w:val="mn-MN" w:eastAsia="zh-CN"/>
        </w:rPr>
        <w:t xml:space="preserve">Хуулийн төслийн нийтлэг үндэслэлд хуулийн зорилт, үйлчлэх хүрээ, хуулийн нэр томьёоны тодорхойлолт болон санхүүгийн хэрэглэгчийн эрхийг </w:t>
      </w:r>
      <w:r w:rsidR="00113567" w:rsidRPr="00CB4958">
        <w:rPr>
          <w:rFonts w:ascii="Arial" w:eastAsiaTheme="minorEastAsia" w:hAnsi="Arial" w:cs="Arial"/>
          <w:bCs/>
          <w:szCs w:val="24"/>
          <w:lang w:val="mn-MN" w:eastAsia="zh-CN"/>
        </w:rPr>
        <w:lastRenderedPageBreak/>
        <w:t xml:space="preserve">хамгаалах хууль тогтоомийг хэрэглэх, хэрэгжүүлэх суурь зарчмын талаар тус тус зохицуулах болно. </w:t>
      </w:r>
    </w:p>
    <w:p w14:paraId="38529F6D" w14:textId="2B95BE52" w:rsidR="00113567" w:rsidRPr="00CB4958" w:rsidRDefault="00113567" w:rsidP="008B21A5">
      <w:pPr>
        <w:spacing w:after="0" w:line="240" w:lineRule="auto"/>
        <w:ind w:firstLine="720"/>
        <w:jc w:val="both"/>
        <w:rPr>
          <w:rFonts w:ascii="Arial" w:eastAsiaTheme="minorEastAsia" w:hAnsi="Arial" w:cs="Arial"/>
          <w:bCs/>
          <w:szCs w:val="24"/>
          <w:lang w:val="mn-MN" w:eastAsia="zh-CN"/>
        </w:rPr>
      </w:pPr>
      <w:r w:rsidRPr="00CB4958">
        <w:rPr>
          <w:rFonts w:ascii="Arial" w:eastAsiaTheme="minorEastAsia" w:hAnsi="Arial" w:cs="Arial"/>
          <w:bCs/>
          <w:szCs w:val="24"/>
          <w:lang w:val="mn-MN" w:eastAsia="zh-CN"/>
        </w:rPr>
        <w:t xml:space="preserve"> </w:t>
      </w:r>
    </w:p>
    <w:p w14:paraId="5DFD26DE" w14:textId="37DB1C3D" w:rsidR="008B21A5" w:rsidRPr="00CB4958" w:rsidRDefault="00CB4958" w:rsidP="008B21A5">
      <w:pPr>
        <w:spacing w:after="0" w:line="240" w:lineRule="auto"/>
        <w:ind w:firstLine="720"/>
        <w:jc w:val="both"/>
        <w:rPr>
          <w:rFonts w:ascii="Arial" w:eastAsiaTheme="minorEastAsia" w:hAnsi="Arial" w:cs="Arial"/>
          <w:bCs/>
          <w:szCs w:val="24"/>
          <w:lang w:val="mn-MN" w:eastAsia="zh-CN"/>
        </w:rPr>
      </w:pPr>
      <w:r>
        <w:rPr>
          <w:rFonts w:ascii="Arial" w:eastAsiaTheme="minorEastAsia" w:hAnsi="Arial" w:cs="Arial"/>
          <w:bCs/>
          <w:szCs w:val="24"/>
          <w:lang w:val="mn-MN" w:eastAsia="zh-CN"/>
        </w:rPr>
        <w:t>2</w:t>
      </w:r>
      <w:r w:rsidR="008B21A5" w:rsidRPr="00CB4958">
        <w:rPr>
          <w:rFonts w:ascii="Arial" w:eastAsiaTheme="minorEastAsia" w:hAnsi="Arial" w:cs="Arial"/>
          <w:bCs/>
          <w:szCs w:val="24"/>
          <w:lang w:val="mn-MN" w:eastAsia="zh-CN"/>
        </w:rPr>
        <w:t>.Санхүүгийн үйлчилгээ үзүүлэгч нь зээл олгохдоо зээлийн бодит өртгийг танилцуулах үүрэгтэй бөгөөд зээлийн бодит өртөг нь зарласан хүү, шимтгэл, хураамж, бусад нэмэлт зардлыг багтаасан дүнг жилийн 365 хоногоор тооцсон хувиар илэрхийл</w:t>
      </w:r>
      <w:r w:rsidR="00113567" w:rsidRPr="00CB4958">
        <w:rPr>
          <w:rFonts w:ascii="Arial" w:eastAsiaTheme="minorEastAsia" w:hAnsi="Arial" w:cs="Arial"/>
          <w:bCs/>
          <w:szCs w:val="24"/>
          <w:lang w:val="mn-MN" w:eastAsia="zh-CN"/>
        </w:rPr>
        <w:t>нэ</w:t>
      </w:r>
      <w:r w:rsidR="008B21A5" w:rsidRPr="00CB4958">
        <w:rPr>
          <w:rFonts w:ascii="Arial" w:eastAsiaTheme="minorEastAsia" w:hAnsi="Arial" w:cs="Arial"/>
          <w:bCs/>
          <w:szCs w:val="24"/>
          <w:lang w:val="mn-MN" w:eastAsia="zh-CN"/>
        </w:rPr>
        <w:t xml:space="preserve">. </w:t>
      </w:r>
    </w:p>
    <w:p w14:paraId="326B45D8" w14:textId="144C282E" w:rsidR="00113567" w:rsidRPr="00CB4958" w:rsidRDefault="00113567" w:rsidP="00CB4958">
      <w:pPr>
        <w:spacing w:after="0" w:line="240" w:lineRule="auto"/>
        <w:jc w:val="both"/>
        <w:rPr>
          <w:rFonts w:ascii="Arial" w:eastAsiaTheme="minorEastAsia" w:hAnsi="Arial" w:cs="Arial"/>
          <w:bCs/>
          <w:szCs w:val="24"/>
          <w:lang w:val="mn-MN" w:eastAsia="zh-CN"/>
        </w:rPr>
      </w:pPr>
    </w:p>
    <w:p w14:paraId="5E293FAC" w14:textId="362E6DCC" w:rsidR="00CB4958" w:rsidRPr="00CB4958" w:rsidRDefault="00CB4958" w:rsidP="00CB4958">
      <w:pPr>
        <w:spacing w:after="0" w:line="240" w:lineRule="auto"/>
        <w:ind w:firstLine="720"/>
        <w:jc w:val="both"/>
        <w:rPr>
          <w:rFonts w:ascii="Arial" w:eastAsiaTheme="minorEastAsia" w:hAnsi="Arial" w:cs="Arial"/>
          <w:bCs/>
          <w:szCs w:val="24"/>
          <w:lang w:val="mn-MN" w:eastAsia="zh-CN"/>
        </w:rPr>
      </w:pPr>
      <w:r>
        <w:rPr>
          <w:rFonts w:ascii="Arial" w:eastAsiaTheme="minorEastAsia" w:hAnsi="Arial" w:cs="Arial"/>
          <w:bCs/>
          <w:szCs w:val="24"/>
          <w:lang w:val="mn-MN" w:eastAsia="zh-CN"/>
        </w:rPr>
        <w:t>3</w:t>
      </w:r>
      <w:r w:rsidRPr="00CB4958">
        <w:rPr>
          <w:rFonts w:ascii="Arial" w:eastAsiaTheme="minorEastAsia" w:hAnsi="Arial" w:cs="Arial"/>
          <w:bCs/>
          <w:szCs w:val="24"/>
          <w:lang w:val="mn-MN" w:eastAsia="zh-CN"/>
        </w:rPr>
        <w:t xml:space="preserve">.Санхүүгийн үйлчилгээ үзүүлэгчид </w:t>
      </w:r>
      <w:bookmarkStart w:id="0" w:name="_Hlk219720973"/>
      <w:r w:rsidRPr="00CB4958">
        <w:rPr>
          <w:rFonts w:ascii="Arial" w:eastAsiaTheme="minorEastAsia" w:hAnsi="Arial" w:cs="Arial"/>
          <w:bCs/>
          <w:lang w:val="mn-MN" w:eastAsia="zh-CN"/>
        </w:rPr>
        <w:t xml:space="preserve">санхүүгийн хэрэглэгчид </w:t>
      </w:r>
      <w:r>
        <w:rPr>
          <w:rFonts w:ascii="Arial" w:eastAsiaTheme="minorEastAsia" w:hAnsi="Arial" w:cs="Arial"/>
          <w:bCs/>
          <w:lang w:val="mn-MN" w:eastAsia="zh-CN"/>
        </w:rPr>
        <w:t>т</w:t>
      </w:r>
      <w:r w:rsidRPr="00CB4958">
        <w:rPr>
          <w:rFonts w:ascii="Arial" w:eastAsiaTheme="minorEastAsia" w:hAnsi="Arial" w:cs="Arial"/>
          <w:bCs/>
          <w:lang w:val="mn-MN" w:eastAsia="zh-CN"/>
        </w:rPr>
        <w:t>өөрөгдүүлэхүйц, бодит бус мэдээлэл өгөх, түгээ</w:t>
      </w:r>
      <w:bookmarkEnd w:id="0"/>
      <w:r w:rsidRPr="00CB4958">
        <w:rPr>
          <w:rFonts w:ascii="Arial" w:eastAsiaTheme="minorEastAsia" w:hAnsi="Arial" w:cs="Arial"/>
          <w:bCs/>
          <w:lang w:val="mn-MN" w:eastAsia="zh-CN"/>
        </w:rPr>
        <w:t xml:space="preserve">х, </w:t>
      </w:r>
      <w:r w:rsidRPr="00CB4958">
        <w:rPr>
          <w:rFonts w:ascii="Arial" w:eastAsiaTheme="minorEastAsia" w:hAnsi="Arial" w:cs="Arial"/>
          <w:bCs/>
          <w:szCs w:val="24"/>
          <w:lang w:val="mn-MN" w:eastAsia="zh-CN"/>
        </w:rPr>
        <w:t xml:space="preserve">санхүүгийн хэрэглэгчид санхүүгийн  үйлчилгээ авах, бусад санхүүгийн үйлчилгээг давхар авах, гэрээ байгуулахыг тулган шаардах, санхүүгийн хэрэглэгчийн санхүүгийн үйлчилгээ үзүүлэгчийг чөлөөтэй сонгох эрхийг хязгаарлах, </w:t>
      </w:r>
      <w:r w:rsidRPr="00CB4958">
        <w:rPr>
          <w:rFonts w:ascii="Arial" w:eastAsiaTheme="minorEastAsia" w:hAnsi="Arial" w:cs="Arial"/>
          <w:bCs/>
          <w:lang w:val="mn-MN" w:eastAsia="zh-CN"/>
        </w:rPr>
        <w:t xml:space="preserve">хууль тогтоомжоор тусгайлан зөвшөөрснөөс бусад тохиолдолд энэ хууль болон бусад хуулиар тогтоосон хариуцлагаас өөрийгөө чөлөөлөх, эсхүл хариуцлагыг хязгаарласан нөхцөлтэй гэрээг санхүүгийн хэрэглэгчтэй байгуулах, </w:t>
      </w:r>
      <w:r w:rsidRPr="00CB4958">
        <w:rPr>
          <w:rFonts w:ascii="Arial" w:eastAsiaTheme="minorEastAsia" w:hAnsi="Arial" w:cs="Arial"/>
          <w:bCs/>
          <w:szCs w:val="24"/>
          <w:lang w:val="mn-MN" w:eastAsia="zh-CN"/>
        </w:rPr>
        <w:t xml:space="preserve">гэрээнд зааснаас бусад аливаа хүү, анз, хураамж, шимтгэл, нэмэлт төлбөр шаардахыг </w:t>
      </w:r>
      <w:r>
        <w:rPr>
          <w:rFonts w:ascii="Arial" w:eastAsiaTheme="minorEastAsia" w:hAnsi="Arial" w:cs="Arial"/>
          <w:bCs/>
          <w:szCs w:val="24"/>
          <w:lang w:val="mn-MN" w:eastAsia="zh-CN"/>
        </w:rPr>
        <w:t xml:space="preserve">зэрэг санхүүгийн хэрэглэгчийн эрх зүйн байдлыг дордуулах үйл ажиллагаа эрхлэхийг </w:t>
      </w:r>
      <w:r w:rsidRPr="00CB4958">
        <w:rPr>
          <w:rFonts w:ascii="Arial" w:eastAsiaTheme="minorEastAsia" w:hAnsi="Arial" w:cs="Arial"/>
          <w:bCs/>
          <w:szCs w:val="24"/>
          <w:lang w:val="mn-MN" w:eastAsia="zh-CN"/>
        </w:rPr>
        <w:t>хориглоно.</w:t>
      </w:r>
    </w:p>
    <w:p w14:paraId="020BE176" w14:textId="77777777" w:rsidR="00CB4958" w:rsidRDefault="00CB4958" w:rsidP="00CB4958">
      <w:pPr>
        <w:spacing w:after="0" w:line="240" w:lineRule="auto"/>
        <w:ind w:firstLine="720"/>
        <w:jc w:val="both"/>
        <w:rPr>
          <w:rFonts w:ascii="Arial" w:eastAsiaTheme="minorEastAsia" w:hAnsi="Arial" w:cs="Arial"/>
          <w:bCs/>
          <w:szCs w:val="24"/>
          <w:lang w:val="mn-MN" w:eastAsia="zh-CN"/>
        </w:rPr>
      </w:pPr>
    </w:p>
    <w:p w14:paraId="47CFE809" w14:textId="0DF9C4A5" w:rsidR="00CB4958" w:rsidRPr="00CB4958" w:rsidRDefault="00CB4958" w:rsidP="00CB4958">
      <w:pPr>
        <w:spacing w:after="0" w:line="240" w:lineRule="auto"/>
        <w:ind w:firstLine="720"/>
        <w:jc w:val="both"/>
        <w:rPr>
          <w:rFonts w:ascii="Arial" w:eastAsiaTheme="minorEastAsia" w:hAnsi="Arial" w:cs="Arial"/>
          <w:bCs/>
          <w:szCs w:val="24"/>
          <w:lang w:val="mn-MN" w:eastAsia="zh-CN"/>
        </w:rPr>
      </w:pPr>
      <w:r>
        <w:rPr>
          <w:rFonts w:ascii="Arial" w:eastAsiaTheme="minorEastAsia" w:hAnsi="Arial" w:cs="Arial"/>
          <w:bCs/>
          <w:szCs w:val="24"/>
          <w:lang w:val="mn-MN" w:eastAsia="zh-CN"/>
        </w:rPr>
        <w:t>4</w:t>
      </w:r>
      <w:r w:rsidRPr="00CB4958">
        <w:rPr>
          <w:rFonts w:ascii="Arial" w:eastAsiaTheme="minorEastAsia" w:hAnsi="Arial" w:cs="Arial"/>
          <w:bCs/>
          <w:szCs w:val="24"/>
          <w:lang w:val="mn-MN" w:eastAsia="zh-CN"/>
        </w:rPr>
        <w:t>.Санхүүгийн үйлчилгээ үзүүлэгч нь санхүүгийн үйлчилгээний нөхцөл, нийт өртөг, түүний задаргаа, төлбөрийн хуваарь, онцлог, эрсдэл болон үр дагаврын талаарх бүрэн гүйцэд, үнэн зөв, ойлгомжтой, харьцуулж болохуйц мэдээллээр санхүүгийн хэрэглэгчийг хангах, санхүүгийн хэрэглэгчтэй гэрээ байгуулахдаа тухайн гэрээний агуулга, нөхцөл, хүү, хураамж, шимтгэл, нэмэлт төлбөр, тэдгээрийг тооцсон  аргачлалыг танилцуулж, тайлбарлах үүрэгтэй. Мөн санхүүгийн үйлчилгээ үзүүлэгч санхүүгийн хэрэглэгчтэй гэрээ байгуулахдаа эдгээр мэдээллээр хангаснаа нотолж, зохицуулагч байгууллагаас баталсан хяналтын хуудсаар баталгаажуул</w:t>
      </w:r>
      <w:r>
        <w:rPr>
          <w:rFonts w:ascii="Arial" w:eastAsiaTheme="minorEastAsia" w:hAnsi="Arial" w:cs="Arial"/>
          <w:bCs/>
          <w:szCs w:val="24"/>
          <w:lang w:val="mn-MN" w:eastAsia="zh-CN"/>
        </w:rPr>
        <w:t>ах ба мэдээллийн ил тод байдлыг хангана.</w:t>
      </w:r>
    </w:p>
    <w:p w14:paraId="794C464A" w14:textId="77777777" w:rsidR="00CB4958" w:rsidRPr="00CB4958" w:rsidRDefault="00CB4958" w:rsidP="00CB4958">
      <w:pPr>
        <w:spacing w:after="0" w:line="240" w:lineRule="auto"/>
        <w:ind w:firstLine="720"/>
        <w:jc w:val="both"/>
        <w:rPr>
          <w:rFonts w:ascii="Arial" w:eastAsiaTheme="minorEastAsia" w:hAnsi="Arial" w:cs="Arial"/>
          <w:bCs/>
          <w:szCs w:val="24"/>
          <w:lang w:val="mn-MN" w:eastAsia="zh-CN"/>
        </w:rPr>
      </w:pPr>
    </w:p>
    <w:p w14:paraId="5CDA0C49" w14:textId="21B50BE8" w:rsidR="008B21A5" w:rsidRPr="00CB4958" w:rsidRDefault="00CB4958" w:rsidP="00727305">
      <w:pPr>
        <w:spacing w:after="0" w:line="240" w:lineRule="auto"/>
        <w:ind w:firstLine="720"/>
        <w:jc w:val="both"/>
        <w:rPr>
          <w:rFonts w:ascii="Arial" w:eastAsiaTheme="minorEastAsia" w:hAnsi="Arial" w:cs="Arial"/>
          <w:bCs/>
          <w:szCs w:val="24"/>
          <w:lang w:val="mn-MN" w:eastAsia="zh-CN"/>
        </w:rPr>
      </w:pPr>
      <w:r>
        <w:rPr>
          <w:rFonts w:ascii="Arial" w:eastAsiaTheme="minorEastAsia" w:hAnsi="Arial" w:cs="Arial"/>
          <w:bCs/>
          <w:szCs w:val="24"/>
          <w:lang w:val="mn-MN" w:eastAsia="zh-CN"/>
        </w:rPr>
        <w:t>5.</w:t>
      </w:r>
      <w:r w:rsidR="008B21A5" w:rsidRPr="00CB4958">
        <w:rPr>
          <w:rFonts w:ascii="Arial" w:eastAsiaTheme="minorEastAsia" w:hAnsi="Arial" w:cs="Arial"/>
          <w:bCs/>
          <w:szCs w:val="24"/>
          <w:lang w:val="mn-MN" w:eastAsia="zh-CN"/>
        </w:rPr>
        <w:t>Санхүүгийн үйлчилгээ үзүүлэгч болон санхүүгийн хэрэглэгчийн хоорондын санхүүгийн үйлчилгээний талаарх маргааныг үнэ төлбөргүйгээр түргэн шуурхай, хараат бусаар шийдвэрлэх чиг үүргийг бие даасан, мэргэшсэн санхүүгийн омбудсман хэрэгжүүлж болох бөгөөд түүний эрх зүйн байдал, үйл ажиллагаа, маргаан хянан шийдвэрлэхтэй холбоотой харилцааг тусгайлан тусгана.</w:t>
      </w:r>
    </w:p>
    <w:p w14:paraId="4DDF6253" w14:textId="77777777" w:rsidR="00CB4958" w:rsidRPr="00CB4958" w:rsidRDefault="00CB4958" w:rsidP="00727305">
      <w:pPr>
        <w:spacing w:after="0" w:line="240" w:lineRule="auto"/>
        <w:ind w:firstLine="720"/>
        <w:jc w:val="both"/>
        <w:rPr>
          <w:rFonts w:ascii="Arial" w:eastAsiaTheme="minorEastAsia" w:hAnsi="Arial" w:cs="Arial"/>
          <w:bCs/>
          <w:szCs w:val="24"/>
          <w:lang w:val="mn-MN" w:eastAsia="zh-CN"/>
        </w:rPr>
      </w:pPr>
    </w:p>
    <w:p w14:paraId="77B4DD87" w14:textId="61276241" w:rsidR="00113567" w:rsidRPr="00CB4958" w:rsidRDefault="00CB4958" w:rsidP="00113567">
      <w:pPr>
        <w:spacing w:after="0" w:line="240" w:lineRule="auto"/>
        <w:ind w:firstLine="720"/>
        <w:jc w:val="both"/>
        <w:rPr>
          <w:rFonts w:ascii="Arial" w:eastAsiaTheme="minorEastAsia" w:hAnsi="Arial" w:cs="Arial"/>
          <w:bCs/>
          <w:szCs w:val="24"/>
          <w:lang w:val="mn-MN" w:eastAsia="zh-CN"/>
        </w:rPr>
      </w:pPr>
      <w:r w:rsidRPr="00CB4958">
        <w:rPr>
          <w:rFonts w:ascii="Arial" w:eastAsiaTheme="minorEastAsia" w:hAnsi="Arial" w:cs="Arial"/>
          <w:bCs/>
          <w:szCs w:val="24"/>
          <w:lang w:val="mn-MN" w:eastAsia="zh-CN"/>
        </w:rPr>
        <w:t>6</w:t>
      </w:r>
      <w:r w:rsidR="00113567" w:rsidRPr="00CB4958">
        <w:rPr>
          <w:rFonts w:ascii="Arial" w:eastAsiaTheme="minorEastAsia" w:hAnsi="Arial" w:cs="Arial"/>
          <w:bCs/>
          <w:szCs w:val="24"/>
          <w:lang w:val="mn-MN" w:eastAsia="zh-CN"/>
        </w:rPr>
        <w:t>.Зохицуулагч байгууллага нь бусад хуульд заасан чиг үүргээс гадна санхүүгийн хэрэглэгчийн эрхийг хамгаалах хүрээнд санхүүгийн үйлчилгээ үзүүлэгчийн үйл ажиллагааг зохицуулах,  санхүүгийн хэрэглэгчийн эрхийг хамгаалах хяналт шалгалтыг чиг үүргийг хэрэгжүүлнэ.</w:t>
      </w:r>
    </w:p>
    <w:p w14:paraId="70A36E5D" w14:textId="77777777" w:rsidR="00113567" w:rsidRPr="00CB4958" w:rsidRDefault="00113567" w:rsidP="00113567">
      <w:pPr>
        <w:spacing w:after="0" w:line="240" w:lineRule="auto"/>
        <w:ind w:firstLine="720"/>
        <w:jc w:val="both"/>
        <w:rPr>
          <w:rFonts w:ascii="Arial" w:eastAsiaTheme="minorEastAsia" w:hAnsi="Arial" w:cs="Arial"/>
          <w:bCs/>
          <w:szCs w:val="24"/>
          <w:lang w:val="mn-MN" w:eastAsia="zh-CN"/>
        </w:rPr>
      </w:pPr>
      <w:r w:rsidRPr="00CB4958">
        <w:rPr>
          <w:rFonts w:ascii="Arial" w:eastAsiaTheme="minorEastAsia" w:hAnsi="Arial" w:cs="Arial"/>
          <w:bCs/>
          <w:szCs w:val="24"/>
          <w:lang w:val="mn-MN" w:eastAsia="zh-CN"/>
        </w:rPr>
        <w:t xml:space="preserve"> </w:t>
      </w:r>
    </w:p>
    <w:p w14:paraId="48CDDC65" w14:textId="4A2A90F6" w:rsidR="00113567" w:rsidRPr="00CB4958" w:rsidRDefault="00CB4958" w:rsidP="00113567">
      <w:pPr>
        <w:spacing w:after="0" w:line="240" w:lineRule="auto"/>
        <w:ind w:firstLine="720"/>
        <w:jc w:val="both"/>
        <w:rPr>
          <w:rFonts w:ascii="Arial" w:eastAsiaTheme="minorEastAsia" w:hAnsi="Arial" w:cs="Arial"/>
          <w:bCs/>
          <w:szCs w:val="24"/>
          <w:lang w:val="mn-MN" w:eastAsia="zh-CN"/>
        </w:rPr>
      </w:pPr>
      <w:r w:rsidRPr="00CB4958">
        <w:rPr>
          <w:rFonts w:ascii="Arial" w:eastAsiaTheme="minorEastAsia" w:hAnsi="Arial" w:cs="Arial"/>
          <w:bCs/>
          <w:szCs w:val="24"/>
          <w:lang w:val="mn-MN" w:eastAsia="zh-CN"/>
        </w:rPr>
        <w:t>7</w:t>
      </w:r>
      <w:r w:rsidR="00113567" w:rsidRPr="00CB4958">
        <w:rPr>
          <w:rFonts w:ascii="Arial" w:eastAsiaTheme="minorEastAsia" w:hAnsi="Arial" w:cs="Arial"/>
          <w:bCs/>
          <w:szCs w:val="24"/>
          <w:lang w:val="mn-MN" w:eastAsia="zh-CN"/>
        </w:rPr>
        <w:t xml:space="preserve">.Санхүүгийн хэрэглэгчийн өөрийн хэрэгцээ, шаардлагад тохирсон санхүүгийн үйлчилгээг сонгох, санхүүгийн нөөцийг зохистой удирдах мэдлэг, чадварыг дээшлүүлэх хөтөлбөрийг Санхүүгийн тогтвортой байдлын зөвлөл болон боловсролын асуудал эрхэлсэн төрийн захиргааны төв байгууллага хамтран батлах бөгөөд, уг хөтөлбөрт нийцүүлэн сургалтын агуулга, төлөвлөгөөг зохицуулагч </w:t>
      </w:r>
      <w:r w:rsidR="00113567" w:rsidRPr="00CB4958">
        <w:rPr>
          <w:rFonts w:ascii="Arial" w:eastAsiaTheme="minorEastAsia" w:hAnsi="Arial" w:cs="Arial"/>
          <w:bCs/>
          <w:szCs w:val="24"/>
          <w:lang w:val="mn-MN" w:eastAsia="zh-CN"/>
        </w:rPr>
        <w:lastRenderedPageBreak/>
        <w:t xml:space="preserve">байгууллага болон салбар бүрийн мэргэжлийн холбоод хамтран баталж, хэрэгжүүлнэ. </w:t>
      </w:r>
    </w:p>
    <w:p w14:paraId="703D38B1" w14:textId="77777777" w:rsidR="00113567" w:rsidRDefault="00113567" w:rsidP="00727305">
      <w:pPr>
        <w:spacing w:after="0" w:line="240" w:lineRule="auto"/>
        <w:ind w:firstLine="720"/>
        <w:jc w:val="both"/>
        <w:rPr>
          <w:rFonts w:ascii="Arial" w:eastAsiaTheme="minorEastAsia" w:hAnsi="Arial" w:cs="Arial"/>
          <w:b/>
          <w:szCs w:val="24"/>
          <w:lang w:val="mn-MN" w:eastAsia="zh-CN"/>
        </w:rPr>
      </w:pPr>
    </w:p>
    <w:p w14:paraId="68AC3861" w14:textId="48D654B6" w:rsidR="007E63B1" w:rsidRPr="00CB4958" w:rsidRDefault="007E63B1" w:rsidP="00727305">
      <w:pPr>
        <w:spacing w:after="0" w:line="240" w:lineRule="auto"/>
        <w:ind w:firstLine="720"/>
        <w:jc w:val="both"/>
        <w:rPr>
          <w:rFonts w:ascii="Arial" w:eastAsiaTheme="minorEastAsia" w:hAnsi="Arial" w:cs="Arial"/>
          <w:b/>
          <w:szCs w:val="24"/>
          <w:lang w:val="mn-MN" w:eastAsia="zh-CN"/>
        </w:rPr>
      </w:pPr>
      <w:r w:rsidRPr="007E63B1">
        <w:rPr>
          <w:rFonts w:ascii="Arial" w:eastAsiaTheme="minorEastAsia" w:hAnsi="Arial" w:cs="Arial"/>
          <w:bCs/>
          <w:szCs w:val="24"/>
          <w:lang w:val="mn-MN" w:eastAsia="zh-CN"/>
        </w:rPr>
        <w:t>8.Банк</w:t>
      </w:r>
      <w:r w:rsidRPr="007E63B1">
        <w:rPr>
          <w:rFonts w:ascii="Arial" w:eastAsiaTheme="minorEastAsia" w:hAnsi="Arial" w:cs="Arial"/>
          <w:szCs w:val="24"/>
          <w:lang w:val="mn-MN" w:eastAsia="zh-CN"/>
        </w:rPr>
        <w:t>, эрх бүхий хуулийн этгээд болон бусад зээлдүүлэгч этгээд нь зээлдэгчийн орлого, бусад төлбөрийн үүргийг харгалзан зээлдэгчийн төлбөрийн чадварт нийцүүлэн зээл олго</w:t>
      </w:r>
      <w:r>
        <w:rPr>
          <w:rFonts w:ascii="Arial" w:eastAsiaTheme="minorEastAsia" w:hAnsi="Arial" w:cs="Arial"/>
          <w:szCs w:val="24"/>
          <w:lang w:val="mn-MN" w:eastAsia="zh-CN"/>
        </w:rPr>
        <w:t>ж, з</w:t>
      </w:r>
      <w:r w:rsidRPr="007E63B1">
        <w:rPr>
          <w:rFonts w:ascii="Arial" w:eastAsiaTheme="minorEastAsia" w:hAnsi="Arial" w:cs="Arial"/>
          <w:bCs/>
          <w:szCs w:val="24"/>
          <w:lang w:val="mn-MN" w:eastAsia="zh-CN"/>
        </w:rPr>
        <w:t>ээлдүүлэгч зээлийн төлбөр барагдуулахдаа хууль тогтоомж, нийтээр дагаж мөрдөх ёс суртахууны хэм хэмжээг баримтлан, зээлдэгчийн хууль ёсны эрх, нэр хүндийг хүндэтгэн, хувийн нууцыг хадгалж, хамгаална.</w:t>
      </w:r>
    </w:p>
    <w:p w14:paraId="51BBDE3B" w14:textId="77777777" w:rsidR="008B21A5" w:rsidRPr="00CB4958" w:rsidRDefault="008B21A5" w:rsidP="00727305">
      <w:pPr>
        <w:spacing w:after="0" w:line="240" w:lineRule="auto"/>
        <w:ind w:firstLine="720"/>
        <w:jc w:val="both"/>
        <w:rPr>
          <w:rFonts w:ascii="Arial" w:eastAsiaTheme="minorEastAsia" w:hAnsi="Arial" w:cs="Arial"/>
          <w:b/>
          <w:szCs w:val="24"/>
          <w:lang w:val="mn-MN" w:eastAsia="zh-CN"/>
        </w:rPr>
      </w:pPr>
    </w:p>
    <w:p w14:paraId="334E334C" w14:textId="723CD030" w:rsidR="00D95E7C" w:rsidRPr="00CB4958" w:rsidRDefault="00113567" w:rsidP="00727305">
      <w:pPr>
        <w:spacing w:after="0" w:line="240" w:lineRule="auto"/>
        <w:ind w:firstLine="720"/>
        <w:jc w:val="both"/>
        <w:rPr>
          <w:rFonts w:ascii="Arial" w:eastAsiaTheme="minorEastAsia" w:hAnsi="Arial" w:cs="Arial"/>
          <w:szCs w:val="24"/>
          <w:lang w:val="mn-MN" w:eastAsia="zh-CN"/>
        </w:rPr>
      </w:pPr>
      <w:r w:rsidRPr="00CB4958">
        <w:rPr>
          <w:rFonts w:ascii="Arial" w:eastAsiaTheme="minorEastAsia" w:hAnsi="Arial" w:cs="Arial"/>
          <w:b/>
          <w:szCs w:val="24"/>
          <w:lang w:val="mn-MN" w:eastAsia="zh-CN"/>
        </w:rPr>
        <w:t>Гурав.</w:t>
      </w:r>
      <w:r w:rsidR="00D95E7C" w:rsidRPr="00CB4958">
        <w:rPr>
          <w:rFonts w:ascii="Arial" w:eastAsiaTheme="minorEastAsia" w:hAnsi="Arial" w:cs="Arial"/>
          <w:b/>
          <w:szCs w:val="24"/>
          <w:lang w:val="mn-MN" w:eastAsia="zh-CN"/>
        </w:rPr>
        <w:t>Хуулийн төсөл батлагдсаны дараа үүсч болох нийгэм, эдийн засаг, хууль зүйн үр дагавар, тэдгээрийг шийдвэрлэх талаар авч хэрэгжүүлэх арга хэмжээний талаарх санал</w:t>
      </w:r>
    </w:p>
    <w:p w14:paraId="5A12BA55" w14:textId="77777777" w:rsidR="00D95E7C" w:rsidRPr="00CB4958" w:rsidRDefault="00D95E7C" w:rsidP="00727305">
      <w:pPr>
        <w:spacing w:after="0" w:line="240" w:lineRule="auto"/>
        <w:jc w:val="both"/>
        <w:rPr>
          <w:rFonts w:ascii="Arial" w:eastAsiaTheme="minorEastAsia" w:hAnsi="Arial" w:cs="Arial"/>
          <w:szCs w:val="24"/>
          <w:lang w:val="mn-MN" w:eastAsia="zh-CN"/>
        </w:rPr>
      </w:pPr>
    </w:p>
    <w:p w14:paraId="738971A1" w14:textId="29522641" w:rsidR="005A62D2" w:rsidRPr="00CB4958" w:rsidRDefault="00D95E7C" w:rsidP="008138C0">
      <w:pPr>
        <w:spacing w:after="0" w:line="240" w:lineRule="auto"/>
        <w:ind w:firstLine="720"/>
        <w:jc w:val="both"/>
        <w:rPr>
          <w:rFonts w:ascii="Arial" w:hAnsi="Arial" w:cs="Arial"/>
          <w:szCs w:val="24"/>
          <w:lang w:val="mn-MN"/>
        </w:rPr>
      </w:pPr>
      <w:r w:rsidRPr="00CB4958">
        <w:rPr>
          <w:rFonts w:ascii="Arial" w:eastAsiaTheme="minorEastAsia" w:hAnsi="Arial" w:cs="Arial"/>
          <w:szCs w:val="24"/>
          <w:lang w:val="mn-MN" w:eastAsia="zh-CN"/>
        </w:rPr>
        <w:t xml:space="preserve">Хуулийн төсөл батлагдсанаар </w:t>
      </w:r>
      <w:r w:rsidR="008138C0" w:rsidRPr="00CB4958">
        <w:rPr>
          <w:rFonts w:ascii="Arial" w:eastAsiaTheme="minorEastAsia" w:hAnsi="Arial" w:cs="Arial"/>
          <w:szCs w:val="24"/>
          <w:lang w:val="mn-MN" w:eastAsia="zh-CN"/>
        </w:rPr>
        <w:t>санхүүгийн</w:t>
      </w:r>
      <w:r w:rsidR="005A62D2" w:rsidRPr="00CB4958">
        <w:rPr>
          <w:rFonts w:ascii="Arial" w:hAnsi="Arial" w:cs="Arial"/>
          <w:szCs w:val="24"/>
          <w:lang w:val="mn-MN"/>
        </w:rPr>
        <w:t xml:space="preserve"> х</w:t>
      </w:r>
      <w:r w:rsidR="008138C0" w:rsidRPr="00CB4958">
        <w:rPr>
          <w:rFonts w:ascii="Arial" w:hAnsi="Arial" w:cs="Arial"/>
          <w:szCs w:val="24"/>
          <w:lang w:val="mn-MN"/>
        </w:rPr>
        <w:t xml:space="preserve">эрэглэгч болон </w:t>
      </w:r>
      <w:r w:rsidR="005A62D2" w:rsidRPr="00CB4958">
        <w:rPr>
          <w:rFonts w:ascii="Arial" w:hAnsi="Arial" w:cs="Arial"/>
          <w:szCs w:val="24"/>
          <w:lang w:val="mn-MN"/>
        </w:rPr>
        <w:t>санхүүгийн үйлчилгээ үзүүлэгч х</w:t>
      </w:r>
      <w:r w:rsidR="008138C0" w:rsidRPr="00CB4958">
        <w:rPr>
          <w:rFonts w:ascii="Arial" w:hAnsi="Arial" w:cs="Arial"/>
          <w:szCs w:val="24"/>
          <w:lang w:val="mn-MN"/>
        </w:rPr>
        <w:t>оорондын мэдээллийн болон эрх, үүргийн</w:t>
      </w:r>
      <w:r w:rsidR="005A62D2" w:rsidRPr="00CB4958">
        <w:rPr>
          <w:rFonts w:ascii="Arial" w:hAnsi="Arial" w:cs="Arial"/>
          <w:szCs w:val="24"/>
          <w:lang w:val="mn-MN"/>
        </w:rPr>
        <w:t xml:space="preserve"> </w:t>
      </w:r>
      <w:r w:rsidR="008138C0" w:rsidRPr="00CB4958">
        <w:rPr>
          <w:rFonts w:ascii="Arial" w:hAnsi="Arial" w:cs="Arial"/>
          <w:szCs w:val="24"/>
          <w:lang w:val="mn-MN"/>
        </w:rPr>
        <w:t xml:space="preserve">тэнцвэртэй байдлыг хангах, улмаар </w:t>
      </w:r>
      <w:r w:rsidR="005A62D2" w:rsidRPr="00CB4958">
        <w:rPr>
          <w:rFonts w:ascii="Arial" w:hAnsi="Arial" w:cs="Arial"/>
          <w:szCs w:val="24"/>
          <w:lang w:val="mn-MN"/>
        </w:rPr>
        <w:t xml:space="preserve">санхүүгийн зах зээлийн үр ашигтай, ил тод, өрсөлдөөнт орчныг бэхжүүлж, </w:t>
      </w:r>
      <w:r w:rsidR="008138C0" w:rsidRPr="00CB4958">
        <w:rPr>
          <w:rFonts w:ascii="Arial" w:hAnsi="Arial" w:cs="Arial"/>
          <w:szCs w:val="24"/>
          <w:lang w:val="mn-MN"/>
        </w:rPr>
        <w:t xml:space="preserve">иргэдийн санхүүгийн салбарт итгэх итгэлийг нэмэгдүүлэх эерэг үр нөлөөтэй. </w:t>
      </w:r>
      <w:r w:rsidR="005A62D2" w:rsidRPr="00CB4958">
        <w:rPr>
          <w:rFonts w:ascii="Arial" w:hAnsi="Arial" w:cs="Arial"/>
          <w:szCs w:val="24"/>
          <w:lang w:val="mn-MN"/>
        </w:rPr>
        <w:t xml:space="preserve"> </w:t>
      </w:r>
    </w:p>
    <w:p w14:paraId="61220BF1" w14:textId="77777777" w:rsidR="008138C0" w:rsidRPr="00CB4958" w:rsidRDefault="008138C0" w:rsidP="008138C0">
      <w:pPr>
        <w:spacing w:after="0" w:line="240" w:lineRule="auto"/>
        <w:ind w:firstLine="720"/>
        <w:jc w:val="both"/>
        <w:rPr>
          <w:rFonts w:ascii="Arial" w:hAnsi="Arial" w:cs="Arial"/>
          <w:szCs w:val="24"/>
          <w:lang w:val="mn-MN"/>
        </w:rPr>
      </w:pPr>
    </w:p>
    <w:p w14:paraId="6D133F57" w14:textId="1E9A8AD5" w:rsidR="00D95E7C" w:rsidRPr="00CB4958" w:rsidRDefault="008138C0" w:rsidP="003470E0">
      <w:pPr>
        <w:spacing w:line="240" w:lineRule="auto"/>
        <w:ind w:firstLine="720"/>
        <w:jc w:val="both"/>
        <w:rPr>
          <w:rFonts w:ascii="Arial" w:hAnsi="Arial" w:cs="Arial"/>
          <w:szCs w:val="24"/>
          <w:lang w:val="mn-MN"/>
        </w:rPr>
      </w:pPr>
      <w:r w:rsidRPr="00CB4958">
        <w:rPr>
          <w:rFonts w:ascii="Arial" w:hAnsi="Arial" w:cs="Arial"/>
          <w:szCs w:val="24"/>
          <w:lang w:val="mn-MN"/>
        </w:rPr>
        <w:t>Түүнчлэн иргэдийн санхүүгийн мэдлэгийг дээшлүүлэх үйл ажиллагааг хэрэгжүүлэх, зохицуулагч байгууллагаас</w:t>
      </w:r>
      <w:r w:rsidR="003470E0" w:rsidRPr="00CB4958">
        <w:rPr>
          <w:rFonts w:ascii="Arial" w:hAnsi="Arial" w:cs="Arial"/>
          <w:szCs w:val="24"/>
          <w:lang w:val="mn-MN"/>
        </w:rPr>
        <w:t xml:space="preserve"> зохистой хяналт шалгалтаас гадна </w:t>
      </w:r>
      <w:r w:rsidRPr="00CB4958">
        <w:rPr>
          <w:rFonts w:ascii="Arial" w:hAnsi="Arial" w:cs="Arial"/>
          <w:szCs w:val="24"/>
          <w:lang w:val="mn-MN"/>
        </w:rPr>
        <w:t xml:space="preserve"> са</w:t>
      </w:r>
      <w:r w:rsidR="00727305" w:rsidRPr="00CB4958">
        <w:rPr>
          <w:rFonts w:ascii="Arial" w:hAnsi="Arial" w:cs="Arial"/>
          <w:szCs w:val="24"/>
          <w:lang w:val="mn-MN"/>
        </w:rPr>
        <w:t xml:space="preserve">нхүүгийн хэрэглэгчийн эрх ашгийг </w:t>
      </w:r>
      <w:r w:rsidRPr="00CB4958">
        <w:rPr>
          <w:rFonts w:ascii="Arial" w:hAnsi="Arial" w:cs="Arial"/>
          <w:szCs w:val="24"/>
          <w:lang w:val="mn-MN"/>
        </w:rPr>
        <w:t>хамгаалах хяналт шалгалтыг хэрэгжүүлэх замаар</w:t>
      </w:r>
      <w:r w:rsidR="003470E0" w:rsidRPr="00CB4958">
        <w:rPr>
          <w:rFonts w:ascii="Arial" w:hAnsi="Arial" w:cs="Arial"/>
          <w:szCs w:val="24"/>
          <w:lang w:val="mn-MN"/>
        </w:rPr>
        <w:t xml:space="preserve"> </w:t>
      </w:r>
      <w:r w:rsidR="00727305" w:rsidRPr="00CB4958">
        <w:rPr>
          <w:rFonts w:ascii="Arial" w:hAnsi="Arial" w:cs="Arial"/>
          <w:szCs w:val="24"/>
          <w:lang w:val="mn-MN"/>
        </w:rPr>
        <w:t>санхүүгийн</w:t>
      </w:r>
      <w:r w:rsidR="003470E0" w:rsidRPr="00CB4958">
        <w:rPr>
          <w:rFonts w:ascii="Arial" w:hAnsi="Arial" w:cs="Arial"/>
          <w:szCs w:val="24"/>
          <w:lang w:val="mn-MN"/>
        </w:rPr>
        <w:t xml:space="preserve"> салбарын</w:t>
      </w:r>
      <w:r w:rsidR="00727305" w:rsidRPr="00CB4958">
        <w:rPr>
          <w:rFonts w:ascii="Arial" w:hAnsi="Arial" w:cs="Arial"/>
          <w:szCs w:val="24"/>
          <w:lang w:val="mn-MN"/>
        </w:rPr>
        <w:t xml:space="preserve"> урт хугацааны </w:t>
      </w:r>
      <w:r w:rsidRPr="00CB4958">
        <w:rPr>
          <w:rFonts w:ascii="Arial" w:hAnsi="Arial" w:cs="Arial"/>
          <w:szCs w:val="24"/>
          <w:lang w:val="mn-MN"/>
        </w:rPr>
        <w:t xml:space="preserve">хөгжлийг дэмжиж, </w:t>
      </w:r>
      <w:r w:rsidR="00727305" w:rsidRPr="00CB4958">
        <w:rPr>
          <w:rFonts w:ascii="Arial" w:hAnsi="Arial" w:cs="Arial"/>
          <w:bCs/>
          <w:szCs w:val="24"/>
          <w:lang w:val="mn-MN"/>
        </w:rPr>
        <w:t xml:space="preserve">санхүүгийн тогтвортой </w:t>
      </w:r>
      <w:r w:rsidRPr="00CB4958">
        <w:rPr>
          <w:rFonts w:ascii="Arial" w:hAnsi="Arial" w:cs="Arial"/>
          <w:bCs/>
          <w:szCs w:val="24"/>
          <w:lang w:val="mn-MN"/>
        </w:rPr>
        <w:t>байдалд дэмжлэг үзүүлнэ.</w:t>
      </w:r>
    </w:p>
    <w:p w14:paraId="1671DDD3" w14:textId="4C71F459" w:rsidR="00D95E7C" w:rsidRPr="00CB4958" w:rsidRDefault="00595082" w:rsidP="00727305">
      <w:pPr>
        <w:spacing w:after="0" w:line="240" w:lineRule="auto"/>
        <w:ind w:firstLine="720"/>
        <w:jc w:val="both"/>
        <w:rPr>
          <w:rFonts w:ascii="Arial" w:eastAsiaTheme="minorEastAsia" w:hAnsi="Arial" w:cs="Arial"/>
          <w:szCs w:val="24"/>
          <w:lang w:val="mn-MN" w:eastAsia="zh-CN"/>
        </w:rPr>
      </w:pPr>
      <w:r w:rsidRPr="00CB4958">
        <w:rPr>
          <w:rFonts w:ascii="Arial" w:eastAsiaTheme="minorEastAsia" w:hAnsi="Arial" w:cs="Arial"/>
          <w:b/>
          <w:szCs w:val="24"/>
          <w:lang w:val="mn-MN" w:eastAsia="zh-CN"/>
        </w:rPr>
        <w:t>Гурав</w:t>
      </w:r>
      <w:r w:rsidR="00D95E7C" w:rsidRPr="00CB4958">
        <w:rPr>
          <w:rFonts w:ascii="Arial" w:eastAsiaTheme="minorEastAsia" w:hAnsi="Arial" w:cs="Arial"/>
          <w:b/>
          <w:szCs w:val="24"/>
          <w:lang w:val="mn-MN" w:eastAsia="zh-CN"/>
        </w:rPr>
        <w:t>.Хуулийн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2957ACD0" w14:textId="77777777" w:rsidR="00D95E7C" w:rsidRPr="00CB4958" w:rsidRDefault="00D95E7C" w:rsidP="00727305">
      <w:pPr>
        <w:tabs>
          <w:tab w:val="left" w:pos="720"/>
          <w:tab w:val="left" w:pos="8026"/>
        </w:tabs>
        <w:spacing w:after="0" w:line="240" w:lineRule="auto"/>
        <w:ind w:firstLine="720"/>
        <w:jc w:val="both"/>
        <w:rPr>
          <w:rFonts w:ascii="Arial" w:eastAsiaTheme="minorEastAsia" w:hAnsi="Arial" w:cs="Arial"/>
          <w:szCs w:val="24"/>
          <w:lang w:val="mn-MN" w:eastAsia="zh-CN"/>
        </w:rPr>
      </w:pPr>
    </w:p>
    <w:p w14:paraId="25B2CAFA" w14:textId="307BED8B" w:rsidR="005A62D2" w:rsidRPr="00CB4958" w:rsidRDefault="00D95E7C" w:rsidP="00727305">
      <w:pPr>
        <w:tabs>
          <w:tab w:val="left" w:pos="8026"/>
        </w:tabs>
        <w:spacing w:after="0" w:line="240" w:lineRule="auto"/>
        <w:ind w:firstLine="720"/>
        <w:jc w:val="both"/>
        <w:rPr>
          <w:rFonts w:ascii="Arial" w:eastAsiaTheme="minorEastAsia" w:hAnsi="Arial" w:cs="Arial"/>
          <w:szCs w:val="24"/>
          <w:lang w:val="mn-MN" w:eastAsia="zh-CN"/>
        </w:rPr>
      </w:pPr>
      <w:r w:rsidRPr="00CB4958">
        <w:rPr>
          <w:rFonts w:ascii="Arial" w:eastAsiaTheme="minorEastAsia" w:hAnsi="Arial" w:cs="Arial"/>
          <w:szCs w:val="24"/>
          <w:lang w:val="mn-MN" w:eastAsia="zh-CN"/>
        </w:rPr>
        <w:t xml:space="preserve">Хуулийн төсөл нь Монгол Улсын Үндсэн хууль болон </w:t>
      </w:r>
      <w:r w:rsidR="005A62D2" w:rsidRPr="00CB4958">
        <w:rPr>
          <w:rFonts w:ascii="Arial" w:eastAsiaTheme="minorEastAsia" w:hAnsi="Arial" w:cs="Arial"/>
          <w:szCs w:val="24"/>
          <w:lang w:val="mn-MN" w:eastAsia="zh-CN"/>
        </w:rPr>
        <w:t>Монгол Улсын олон улсын гэрээтэй нийцтэй болно. Хуулийн төслийг дагалдан гарах Зөрчлийн тухай болон Зөрчил шалган шийдвэрлэх тухай х</w:t>
      </w:r>
      <w:r w:rsidR="00595082" w:rsidRPr="00CB4958">
        <w:rPr>
          <w:rFonts w:ascii="Arial" w:eastAsiaTheme="minorEastAsia" w:hAnsi="Arial" w:cs="Arial"/>
          <w:szCs w:val="24"/>
          <w:lang w:val="mn-MN" w:eastAsia="zh-CN"/>
        </w:rPr>
        <w:t>уульд нэмэлт оруулах тухай хууль болон уг хуулийг дагаж мөрдөх журмын тухай хуули</w:t>
      </w:r>
      <w:r w:rsidR="005A62D2" w:rsidRPr="00CB4958">
        <w:rPr>
          <w:rFonts w:ascii="Arial" w:eastAsiaTheme="minorEastAsia" w:hAnsi="Arial" w:cs="Arial"/>
          <w:szCs w:val="24"/>
          <w:lang w:val="mn-MN" w:eastAsia="zh-CN"/>
        </w:rPr>
        <w:t>йн төслийг тус тус  боловсруулан болно.</w:t>
      </w:r>
    </w:p>
    <w:p w14:paraId="04AD54FC" w14:textId="77777777" w:rsidR="00D95E7C" w:rsidRPr="00CB4958" w:rsidRDefault="00D95E7C" w:rsidP="00727305">
      <w:pPr>
        <w:tabs>
          <w:tab w:val="left" w:pos="720"/>
          <w:tab w:val="left" w:pos="8026"/>
        </w:tabs>
        <w:spacing w:after="0" w:line="240" w:lineRule="auto"/>
        <w:ind w:firstLine="720"/>
        <w:jc w:val="both"/>
        <w:rPr>
          <w:rFonts w:ascii="Arial" w:eastAsiaTheme="minorEastAsia" w:hAnsi="Arial" w:cs="Arial"/>
          <w:szCs w:val="24"/>
          <w:lang w:val="mn-MN" w:eastAsia="zh-CN"/>
        </w:rPr>
      </w:pPr>
    </w:p>
    <w:p w14:paraId="3FCAD8AB" w14:textId="77777777" w:rsidR="005A62D2" w:rsidRPr="00CB4958" w:rsidRDefault="005A62D2" w:rsidP="00727305">
      <w:pPr>
        <w:tabs>
          <w:tab w:val="left" w:pos="720"/>
          <w:tab w:val="left" w:pos="8026"/>
        </w:tabs>
        <w:spacing w:after="0" w:line="240" w:lineRule="auto"/>
        <w:ind w:firstLine="720"/>
        <w:jc w:val="both"/>
        <w:rPr>
          <w:rFonts w:ascii="Arial" w:eastAsiaTheme="minorEastAsia" w:hAnsi="Arial" w:cs="Arial"/>
          <w:szCs w:val="24"/>
          <w:lang w:val="mn-MN" w:eastAsia="zh-CN"/>
        </w:rPr>
      </w:pPr>
    </w:p>
    <w:p w14:paraId="08A1FB1A" w14:textId="77777777" w:rsidR="00D95E7C" w:rsidRPr="00CB4958" w:rsidRDefault="00D95E7C" w:rsidP="00727305">
      <w:pPr>
        <w:tabs>
          <w:tab w:val="left" w:pos="720"/>
          <w:tab w:val="left" w:pos="8026"/>
        </w:tabs>
        <w:spacing w:after="0" w:line="240" w:lineRule="auto"/>
        <w:ind w:firstLine="720"/>
        <w:jc w:val="both"/>
        <w:rPr>
          <w:rFonts w:ascii="Arial" w:eastAsiaTheme="minorEastAsia" w:hAnsi="Arial" w:cs="Arial"/>
          <w:szCs w:val="24"/>
          <w:lang w:val="mn-MN" w:eastAsia="zh-CN"/>
        </w:rPr>
      </w:pPr>
    </w:p>
    <w:p w14:paraId="4638C725" w14:textId="77777777" w:rsidR="0062380B" w:rsidRPr="00CB4958" w:rsidRDefault="0062380B" w:rsidP="00727305">
      <w:pPr>
        <w:tabs>
          <w:tab w:val="left" w:pos="720"/>
          <w:tab w:val="left" w:pos="8026"/>
        </w:tabs>
        <w:spacing w:after="0" w:line="240" w:lineRule="auto"/>
        <w:ind w:firstLine="720"/>
        <w:jc w:val="both"/>
        <w:rPr>
          <w:rFonts w:ascii="Arial" w:eastAsiaTheme="minorEastAsia" w:hAnsi="Arial" w:cs="Arial"/>
          <w:szCs w:val="24"/>
          <w:lang w:val="mn-MN" w:eastAsia="zh-CN"/>
        </w:rPr>
      </w:pPr>
    </w:p>
    <w:p w14:paraId="48D45CC1" w14:textId="2328B0C6" w:rsidR="00BA6ECE" w:rsidRPr="00CB4958" w:rsidRDefault="0062380B" w:rsidP="00D95AE8">
      <w:pPr>
        <w:tabs>
          <w:tab w:val="left" w:pos="8026"/>
        </w:tabs>
        <w:spacing w:after="0" w:line="240" w:lineRule="auto"/>
        <w:jc w:val="center"/>
        <w:rPr>
          <w:rFonts w:ascii="Arial" w:hAnsi="Arial" w:cs="Arial"/>
          <w:lang w:val="mn-MN"/>
        </w:rPr>
      </w:pPr>
      <w:r w:rsidRPr="00CB4958">
        <w:rPr>
          <w:rFonts w:ascii="Arial" w:eastAsiaTheme="minorEastAsia" w:hAnsi="Arial" w:cs="Arial"/>
          <w:szCs w:val="24"/>
          <w:lang w:val="mn-MN" w:eastAsia="zh-CN"/>
        </w:rPr>
        <w:t>___</w:t>
      </w:r>
      <w:r w:rsidR="0079485C" w:rsidRPr="00CB4958">
        <w:rPr>
          <w:rFonts w:ascii="Arial" w:eastAsiaTheme="minorEastAsia" w:hAnsi="Arial" w:cs="Arial"/>
          <w:szCs w:val="24"/>
          <w:lang w:val="mn-MN" w:eastAsia="zh-CN"/>
        </w:rPr>
        <w:t>o0o</w:t>
      </w:r>
      <w:r w:rsidRPr="00CB4958">
        <w:rPr>
          <w:rFonts w:ascii="Arial" w:eastAsiaTheme="minorEastAsia" w:hAnsi="Arial" w:cs="Arial"/>
          <w:szCs w:val="24"/>
          <w:lang w:val="mn-MN" w:eastAsia="zh-CN"/>
        </w:rPr>
        <w:t>___</w:t>
      </w:r>
    </w:p>
    <w:sectPr w:rsidR="00BA6ECE" w:rsidRPr="00CB4958" w:rsidSect="005916C0">
      <w:pgSz w:w="12240" w:h="15840"/>
      <w:pgMar w:top="1710" w:right="1183" w:bottom="17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E039" w14:textId="77777777" w:rsidR="00030753" w:rsidRDefault="00030753" w:rsidP="00641824">
      <w:pPr>
        <w:spacing w:after="0" w:line="240" w:lineRule="auto"/>
      </w:pPr>
      <w:r>
        <w:separator/>
      </w:r>
    </w:p>
  </w:endnote>
  <w:endnote w:type="continuationSeparator" w:id="0">
    <w:p w14:paraId="6CA6883B" w14:textId="77777777" w:rsidR="00030753" w:rsidRDefault="00030753" w:rsidP="0064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764D" w14:textId="77777777" w:rsidR="00030753" w:rsidRDefault="00030753" w:rsidP="00641824">
      <w:pPr>
        <w:spacing w:after="0" w:line="240" w:lineRule="auto"/>
      </w:pPr>
      <w:r>
        <w:separator/>
      </w:r>
    </w:p>
  </w:footnote>
  <w:footnote w:type="continuationSeparator" w:id="0">
    <w:p w14:paraId="09E172DE" w14:textId="77777777" w:rsidR="00030753" w:rsidRDefault="00030753" w:rsidP="00641824">
      <w:pPr>
        <w:spacing w:after="0" w:line="240" w:lineRule="auto"/>
      </w:pPr>
      <w:r>
        <w:continuationSeparator/>
      </w:r>
    </w:p>
  </w:footnote>
  <w:footnote w:id="1">
    <w:p w14:paraId="3B188E09" w14:textId="7B347CF6" w:rsidR="003B7B1A" w:rsidRPr="003B7B1A" w:rsidRDefault="003B7B1A">
      <w:pPr>
        <w:pStyle w:val="FootnoteText"/>
        <w:rPr>
          <w:lang w:val="mn-MN"/>
        </w:rPr>
      </w:pPr>
      <w:r>
        <w:rPr>
          <w:rStyle w:val="FootnoteReference"/>
        </w:rPr>
        <w:footnoteRef/>
      </w:r>
      <w:r>
        <w:t xml:space="preserve"> </w:t>
      </w:r>
      <w:r w:rsidRPr="003B7B1A">
        <w:t>https://openknowledge.worldbank.org/bitstream/handle/10986/28996/122011-PUBLIC-GoodPractices-WebFinal.pdf?sequence=5&amp;isAllowed=y</w:t>
      </w:r>
    </w:p>
  </w:footnote>
  <w:footnote w:id="2">
    <w:p w14:paraId="175C1602" w14:textId="0FCD2AF8" w:rsidR="003D4269" w:rsidRDefault="003D4269">
      <w:pPr>
        <w:pStyle w:val="FootnoteText"/>
      </w:pPr>
      <w:r>
        <w:rPr>
          <w:rStyle w:val="FootnoteReference"/>
        </w:rPr>
        <w:footnoteRef/>
      </w:r>
      <w:r>
        <w:t xml:space="preserve"> </w:t>
      </w:r>
      <w:r w:rsidRPr="003D4269">
        <w:t>https://unctad.org/system/files/official-document/cicplpd29_en.pdf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67E9"/>
    <w:multiLevelType w:val="hybridMultilevel"/>
    <w:tmpl w:val="2B8A97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87A4FB9"/>
    <w:multiLevelType w:val="hybridMultilevel"/>
    <w:tmpl w:val="5C825016"/>
    <w:lvl w:ilvl="0" w:tplc="35F445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7B5E7D"/>
    <w:multiLevelType w:val="hybridMultilevel"/>
    <w:tmpl w:val="6A245FD2"/>
    <w:lvl w:ilvl="0" w:tplc="E0662428">
      <w:start w:val="2"/>
      <w:numFmt w:val="bullet"/>
      <w:lvlText w:val="-"/>
      <w:lvlJc w:val="left"/>
      <w:pPr>
        <w:ind w:left="1080" w:hanging="360"/>
      </w:pPr>
      <w:rPr>
        <w:rFonts w:ascii="Arial" w:eastAsia="Droid Sans Fallback"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7E63D80"/>
    <w:multiLevelType w:val="hybridMultilevel"/>
    <w:tmpl w:val="E350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323739">
    <w:abstractNumId w:val="3"/>
  </w:num>
  <w:num w:numId="2" w16cid:durableId="1887794179">
    <w:abstractNumId w:val="1"/>
  </w:num>
  <w:num w:numId="3" w16cid:durableId="1711879073">
    <w:abstractNumId w:val="0"/>
  </w:num>
  <w:num w:numId="4" w16cid:durableId="1631784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08D"/>
    <w:rsid w:val="0000680B"/>
    <w:rsid w:val="00030753"/>
    <w:rsid w:val="000849D8"/>
    <w:rsid w:val="000A15A4"/>
    <w:rsid w:val="000D4F91"/>
    <w:rsid w:val="000E131B"/>
    <w:rsid w:val="00113567"/>
    <w:rsid w:val="0014062E"/>
    <w:rsid w:val="001C00FE"/>
    <w:rsid w:val="001E1A78"/>
    <w:rsid w:val="001E4564"/>
    <w:rsid w:val="00212090"/>
    <w:rsid w:val="00232901"/>
    <w:rsid w:val="00266486"/>
    <w:rsid w:val="00296497"/>
    <w:rsid w:val="002B02DD"/>
    <w:rsid w:val="002D2C9A"/>
    <w:rsid w:val="002D6C31"/>
    <w:rsid w:val="002F389C"/>
    <w:rsid w:val="002F7465"/>
    <w:rsid w:val="003451D0"/>
    <w:rsid w:val="00345752"/>
    <w:rsid w:val="003470E0"/>
    <w:rsid w:val="003721B6"/>
    <w:rsid w:val="003729AF"/>
    <w:rsid w:val="00386D80"/>
    <w:rsid w:val="00390B13"/>
    <w:rsid w:val="003B137F"/>
    <w:rsid w:val="003B5E5D"/>
    <w:rsid w:val="003B7B1A"/>
    <w:rsid w:val="003C4008"/>
    <w:rsid w:val="003C7816"/>
    <w:rsid w:val="003D4269"/>
    <w:rsid w:val="003F2F34"/>
    <w:rsid w:val="00417DBE"/>
    <w:rsid w:val="0043193A"/>
    <w:rsid w:val="00453256"/>
    <w:rsid w:val="004648DC"/>
    <w:rsid w:val="00465D0A"/>
    <w:rsid w:val="0048327F"/>
    <w:rsid w:val="004A20D6"/>
    <w:rsid w:val="004D3228"/>
    <w:rsid w:val="004E7DE3"/>
    <w:rsid w:val="004F16B8"/>
    <w:rsid w:val="004F23B6"/>
    <w:rsid w:val="00510C26"/>
    <w:rsid w:val="00512346"/>
    <w:rsid w:val="005219B6"/>
    <w:rsid w:val="005321B9"/>
    <w:rsid w:val="00573245"/>
    <w:rsid w:val="00574DA1"/>
    <w:rsid w:val="005916C0"/>
    <w:rsid w:val="00595082"/>
    <w:rsid w:val="005A62D2"/>
    <w:rsid w:val="005C5885"/>
    <w:rsid w:val="0062380B"/>
    <w:rsid w:val="00633062"/>
    <w:rsid w:val="00641824"/>
    <w:rsid w:val="00686A41"/>
    <w:rsid w:val="006A255E"/>
    <w:rsid w:val="007134B6"/>
    <w:rsid w:val="00727305"/>
    <w:rsid w:val="00733228"/>
    <w:rsid w:val="00754E2C"/>
    <w:rsid w:val="0079485C"/>
    <w:rsid w:val="007E63B1"/>
    <w:rsid w:val="00811075"/>
    <w:rsid w:val="008138C0"/>
    <w:rsid w:val="008A490A"/>
    <w:rsid w:val="008A5815"/>
    <w:rsid w:val="008A6CB6"/>
    <w:rsid w:val="008B21A5"/>
    <w:rsid w:val="008B685D"/>
    <w:rsid w:val="008C0B1C"/>
    <w:rsid w:val="008E43A9"/>
    <w:rsid w:val="008F17BB"/>
    <w:rsid w:val="00931512"/>
    <w:rsid w:val="00933F2C"/>
    <w:rsid w:val="00947214"/>
    <w:rsid w:val="009658EB"/>
    <w:rsid w:val="00987134"/>
    <w:rsid w:val="009A6B61"/>
    <w:rsid w:val="009B1EEA"/>
    <w:rsid w:val="009C142E"/>
    <w:rsid w:val="00A13D5E"/>
    <w:rsid w:val="00A2016E"/>
    <w:rsid w:val="00A40036"/>
    <w:rsid w:val="00A44B8B"/>
    <w:rsid w:val="00A648C3"/>
    <w:rsid w:val="00A8542C"/>
    <w:rsid w:val="00A9331D"/>
    <w:rsid w:val="00A96524"/>
    <w:rsid w:val="00AE08A9"/>
    <w:rsid w:val="00AF0650"/>
    <w:rsid w:val="00AF5DA7"/>
    <w:rsid w:val="00B61162"/>
    <w:rsid w:val="00B63A97"/>
    <w:rsid w:val="00B6555C"/>
    <w:rsid w:val="00B7613C"/>
    <w:rsid w:val="00BA6ECE"/>
    <w:rsid w:val="00BB3293"/>
    <w:rsid w:val="00BE7595"/>
    <w:rsid w:val="00C014A8"/>
    <w:rsid w:val="00C1345C"/>
    <w:rsid w:val="00C50817"/>
    <w:rsid w:val="00C50BCF"/>
    <w:rsid w:val="00C56512"/>
    <w:rsid w:val="00C6031E"/>
    <w:rsid w:val="00C8141C"/>
    <w:rsid w:val="00C87FB7"/>
    <w:rsid w:val="00C919E3"/>
    <w:rsid w:val="00CA5E67"/>
    <w:rsid w:val="00CB4958"/>
    <w:rsid w:val="00CC3BF5"/>
    <w:rsid w:val="00CD32DE"/>
    <w:rsid w:val="00CD7647"/>
    <w:rsid w:val="00D3493B"/>
    <w:rsid w:val="00D36E0A"/>
    <w:rsid w:val="00D572C5"/>
    <w:rsid w:val="00D57A79"/>
    <w:rsid w:val="00D61F96"/>
    <w:rsid w:val="00D6241C"/>
    <w:rsid w:val="00D67CB1"/>
    <w:rsid w:val="00D90574"/>
    <w:rsid w:val="00D95AE8"/>
    <w:rsid w:val="00D95E7C"/>
    <w:rsid w:val="00DB2C55"/>
    <w:rsid w:val="00DB69A8"/>
    <w:rsid w:val="00DF1B46"/>
    <w:rsid w:val="00DF22BC"/>
    <w:rsid w:val="00E41867"/>
    <w:rsid w:val="00E5659F"/>
    <w:rsid w:val="00E77094"/>
    <w:rsid w:val="00E80367"/>
    <w:rsid w:val="00E861D2"/>
    <w:rsid w:val="00EA0DBD"/>
    <w:rsid w:val="00EA4069"/>
    <w:rsid w:val="00EC3538"/>
    <w:rsid w:val="00F2108D"/>
    <w:rsid w:val="00F372F0"/>
    <w:rsid w:val="00F51488"/>
    <w:rsid w:val="00F96166"/>
    <w:rsid w:val="00FC294D"/>
    <w:rsid w:val="00FC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2E5B"/>
  <w15:docId w15:val="{5BE14372-64B0-476F-9F35-33E7EE8A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08D"/>
    <w:pPr>
      <w:ind w:left="720"/>
      <w:contextualSpacing/>
    </w:pPr>
  </w:style>
  <w:style w:type="paragraph" w:styleId="NoSpacing">
    <w:name w:val="No Spacing"/>
    <w:uiPriority w:val="1"/>
    <w:qFormat/>
    <w:rsid w:val="00F2108D"/>
    <w:pPr>
      <w:spacing w:after="0" w:line="240" w:lineRule="auto"/>
    </w:pPr>
  </w:style>
  <w:style w:type="paragraph" w:styleId="FootnoteText">
    <w:name w:val="footnote text"/>
    <w:basedOn w:val="Normal"/>
    <w:link w:val="FootnoteTextChar"/>
    <w:uiPriority w:val="99"/>
    <w:semiHidden/>
    <w:unhideWhenUsed/>
    <w:rsid w:val="00641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824"/>
    <w:rPr>
      <w:sz w:val="20"/>
      <w:szCs w:val="20"/>
    </w:rPr>
  </w:style>
  <w:style w:type="character" w:styleId="FootnoteReference">
    <w:name w:val="footnote reference"/>
    <w:basedOn w:val="DefaultParagraphFont"/>
    <w:uiPriority w:val="99"/>
    <w:semiHidden/>
    <w:unhideWhenUsed/>
    <w:rsid w:val="00641824"/>
    <w:rPr>
      <w:vertAlign w:val="superscript"/>
    </w:rPr>
  </w:style>
  <w:style w:type="paragraph" w:customStyle="1" w:styleId="msghead">
    <w:name w:val="msg_head"/>
    <w:basedOn w:val="Normal"/>
    <w:uiPriority w:val="99"/>
    <w:semiHidden/>
    <w:rsid w:val="00AF5DA7"/>
    <w:pPr>
      <w:spacing w:before="100" w:beforeAutospacing="1" w:after="100" w:afterAutospacing="1" w:line="240" w:lineRule="auto"/>
    </w:pPr>
    <w:rPr>
      <w:rFonts w:eastAsiaTheme="minorEastAsia"/>
      <w:szCs w:val="24"/>
      <w:lang w:val="mn-MN" w:eastAsia="mn-MN"/>
    </w:rPr>
  </w:style>
  <w:style w:type="character" w:styleId="Strong">
    <w:name w:val="Strong"/>
    <w:basedOn w:val="DefaultParagraphFont"/>
    <w:uiPriority w:val="22"/>
    <w:qFormat/>
    <w:rsid w:val="00AF5DA7"/>
    <w:rPr>
      <w:b/>
      <w:bCs/>
    </w:rPr>
  </w:style>
  <w:style w:type="paragraph" w:styleId="Header">
    <w:name w:val="header"/>
    <w:basedOn w:val="Normal"/>
    <w:link w:val="HeaderChar"/>
    <w:uiPriority w:val="99"/>
    <w:unhideWhenUsed/>
    <w:rsid w:val="003F2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F34"/>
  </w:style>
  <w:style w:type="paragraph" w:styleId="Footer">
    <w:name w:val="footer"/>
    <w:basedOn w:val="Normal"/>
    <w:link w:val="FooterChar"/>
    <w:uiPriority w:val="99"/>
    <w:unhideWhenUsed/>
    <w:rsid w:val="003F2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F34"/>
  </w:style>
  <w:style w:type="paragraph" w:styleId="BalloonText">
    <w:name w:val="Balloon Text"/>
    <w:basedOn w:val="Normal"/>
    <w:link w:val="BalloonTextChar"/>
    <w:uiPriority w:val="99"/>
    <w:semiHidden/>
    <w:unhideWhenUsed/>
    <w:rsid w:val="000E1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31B"/>
    <w:rPr>
      <w:rFonts w:ascii="Tahoma" w:hAnsi="Tahoma" w:cs="Tahoma"/>
      <w:sz w:val="16"/>
      <w:szCs w:val="16"/>
    </w:rPr>
  </w:style>
  <w:style w:type="paragraph" w:styleId="NormalWeb">
    <w:name w:val="Normal (Web)"/>
    <w:basedOn w:val="Normal"/>
    <w:uiPriority w:val="99"/>
    <w:unhideWhenUsed/>
    <w:rsid w:val="009C142E"/>
    <w:pPr>
      <w:spacing w:before="100" w:beforeAutospacing="1" w:after="100" w:afterAutospacing="1" w:line="240" w:lineRule="auto"/>
    </w:pPr>
    <w:rPr>
      <w:rFonts w:eastAsia="Times New Roman"/>
      <w:szCs w:val="24"/>
      <w:lang w:val="mn-MN" w:eastAsia="mn-MN"/>
    </w:rPr>
  </w:style>
  <w:style w:type="character" w:customStyle="1" w:styleId="highlight2">
    <w:name w:val="highlight2"/>
    <w:basedOn w:val="DefaultParagraphFont"/>
    <w:rsid w:val="009C142E"/>
  </w:style>
  <w:style w:type="character" w:styleId="CommentReference">
    <w:name w:val="annotation reference"/>
    <w:basedOn w:val="DefaultParagraphFont"/>
    <w:uiPriority w:val="99"/>
    <w:semiHidden/>
    <w:unhideWhenUsed/>
    <w:rsid w:val="00727305"/>
    <w:rPr>
      <w:sz w:val="16"/>
      <w:szCs w:val="16"/>
    </w:rPr>
  </w:style>
  <w:style w:type="paragraph" w:styleId="CommentText">
    <w:name w:val="annotation text"/>
    <w:basedOn w:val="Normal"/>
    <w:link w:val="CommentTextChar"/>
    <w:uiPriority w:val="99"/>
    <w:unhideWhenUsed/>
    <w:rsid w:val="00727305"/>
    <w:pPr>
      <w:spacing w:after="0" w:line="240" w:lineRule="auto"/>
    </w:pPr>
    <w:rPr>
      <w:rFonts w:asciiTheme="minorHAnsi" w:eastAsia="SimSun" w:hAnsiTheme="minorHAnsi" w:cstheme="minorBidi"/>
      <w:sz w:val="20"/>
      <w:szCs w:val="20"/>
    </w:rPr>
  </w:style>
  <w:style w:type="character" w:customStyle="1" w:styleId="CommentTextChar">
    <w:name w:val="Comment Text Char"/>
    <w:basedOn w:val="DefaultParagraphFont"/>
    <w:link w:val="CommentText"/>
    <w:uiPriority w:val="99"/>
    <w:rsid w:val="00727305"/>
    <w:rPr>
      <w:rFonts w:asciiTheme="minorHAnsi" w:eastAsia="SimSun"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8254">
      <w:bodyDiv w:val="1"/>
      <w:marLeft w:val="0"/>
      <w:marRight w:val="0"/>
      <w:marTop w:val="0"/>
      <w:marBottom w:val="0"/>
      <w:divBdr>
        <w:top w:val="none" w:sz="0" w:space="0" w:color="auto"/>
        <w:left w:val="none" w:sz="0" w:space="0" w:color="auto"/>
        <w:bottom w:val="none" w:sz="0" w:space="0" w:color="auto"/>
        <w:right w:val="none" w:sz="0" w:space="0" w:color="auto"/>
      </w:divBdr>
    </w:div>
    <w:div w:id="956372948">
      <w:bodyDiv w:val="1"/>
      <w:marLeft w:val="0"/>
      <w:marRight w:val="0"/>
      <w:marTop w:val="0"/>
      <w:marBottom w:val="0"/>
      <w:divBdr>
        <w:top w:val="none" w:sz="0" w:space="0" w:color="auto"/>
        <w:left w:val="none" w:sz="0" w:space="0" w:color="auto"/>
        <w:bottom w:val="none" w:sz="0" w:space="0" w:color="auto"/>
        <w:right w:val="none" w:sz="0" w:space="0" w:color="auto"/>
      </w:divBdr>
    </w:div>
    <w:div w:id="1460150783">
      <w:bodyDiv w:val="1"/>
      <w:marLeft w:val="0"/>
      <w:marRight w:val="0"/>
      <w:marTop w:val="0"/>
      <w:marBottom w:val="0"/>
      <w:divBdr>
        <w:top w:val="none" w:sz="0" w:space="0" w:color="auto"/>
        <w:left w:val="none" w:sz="0" w:space="0" w:color="auto"/>
        <w:bottom w:val="none" w:sz="0" w:space="0" w:color="auto"/>
        <w:right w:val="none" w:sz="0" w:space="0" w:color="auto"/>
      </w:divBdr>
    </w:div>
    <w:div w:id="1671832753">
      <w:bodyDiv w:val="1"/>
      <w:marLeft w:val="0"/>
      <w:marRight w:val="0"/>
      <w:marTop w:val="0"/>
      <w:marBottom w:val="0"/>
      <w:divBdr>
        <w:top w:val="none" w:sz="0" w:space="0" w:color="auto"/>
        <w:left w:val="none" w:sz="0" w:space="0" w:color="auto"/>
        <w:bottom w:val="none" w:sz="0" w:space="0" w:color="auto"/>
        <w:right w:val="none" w:sz="0" w:space="0" w:color="auto"/>
      </w:divBdr>
      <w:divsChild>
        <w:div w:id="1785071726">
          <w:marLeft w:val="0"/>
          <w:marRight w:val="0"/>
          <w:marTop w:val="0"/>
          <w:marBottom w:val="300"/>
          <w:divBdr>
            <w:top w:val="none" w:sz="0" w:space="0" w:color="auto"/>
            <w:left w:val="none" w:sz="0" w:space="0" w:color="auto"/>
            <w:bottom w:val="none" w:sz="0" w:space="0" w:color="auto"/>
            <w:right w:val="none" w:sz="0" w:space="0" w:color="auto"/>
          </w:divBdr>
        </w:div>
        <w:div w:id="1958173614">
          <w:marLeft w:val="0"/>
          <w:marRight w:val="0"/>
          <w:marTop w:val="150"/>
          <w:marBottom w:val="300"/>
          <w:divBdr>
            <w:top w:val="none" w:sz="0" w:space="0" w:color="auto"/>
            <w:left w:val="none" w:sz="0" w:space="0" w:color="auto"/>
            <w:bottom w:val="none" w:sz="0" w:space="0" w:color="auto"/>
            <w:right w:val="none" w:sz="0" w:space="0" w:color="auto"/>
          </w:divBdr>
        </w:div>
        <w:div w:id="1217812928">
          <w:marLeft w:val="0"/>
          <w:marRight w:val="0"/>
          <w:marTop w:val="150"/>
          <w:marBottom w:val="300"/>
          <w:divBdr>
            <w:top w:val="none" w:sz="0" w:space="0" w:color="auto"/>
            <w:left w:val="none" w:sz="0" w:space="0" w:color="auto"/>
            <w:bottom w:val="none" w:sz="0" w:space="0" w:color="auto"/>
            <w:right w:val="none" w:sz="0" w:space="0" w:color="auto"/>
          </w:divBdr>
        </w:div>
        <w:div w:id="1181505546">
          <w:marLeft w:val="0"/>
          <w:marRight w:val="0"/>
          <w:marTop w:val="150"/>
          <w:marBottom w:val="300"/>
          <w:divBdr>
            <w:top w:val="none" w:sz="0" w:space="0" w:color="auto"/>
            <w:left w:val="none" w:sz="0" w:space="0" w:color="auto"/>
            <w:bottom w:val="none" w:sz="0" w:space="0" w:color="auto"/>
            <w:right w:val="none" w:sz="0" w:space="0" w:color="auto"/>
          </w:divBdr>
        </w:div>
        <w:div w:id="682903509">
          <w:marLeft w:val="15"/>
          <w:marRight w:val="0"/>
          <w:marTop w:val="300"/>
          <w:marBottom w:val="300"/>
          <w:divBdr>
            <w:top w:val="none" w:sz="0" w:space="0" w:color="auto"/>
            <w:left w:val="none" w:sz="0" w:space="0" w:color="auto"/>
            <w:bottom w:val="none" w:sz="0" w:space="0" w:color="auto"/>
            <w:right w:val="none" w:sz="0" w:space="0" w:color="auto"/>
          </w:divBdr>
        </w:div>
      </w:divsChild>
    </w:div>
    <w:div w:id="1784300112">
      <w:bodyDiv w:val="1"/>
      <w:marLeft w:val="0"/>
      <w:marRight w:val="0"/>
      <w:marTop w:val="0"/>
      <w:marBottom w:val="0"/>
      <w:divBdr>
        <w:top w:val="none" w:sz="0" w:space="0" w:color="auto"/>
        <w:left w:val="none" w:sz="0" w:space="0" w:color="auto"/>
        <w:bottom w:val="none" w:sz="0" w:space="0" w:color="auto"/>
        <w:right w:val="none" w:sz="0" w:space="0" w:color="auto"/>
      </w:divBdr>
    </w:div>
    <w:div w:id="1939870109">
      <w:bodyDiv w:val="1"/>
      <w:marLeft w:val="0"/>
      <w:marRight w:val="0"/>
      <w:marTop w:val="0"/>
      <w:marBottom w:val="0"/>
      <w:divBdr>
        <w:top w:val="none" w:sz="0" w:space="0" w:color="auto"/>
        <w:left w:val="none" w:sz="0" w:space="0" w:color="auto"/>
        <w:bottom w:val="none" w:sz="0" w:space="0" w:color="auto"/>
        <w:right w:val="none" w:sz="0" w:space="0" w:color="auto"/>
      </w:divBdr>
      <w:divsChild>
        <w:div w:id="2106337623">
          <w:marLeft w:val="15"/>
          <w:marRight w:val="0"/>
          <w:marTop w:val="300"/>
          <w:marBottom w:val="300"/>
          <w:divBdr>
            <w:top w:val="none" w:sz="0" w:space="0" w:color="auto"/>
            <w:left w:val="none" w:sz="0" w:space="0" w:color="auto"/>
            <w:bottom w:val="none" w:sz="0" w:space="0" w:color="auto"/>
            <w:right w:val="none" w:sz="0" w:space="0" w:color="auto"/>
          </w:divBdr>
        </w:div>
        <w:div w:id="265381800">
          <w:marLeft w:val="0"/>
          <w:marRight w:val="0"/>
          <w:marTop w:val="150"/>
          <w:marBottom w:val="300"/>
          <w:divBdr>
            <w:top w:val="none" w:sz="0" w:space="0" w:color="auto"/>
            <w:left w:val="none" w:sz="0" w:space="0" w:color="auto"/>
            <w:bottom w:val="none" w:sz="0" w:space="0" w:color="auto"/>
            <w:right w:val="none" w:sz="0" w:space="0" w:color="auto"/>
          </w:divBdr>
        </w:div>
        <w:div w:id="775097995">
          <w:marLeft w:val="0"/>
          <w:marRight w:val="0"/>
          <w:marTop w:val="150"/>
          <w:marBottom w:val="300"/>
          <w:divBdr>
            <w:top w:val="none" w:sz="0" w:space="0" w:color="auto"/>
            <w:left w:val="none" w:sz="0" w:space="0" w:color="auto"/>
            <w:bottom w:val="none" w:sz="0" w:space="0" w:color="auto"/>
            <w:right w:val="none" w:sz="0" w:space="0" w:color="auto"/>
          </w:divBdr>
        </w:div>
        <w:div w:id="1747453683">
          <w:marLeft w:val="0"/>
          <w:marRight w:val="0"/>
          <w:marTop w:val="150"/>
          <w:marBottom w:val="300"/>
          <w:divBdr>
            <w:top w:val="none" w:sz="0" w:space="0" w:color="auto"/>
            <w:left w:val="none" w:sz="0" w:space="0" w:color="auto"/>
            <w:bottom w:val="none" w:sz="0" w:space="0" w:color="auto"/>
            <w:right w:val="none" w:sz="0" w:space="0" w:color="auto"/>
          </w:divBdr>
        </w:div>
        <w:div w:id="423841557">
          <w:marLeft w:val="15"/>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7B93D-2B68-47A3-8876-D78922F3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1085</Words>
  <Characters>8011</Characters>
  <Application>Microsoft Office Word</Application>
  <DocSecurity>0</DocSecurity>
  <Lines>163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erdenekhuyag</dc:creator>
  <cp:lastModifiedBy>ХЭЗГ Ө.Мөнх-Ундрага</cp:lastModifiedBy>
  <cp:revision>6</cp:revision>
  <cp:lastPrinted>2022-09-15T07:33:00Z</cp:lastPrinted>
  <dcterms:created xsi:type="dcterms:W3CDTF">2025-12-19T03:09:00Z</dcterms:created>
  <dcterms:modified xsi:type="dcterms:W3CDTF">2026-01-20T04:10:00Z</dcterms:modified>
</cp:coreProperties>
</file>