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0" w:right="-324.3307086614169" w:firstLine="720"/>
        <w:rPr>
          <w:sz w:val="24"/>
          <w:szCs w:val="24"/>
        </w:rPr>
      </w:pPr>
      <w:r w:rsidDel="00000000" w:rsidR="00000000" w:rsidRPr="00000000">
        <w:rPr>
          <w:sz w:val="24"/>
          <w:szCs w:val="24"/>
          <w:rtl w:val="0"/>
        </w:rPr>
        <w:tab/>
        <w:t xml:space="preserve">  </w:t>
        <w:tab/>
        <w:tab/>
        <w:tab/>
        <w:tab/>
        <w:t xml:space="preserve"> Төсөл</w:t>
      </w:r>
    </w:p>
    <w:p w:rsidR="00000000" w:rsidDel="00000000" w:rsidP="00000000" w:rsidRDefault="00000000" w:rsidRPr="00000000" w14:paraId="00000002">
      <w:pPr>
        <w:ind w:left="3600" w:firstLine="720"/>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БАТЛАВ.</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УЛСЫН ИХ ХУРЛЫН ГИШҮҮН Д.ЭНХТУЯА</w:t>
        <w:tab/>
        <w:tab/>
        <w:tab/>
        <w:t xml:space="preserve">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2026 оны __ дугаар сарын __ ны өдөр</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b w:val="1"/>
          <w:bCs w:val="1"/>
          <w:sz w:val="24"/>
          <w:szCs w:val="24"/>
        </w:rPr>
      </w:pPr>
      <w:r w:rsidDel="00000000" w:rsidR="00000000" w:rsidRPr="00000000">
        <w:rPr>
          <w:sz w:val="24"/>
          <w:szCs w:val="24"/>
          <w:rtl w:val="0"/>
        </w:rPr>
        <w:t xml:space="preserve"> </w:t>
        <w:tab/>
        <w:tab/>
        <w:tab/>
      </w:r>
      <w:r w:rsidDel="00000000" w:rsidR="00000000" w:rsidRPr="00000000">
        <w:rPr>
          <w:b w:val="1"/>
          <w:bCs w:val="1"/>
          <w:sz w:val="24"/>
          <w:szCs w:val="24"/>
          <w:rtl w:val="0"/>
        </w:rPr>
        <w:t xml:space="preserve">           </w:t>
      </w:r>
    </w:p>
    <w:p w:rsidR="00000000" w:rsidDel="00000000" w:rsidP="00000000" w:rsidRDefault="00000000" w:rsidRPr="00000000" w14:paraId="0000000D">
      <w:pPr>
        <w:ind w:left="1440" w:firstLine="720"/>
        <w:rPr>
          <w:b w:val="1"/>
          <w:bCs w:val="1"/>
          <w:sz w:val="24"/>
          <w:szCs w:val="24"/>
        </w:rPr>
      </w:pPr>
      <w:r w:rsidDel="00000000" w:rsidR="00000000" w:rsidRPr="00000000">
        <w:rPr>
          <w:b w:val="1"/>
          <w:bCs w:val="1"/>
          <w:sz w:val="24"/>
          <w:szCs w:val="24"/>
          <w:rtl w:val="0"/>
        </w:rPr>
        <w:t xml:space="preserve">            АСРАХ ҮЙЛЧИЛГЭЭНИЙ ТУХАЙ </w:t>
      </w:r>
    </w:p>
    <w:p w:rsidR="00000000" w:rsidDel="00000000" w:rsidP="00000000" w:rsidRDefault="00000000" w:rsidRPr="00000000" w14:paraId="0000000E">
      <w:pPr>
        <w:ind w:left="1440" w:firstLine="720"/>
        <w:rPr>
          <w:b w:val="1"/>
          <w:bCs w:val="1"/>
          <w:sz w:val="24"/>
          <w:szCs w:val="24"/>
        </w:rPr>
      </w:pPr>
      <w:r w:rsidDel="00000000" w:rsidR="00000000" w:rsidRPr="00000000">
        <w:rPr>
          <w:b w:val="1"/>
          <w:bCs w:val="1"/>
          <w:sz w:val="24"/>
          <w:szCs w:val="24"/>
          <w:rtl w:val="0"/>
        </w:rPr>
        <w:t xml:space="preserve">      ХУУЛИЙН ТӨСЛИЙН ҮЗЭЛ БАРИМТЛАЛ</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ind w:firstLine="720"/>
        <w:rPr>
          <w:b w:val="1"/>
          <w:bCs w:val="1"/>
          <w:sz w:val="24"/>
          <w:szCs w:val="24"/>
        </w:rPr>
      </w:pPr>
      <w:r w:rsidDel="00000000" w:rsidR="00000000" w:rsidRPr="00000000">
        <w:rPr>
          <w:b w:val="1"/>
          <w:bCs w:val="1"/>
          <w:sz w:val="24"/>
          <w:szCs w:val="24"/>
          <w:rtl w:val="0"/>
        </w:rPr>
        <w:t xml:space="preserve">Нэг.Хуулийн төсөл боловсруулах үндэслэл, шаардлага</w:t>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b w:val="1"/>
          <w:bCs w:val="1"/>
          <w:rtl w:val="0"/>
        </w:rPr>
        <w:tab/>
      </w:r>
      <w:r w:rsidDel="00000000" w:rsidR="00000000" w:rsidRPr="00000000">
        <w:rPr>
          <w:sz w:val="24"/>
          <w:szCs w:val="24"/>
          <w:rtl w:val="0"/>
        </w:rPr>
        <w:t xml:space="preserve">Монгол Улсын Үндсэн хуулийн 16 дугаар зүйлд Монгол улсын иргэн нь амьд явах эрхтэй, эрүүл аюулгүй орчинд амьдрах, орчны бохирдол, байгалийн тэнцэл алдагдахаас хамгаалуулах эрхтэй, амрах, өндөр наслах, хөдөлмөрийн чадвар алдах, хүүхэд төрүүлэх, асрах болон хуульд заасан бусад тохиолдолд эд, мөнгөний тусламж авах эрхтэй, эрүүл мэндээ хамгаалуулах, эмнэлгийн тусламж авах зэрэг үндсэн эрхийг эдлэх талаар заасан байдаг.</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ab/>
        <w:t xml:space="preserve">Монгол Улсын урт хугацааны хөгжлийн бодлого “Алсын хараа 2050” баримт бичигт Монгол Улс 2050 онд нийгмийн хөгжил, эдийн засгийн өсөлт, иргэдийн амьдралын чанараар Азид тэргүүлэгч орнуудын нэг болно, амар тайван, хүмүүнлэг нийгмийг цогцлоож, эрүүл чийрэг, эрдэм боловсролтой, эх оронч, хөрвөх чадвартай, оюунлаг, бүтээл иргэнтэй улс болж хөгжинө гэж алсын хараа, эрхэм зорилгыг тодорхойлсон. </w:t>
      </w:r>
    </w:p>
    <w:p w:rsidR="00000000" w:rsidDel="00000000" w:rsidP="00000000" w:rsidRDefault="00000000" w:rsidRPr="00000000" w14:paraId="00000015">
      <w:pPr>
        <w:ind w:firstLine="720"/>
        <w:jc w:val="both"/>
        <w:rPr>
          <w:sz w:val="24"/>
          <w:szCs w:val="24"/>
        </w:rPr>
      </w:pPr>
      <w:r w:rsidDel="00000000" w:rsidR="00000000" w:rsidRPr="00000000">
        <w:rPr>
          <w:rtl w:val="0"/>
        </w:rPr>
      </w:r>
    </w:p>
    <w:p w:rsidR="00000000" w:rsidDel="00000000" w:rsidP="00000000" w:rsidRDefault="00000000" w:rsidRPr="00000000" w14:paraId="00000016">
      <w:pPr>
        <w:ind w:firstLine="720"/>
        <w:jc w:val="both"/>
        <w:rPr>
          <w:sz w:val="24"/>
          <w:szCs w:val="24"/>
        </w:rPr>
      </w:pPr>
      <w:r w:rsidDel="00000000" w:rsidR="00000000" w:rsidRPr="00000000">
        <w:rPr>
          <w:sz w:val="24"/>
          <w:szCs w:val="24"/>
          <w:rtl w:val="0"/>
        </w:rPr>
        <w:t xml:space="preserve">Уг бодлогын баримт бичгийн Гурав.Амьдралын чанар ба дундаж давхарга бүлгийн Нийгмийн хамгаалал ба даатгалын тогтолцооны шинэчлэл, зорилт 3.1-д Амьдралын баталгааг хангах нийгмийн хамгааллын үйлчилгээг хөгжүүлж, амьдралын чанарыг дээшлүүлэхүйц нийгмийн даатгалын тогтолцоог бэхжүүлнэ, 1 үе шат (2021-2030): нийгмийн хамгааллын тогтолцоог шинэчлэх үе: 3. Хүн амын бүлгүүдийн ялгаатай хэрэгцээ, нийгмийн хөгжлийн хэрэгцээ шаардлагад нийцүүлэн нийгмийн хамгаалал, халамжийн үйлчилгээг үзүүлнэ. 4. Нийгмийн халамжийн үйлчилгээнд хүн амын эмзэг бүлгүүдийг бүрэн хамруулна.. 5. Зорилтот, эмзэг бүлгийн өрх, иргэний амьжиргаанд хүрэлцэхүйц хэмжээний нийгмийн халамжийн тусламж, дэмжлэгийг үзүүлдэг болно гэж заасан.</w:t>
      </w:r>
    </w:p>
    <w:p w:rsidR="00000000" w:rsidDel="00000000" w:rsidP="00000000" w:rsidRDefault="00000000" w:rsidRPr="00000000" w14:paraId="00000017">
      <w:pPr>
        <w:ind w:firstLine="720"/>
        <w:jc w:val="both"/>
        <w:rPr>
          <w:sz w:val="24"/>
          <w:szCs w:val="24"/>
        </w:rPr>
      </w:pPr>
      <w:r w:rsidDel="00000000" w:rsidR="00000000" w:rsidRPr="00000000">
        <w:rPr>
          <w:rtl w:val="0"/>
        </w:rPr>
      </w:r>
    </w:p>
    <w:p w:rsidR="00000000" w:rsidDel="00000000" w:rsidP="00000000" w:rsidRDefault="00000000" w:rsidRPr="00000000" w14:paraId="00000018">
      <w:pPr>
        <w:ind w:firstLine="720"/>
        <w:jc w:val="both"/>
        <w:rPr>
          <w:sz w:val="24"/>
          <w:szCs w:val="24"/>
        </w:rPr>
      </w:pPr>
      <w:r w:rsidDel="00000000" w:rsidR="00000000" w:rsidRPr="00000000">
        <w:rPr>
          <w:sz w:val="24"/>
          <w:szCs w:val="24"/>
          <w:rtl w:val="0"/>
        </w:rPr>
        <w:t xml:space="preserve">“Алсын хараа-2050” Монгол Улсын урт хугацааны хөгжлийн бодлогын хүрээнд 2021-2030 онд хэрэгжүүлэх үйл ажиллагааны төлөвлөгөөний 3.1.10-д Нийгмийн халамжийн тусламж, дэмжлэг, үйлчилгээг зорилтот, эмзэг бүлгийн хэрэгцээнд нийцүүлж, амьжиргааг нь дээшлүүлэхэд чиглүүлнэ, 3.1.13-д Ахмад настанд урт хугацааны тусламж үйлчилгээ үзүүлэх хөгжлийн төвүүдийг байгуулна гэж заасан.</w:t>
      </w:r>
    </w:p>
    <w:p w:rsidR="00000000" w:rsidDel="00000000" w:rsidP="00000000" w:rsidRDefault="00000000" w:rsidRPr="00000000" w14:paraId="00000019">
      <w:pPr>
        <w:ind w:firstLine="720"/>
        <w:jc w:val="both"/>
        <w:rPr>
          <w:sz w:val="24"/>
          <w:szCs w:val="24"/>
        </w:rPr>
      </w:pPr>
      <w:r w:rsidDel="00000000" w:rsidR="00000000" w:rsidRPr="00000000">
        <w:rPr>
          <w:rtl w:val="0"/>
        </w:rPr>
      </w:r>
    </w:p>
    <w:p w:rsidR="00000000" w:rsidDel="00000000" w:rsidP="00000000" w:rsidRDefault="00000000" w:rsidRPr="00000000" w14:paraId="0000001A">
      <w:pPr>
        <w:ind w:firstLine="720"/>
        <w:jc w:val="both"/>
        <w:rPr>
          <w:sz w:val="24"/>
          <w:szCs w:val="24"/>
        </w:rPr>
      </w:pPr>
      <w:r w:rsidDel="00000000" w:rsidR="00000000" w:rsidRPr="00000000">
        <w:rPr>
          <w:sz w:val="24"/>
          <w:szCs w:val="24"/>
          <w:rtl w:val="0"/>
        </w:rPr>
        <w:t xml:space="preserve">Гэвч нийгмийн халамж, асрамжийн үйлчилгээ шаардлагатай хэсэгт төрийн бодлого, халамж, асрамжийн үйлчилгээ хүртээмжтэй биш байна. Нийгэмд халамж, асрамжийн үйлчилгээ дутагдалтай, түүний улмаас асрах үйлчилгээ шаардлагатай байгаа хүмүүс болон ахмад настан, хэрэгцээ шаардлагатай хүмүүст ихээхэн бэрхшээл, хүндрэл үүсч, нийгмийн бухимдал өндөр байгаа нь тодорхой байна. Монгол Улс өнгөрсөн хугацаанд асрах үйлчилгээ, ажилтай холбоотой хууль тогтоомжийг батлан гаргаж, эрх зүйн орчин, стандарт, хэм хэмжээг тогтоож зарим ахиц гаргасан байна. Гэвч цаашид срахуйн ажлын бүх хэлбэрийг хүлээн зөвшөөрч, үйлчилгээ үзүүлэгч болон үйлчилгээ хүртэж байгаа талуудын харилцааны эрх зүйн үндэс, харилцааг зохистой зохицуулах асуудал шаардлагатай юм.</w:t>
      </w:r>
    </w:p>
    <w:p w:rsidR="00000000" w:rsidDel="00000000" w:rsidP="00000000" w:rsidRDefault="00000000" w:rsidRPr="00000000" w14:paraId="0000001B">
      <w:pPr>
        <w:ind w:firstLine="720"/>
        <w:jc w:val="both"/>
        <w:rPr>
          <w:sz w:val="24"/>
          <w:szCs w:val="24"/>
        </w:rPr>
      </w:pPr>
      <w:r w:rsidDel="00000000" w:rsidR="00000000" w:rsidRPr="00000000">
        <w:rPr>
          <w:rtl w:val="0"/>
        </w:rPr>
      </w:r>
    </w:p>
    <w:p w:rsidR="00000000" w:rsidDel="00000000" w:rsidP="00000000" w:rsidRDefault="00000000" w:rsidRPr="00000000" w14:paraId="0000001C">
      <w:pPr>
        <w:ind w:firstLine="720"/>
        <w:jc w:val="both"/>
        <w:rPr>
          <w:sz w:val="24"/>
          <w:szCs w:val="24"/>
        </w:rPr>
      </w:pPr>
      <w:r w:rsidDel="00000000" w:rsidR="00000000" w:rsidRPr="00000000">
        <w:rPr>
          <w:sz w:val="24"/>
          <w:szCs w:val="24"/>
          <w:rtl w:val="0"/>
        </w:rPr>
        <w:t xml:space="preserve">Эмэгтэйчүүд дийлэнх цагаа асрахуйн хөлсгүй хөдөлмөрт зарцуулж байгаад асрахуйн үйлчилгээний хүртээмжгүй байдалд нөлөөлж байна. Тодруулбал, асаргаа шаардлагатай гэр бүлийн гишүүдийг асрах цалин хөлсгүй хөдөлмөрт эмэгтэйчүүдийн зарцуулдаг цаг эрэгтэйчүүдийнхээс 2.1 дахин их, хүүхэд өвдсөн тохиолдолд даруй 10 дахин нэмэгдэж байна. Өрх гэр болон ажлын байран дахь жендерийн тэгш бус байдлыг арилгаснаар Монгол Улс эмэгтэйчүүдийн ажиллах хүчин дэх оролцооны түвшинг 63.2 хувь хүртэл өсгөх, улмаар нэг хүнд ногдох эдийн засгийн жилийн өсөлтийн түвшинг 0.5 хувиар нэмэгдүүлж, 2025 он гэхэд Монгол Улсын ДНБ-ийг 16 хувиар өсгөх боломжтой гэж АХБ тооцоолсон байна.</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1D">
      <w:pPr>
        <w:ind w:left="0" w:firstLine="0"/>
        <w:jc w:val="both"/>
        <w:rPr>
          <w:sz w:val="24"/>
          <w:szCs w:val="24"/>
        </w:rPr>
      </w:pPr>
      <w:r w:rsidDel="00000000" w:rsidR="00000000" w:rsidRPr="00000000">
        <w:rPr>
          <w:rtl w:val="0"/>
        </w:rPr>
      </w:r>
    </w:p>
    <w:p w:rsidR="00000000" w:rsidDel="00000000" w:rsidP="00000000" w:rsidRDefault="00000000" w:rsidRPr="00000000" w14:paraId="0000001E">
      <w:pPr>
        <w:ind w:left="0" w:firstLine="0"/>
        <w:jc w:val="both"/>
        <w:rPr>
          <w:sz w:val="24"/>
          <w:szCs w:val="24"/>
        </w:rPr>
      </w:pPr>
      <w:r w:rsidDel="00000000" w:rsidR="00000000" w:rsidRPr="00000000">
        <w:rPr>
          <w:sz w:val="24"/>
          <w:szCs w:val="24"/>
          <w:rtl w:val="0"/>
        </w:rPr>
        <w:tab/>
        <w:t xml:space="preserve">УИХ-ын даргын 2024 оны 9 дүгээр сарын 5-ны өдрийн 100 дугаар захирамжаар Асрах үйлчилгээний эрх зүй орчныг бүрдүүлэх чиглэлээр судлаж, санал дүгнэлт гаргах, шаардлагатай бол холбогдох хуулийн төсөл боловсруулах үүрэг бүхий ажлын хэсгийг байгуулж ажилласан.</w:t>
      </w:r>
    </w:p>
    <w:p w:rsidR="00000000" w:rsidDel="00000000" w:rsidP="00000000" w:rsidRDefault="00000000" w:rsidRPr="00000000" w14:paraId="0000001F">
      <w:pPr>
        <w:ind w:left="0" w:firstLine="0"/>
        <w:jc w:val="both"/>
        <w:rPr>
          <w:sz w:val="24"/>
          <w:szCs w:val="24"/>
        </w:rPr>
      </w:pPr>
      <w:r w:rsidDel="00000000" w:rsidR="00000000" w:rsidRPr="00000000">
        <w:rPr>
          <w:rtl w:val="0"/>
        </w:rPr>
      </w:r>
    </w:p>
    <w:p w:rsidR="00000000" w:rsidDel="00000000" w:rsidP="00000000" w:rsidRDefault="00000000" w:rsidRPr="00000000" w14:paraId="00000020">
      <w:pPr>
        <w:ind w:firstLine="720"/>
        <w:jc w:val="both"/>
        <w:rPr>
          <w:sz w:val="24"/>
          <w:szCs w:val="24"/>
        </w:rPr>
      </w:pPr>
      <w:r w:rsidDel="00000000" w:rsidR="00000000" w:rsidRPr="00000000">
        <w:rPr>
          <w:sz w:val="24"/>
          <w:szCs w:val="24"/>
          <w:rtl w:val="0"/>
        </w:rPr>
        <w:t xml:space="preserve">Монгол Улсын Засгийн газрын 2024-2028 оны үйл ажиллагааны хөтөлбөрийн Хоёр. Хүний хөгжлийн бодлого, 2.1.1.18-д Ахмад настанд Гэр бүлийн хөгжлийн цогц төвөөр дамжуулан тэдний эрэлт, хэрэгцээнд нийцсэн хөгжлийн болон нийгмийн үйлчилгээ үзүүлж, идэвхтэй насжилтыг дэмжнэ, 2.1.1.21-д Ахмад настны асаргааны хувилбарт үйлчилгээг хөгжүүлж, хувийн хэвшил, төрийн бус байгууллагын оролцоог дэмжинэ, 2.1.3.9-д Төрөөс үзүүлж байгаа нийгмийн халамж, тусламж, үйлчилгээг зөвхөн зорилтот бүлэгт чиглүүлнэ гэж тус тус заасан байна. Засгийн газрын хөтөлбөрт төрөөс үзүүлэх нийгмийн халамж, тусламж, үйлчилгээг зөвхөн зорилтот бүлэгт чиглүүлэх бодлого баримтлах талаар тусгасан байна, энэ үүссэн асуудлыг бүрэн шийдвэрлэх арга хэмжээ биш юм, иймд асрах үйлчилгээг хөгжүүлэхэд хувийн хэвшил болон төрийн бус байгууллагын оролцоог дэмжих чухал байна.</w:t>
      </w:r>
    </w:p>
    <w:p w:rsidR="00000000" w:rsidDel="00000000" w:rsidP="00000000" w:rsidRDefault="00000000" w:rsidRPr="00000000" w14:paraId="00000021">
      <w:pPr>
        <w:ind w:firstLine="720"/>
        <w:jc w:val="both"/>
        <w:rPr>
          <w:sz w:val="24"/>
          <w:szCs w:val="24"/>
        </w:rPr>
      </w:pPr>
      <w:r w:rsidDel="00000000" w:rsidR="00000000" w:rsidRPr="00000000">
        <w:rPr>
          <w:rtl w:val="0"/>
        </w:rPr>
      </w:r>
    </w:p>
    <w:p w:rsidR="00000000" w:rsidDel="00000000" w:rsidP="00000000" w:rsidRDefault="00000000" w:rsidRPr="00000000" w14:paraId="00000022">
      <w:pPr>
        <w:ind w:firstLine="720"/>
        <w:jc w:val="both"/>
        <w:rPr>
          <w:sz w:val="24"/>
          <w:szCs w:val="24"/>
        </w:rPr>
      </w:pPr>
      <w:r w:rsidDel="00000000" w:rsidR="00000000" w:rsidRPr="00000000">
        <w:rPr>
          <w:sz w:val="24"/>
          <w:szCs w:val="24"/>
          <w:rtl w:val="0"/>
        </w:rPr>
        <w:t xml:space="preserve">Монгол Улс 2012 онд Нийгмийн халамжийн тухай хуулийг батлан гаргасан байх бөгөөд уг хуулиар нийгмийн халамжийн тэтгэвэр, тэтгэмж, үйлчилгээний төрөл, хамрах хүрээ, халамжийн сангийн хөрөнгийг зарцуулах, үйлчилгээ үзүүлэх, нийгмийн халамжийн байгууллагын тогтолцоо, чиг үүргийг тодорхойлсон байдаг. Уг хуулиар “нийгмийн халамж” гэдгийг эрүүл мэндийн доройтолтой, гэр бүлийн халамж, асрамж дутагдалтай, бие даан, эсхүл бусдын тусламжгүйгээр хэвийн амьдрах боломжгүй, өвөрмөц хэрэгцээ бүхий иргэн, нийгмийн халамжийн дэмжлэг, туслалцаа зайлшгүй шаардлагатай өрхийн гишүүн-иргэнд наад захын хэрэгцээг нь хангах зорилгоор улсаас тэтгэвэр, тэтгэмж олгох, тусгайлсан үйлчилгээ үзүүлэх ажиллагааг ойлгохоор заасан байна. Хуулиар нийгмийн халамжийн үйл ажиллагааны төрлийг халамжийн тэтгэвэр, тэтгэмж, халамжийн үйлчилгээ, нийгмийн хөгжлийн үйлчилгээ байхаар заасан. Хуулийн 17 дугаар зүйлд халамжийн үйлчилгээ нь олон нийтийн оролцоонд түшиглэсэн халамжийн үйлчилгээ, төрөлжсөн асрамжийн үйлчилгээ гэсэн хоёр төрөлтэй байхаар заасан байна. Хуулийн 19 дүгээр зүйлд төрөлжсөн асрамжийн үйлчилгээг ахмад настны асрамжийн үйлчилгээ, хөгжлийн бэрхшээлтэй иргэний асрамжийн үйлчилгээ, эрсдэлт нөхцөлд байгаа 18 хүртэлх насны хүүхдийн асрамжийн үйлчилгээ, гурав ба түүнээс дээш ихэр хүүхдийн асрамжийн үйлчилгээ гэж ангилсан байдаг бөгөөд асрах, асрамжийн үйлчилгээний төрөл, хэлбэрийг хуульд тодорхойлсон нь сайн талтай боловч уг үйлчилгээ бүрэн хүртээмжтэй биш байна. Нийгмийн халамжийн асрамжийн үйлчилгээг хүртээмжтэй болгох шаардлагатай байна. Нийгэмд халамж, асрамжийн үйлчилгээ дутагдалтай, түүний улмаас ахмад настан, хэрэгцээ шаардлагатай хүмүүст ихээхэн бэрхшээл, хүндрэл үүсч, нийгмийн бухимдал өндөр байгаа тодорхой байна.</w:t>
      </w:r>
    </w:p>
    <w:p w:rsidR="00000000" w:rsidDel="00000000" w:rsidP="00000000" w:rsidRDefault="00000000" w:rsidRPr="00000000" w14:paraId="00000023">
      <w:pPr>
        <w:ind w:firstLine="720"/>
        <w:jc w:val="both"/>
        <w:rPr>
          <w:sz w:val="24"/>
          <w:szCs w:val="24"/>
        </w:rPr>
      </w:pPr>
      <w:r w:rsidDel="00000000" w:rsidR="00000000" w:rsidRPr="00000000">
        <w:rPr>
          <w:rtl w:val="0"/>
        </w:rPr>
      </w:r>
    </w:p>
    <w:p w:rsidR="00000000" w:rsidDel="00000000" w:rsidP="00000000" w:rsidRDefault="00000000" w:rsidRPr="00000000" w14:paraId="00000024">
      <w:pPr>
        <w:ind w:firstLine="720"/>
        <w:jc w:val="both"/>
        <w:rPr>
          <w:sz w:val="24"/>
          <w:szCs w:val="24"/>
        </w:rPr>
      </w:pPr>
      <w:r w:rsidDel="00000000" w:rsidR="00000000" w:rsidRPr="00000000">
        <w:rPr>
          <w:sz w:val="24"/>
          <w:szCs w:val="24"/>
          <w:rtl w:val="0"/>
        </w:rPr>
        <w:t xml:space="preserve">Асрах үйлчилгээ нь улс орны нийгэм, эдийн засгийн хөгжилд чухал үүрэг гүйцэтгэж байдаг бөгөөд  асрахуйн эдийн засгийн асуудлыг тусад нь авч үздэг байна. </w:t>
      </w:r>
    </w:p>
    <w:p w:rsidR="00000000" w:rsidDel="00000000" w:rsidP="00000000" w:rsidRDefault="00000000" w:rsidRPr="00000000" w14:paraId="00000025">
      <w:pPr>
        <w:ind w:firstLine="720"/>
        <w:jc w:val="both"/>
        <w:rPr>
          <w:sz w:val="24"/>
          <w:szCs w:val="24"/>
        </w:rPr>
      </w:pPr>
      <w:r w:rsidDel="00000000" w:rsidR="00000000" w:rsidRPr="00000000">
        <w:rPr>
          <w:rtl w:val="0"/>
        </w:rPr>
      </w:r>
    </w:p>
    <w:p w:rsidR="00000000" w:rsidDel="00000000" w:rsidP="00000000" w:rsidRDefault="00000000" w:rsidRPr="00000000" w14:paraId="00000026">
      <w:pPr>
        <w:ind w:firstLine="720"/>
        <w:jc w:val="both"/>
        <w:rPr>
          <w:sz w:val="24"/>
          <w:szCs w:val="24"/>
        </w:rPr>
      </w:pPr>
      <w:r w:rsidDel="00000000" w:rsidR="00000000" w:rsidRPr="00000000">
        <w:rPr>
          <w:sz w:val="24"/>
          <w:szCs w:val="24"/>
          <w:rtl w:val="0"/>
        </w:rPr>
        <w:t xml:space="preserve">Бие махбодын, нийгмийн, сэтгэл зүйн төрөл бүрийн асаргаа, дэмжлэг, туслалцаа үзүүлэх цалин хөлстэй болон хөлсгүй хөдөлмөр, үйлчилгээний бүх хэлбэрийг хамарсан нийгэм, эдийн засгийн харилцааг асрахуйн эдийн засаг гэдэг. Үүнд хүүхэд, өндөр настан, хөгжлийн бэрхшээлтэй иргэдэд үзүүлэх шууд болон шууд бус халамж, эрүүл мэнд, боловсрол, түүнчлэн хувь хүний сайн сайхан байдлыг дэмжих, сайжруулахад чиглэсэн санхүүгийн болон бусад үйлчилгээ багтана. Хэдийгээр ДНБ зэрэг үндэсний дансны системд үл үзэгдэх, бараг л тооцогддоггүй ч асрахуйн ажил нь хувь хүний чадавх, сайн сайхан байдлыг хадгалах, нийгэм, эдийн засгийн үйл ажиллагаанд зайлшгүй шаардлагатай гэдгийг улам бүр хүлээн зөвшөөрч байна.</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sz w:val="24"/>
          <w:szCs w:val="24"/>
          <w:rtl w:val="0"/>
        </w:rPr>
        <w:tab/>
        <w:t xml:space="preserve">Манай улсад бодлогын баримт бичиг, хууль тогтоомжийн хүрээнд ахмад настны асуудлыг тодорхой хүрээнд зохицуулдаг боловч бодит байдал дээр үр дүн хангалттай биш байгаа болно. Монгол Улсын Засгийн газрын 2024 оны 181 дүгээр тогтоолоор Монгол Улсын Хууль тогтоомжийг 2028 он хүртэл боловсронгуй болгох үндсэн чиглэлийг баталсан, уг баримт бичгийн 95 дахь хэсэгт Нийгмийн халамжийн тухай хуулийн шинэчилсэн найруулгыг боловсруулах талаар тусгасан байна. Хэдийгээр Нийгмийн халамжийн тухай хуулийг шинэчлэн батлах нь чухал хэдий ч нийгмийн харилцааг нь илүү нарийвчилсан, тодорхой үйлчилгээ, бие даасан харилцааг зохицуулсан, нийгмийн эрэлт хэрэгцээг хангасан хуулийн хэрэгцээ шаардлага өндөр байна.</w:t>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ind w:firstLine="720"/>
        <w:jc w:val="both"/>
        <w:rPr>
          <w:sz w:val="24"/>
          <w:szCs w:val="24"/>
          <w:highlight w:val="white"/>
        </w:rPr>
      </w:pPr>
      <w:r w:rsidDel="00000000" w:rsidR="00000000" w:rsidRPr="00000000">
        <w:rPr>
          <w:sz w:val="24"/>
          <w:szCs w:val="24"/>
          <w:rtl w:val="0"/>
        </w:rPr>
        <w:t xml:space="preserve">Монгол Улсын Хүний эрхийн Үндэсний комисс ахмад настны асуудлаар судалгаа хийж олон нийтэд дүнгээ танилцуулсан байдаг. Уг судалгааны үр дүнгээс харвал ахмад настны эрхийн асуудал сэтгэл зовоосон асуудал хэвээр байгааг харуулж байна.</w:t>
      </w:r>
      <w:r w:rsidDel="00000000" w:rsidR="00000000" w:rsidRPr="00000000">
        <w:rPr>
          <w:rtl w:val="0"/>
        </w:rPr>
      </w:r>
    </w:p>
    <w:p w:rsidR="00000000" w:rsidDel="00000000" w:rsidP="00000000" w:rsidRDefault="00000000" w:rsidRPr="00000000" w14:paraId="0000002B">
      <w:pPr>
        <w:ind w:firstLine="720"/>
        <w:jc w:val="both"/>
        <w:rPr>
          <w:sz w:val="24"/>
          <w:szCs w:val="24"/>
          <w:highlight w:val="white"/>
        </w:rPr>
      </w:pPr>
      <w:r w:rsidDel="00000000" w:rsidR="00000000" w:rsidRPr="00000000">
        <w:rPr>
          <w:rtl w:val="0"/>
        </w:rPr>
      </w:r>
    </w:p>
    <w:p w:rsidR="00000000" w:rsidDel="00000000" w:rsidP="00000000" w:rsidRDefault="00000000" w:rsidRPr="00000000" w14:paraId="0000002C">
      <w:pPr>
        <w:ind w:firstLine="720"/>
        <w:jc w:val="both"/>
        <w:rPr>
          <w:sz w:val="24"/>
          <w:szCs w:val="24"/>
        </w:rPr>
      </w:pPr>
      <w:r w:rsidDel="00000000" w:rsidR="00000000" w:rsidRPr="00000000">
        <w:rPr>
          <w:sz w:val="24"/>
          <w:szCs w:val="24"/>
          <w:highlight w:val="white"/>
          <w:rtl w:val="0"/>
        </w:rPr>
        <w:t xml:space="preserve">Монгол Улсад 388300 ахмад настан байна. Тодруулбал, 10.1 хувийг эзэлж байна. 2050 он гэхэд таван хүн тутмын нэг нь ахмад настан болно гэсэн тооцоолол бий. Үргэлжлүүлэн ахмадуудын хөдөлмөр эрхлэлтийн үзүүлэлтийг харвал 20.7 хувь нь ажил, хөдөлмөр эрхэлж байна. Ахмадын холбооны судалгаагаар, нийт ахмадуудын 16.7 хувь буюу 28.2 мянган ахмад настан амьжиргааны баталгаажих түвшнөөс доогуур орлоготой өрхөд, 3963 ахмад настан ганц бие, харж хандах үр хүүхэдгүй, 7815 ахмад хөгжлийн бэрхшээлтэй хэвтрийн184 мянган ахмад настан бусдын байнгын асрамжид байна. Монгол Улс ахмад настны хуультай цөөн орны нэг. ХЭҮК-оос 2023 онд судалгаа хийж, Засгийн газарт илтгэл хүргүүлсэн. Нэгдүгээрт Нийгмийн даатгалын багц хуулийг сайжруулсан ч ахмад настуудын тэтгэврийн зөрүүний асуудал хэвээр байна. Ахмад настанд нийгмийн амьдралд оролцох эрх нь тулгамдсан асуудал болоод байна. Ахмадад ээлтэй орчин Монголд бүрдээгүй байгааг ХЭҮК-ын судалгаанд оролцсон 70 хувь нь хэлсэн байдаг. Мөн ахмадууд чөлөөт цагаа өнгөрүүлэх газар хомс байна. Нийгмээс тусгаарлагдах, ганцаардах асуудал түгээмэл байгаа. Хөдөлмөр эрхлэлтийн байдлыг төрөөс дэмжиж байгаа ч бодит байдал дээр ахиц дэвшил харагдахгүй байна. ХЭҮК-ын судалгаанд оролцогсдын таван ахмад тутмын нэг нь ялгаварлан гадуурхалтад өртөж байгаа нь батлагдсан. Гэр бүлийн хүчирхийллийн улмаас зөрчлийн гэмт хэрэгт хохирсон ахмад настны тоо 2022 онд 968 буюу 34.8 хувиар нэмэгдсэн байна. Үүнд 64 хувь сэтгэл санааны хүчирхийлэл, 36 хувь нь эдийн засгийн хүчирхийлэл, 0.1 хувь нь бэлгийн хүчирхийлэл, бие махбодын хүчирхийлэл 47 хувь, үл хайхрах хүчирхийлэл 21 хувь байна. Ахмадууд эрүүл мэндийн үнэтэй чанартай үйлчилгээг төдийлөн авч чадахгүй байна.</w:t>
      </w:r>
      <w:r w:rsidDel="00000000" w:rsidR="00000000" w:rsidRPr="00000000">
        <w:rPr>
          <w:sz w:val="24"/>
          <w:szCs w:val="24"/>
          <w:highlight w:val="white"/>
          <w:vertAlign w:val="superscript"/>
        </w:rPr>
        <w:footnoteReference w:customMarkFollows="0" w:id="2"/>
      </w: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2D">
      <w:pPr>
        <w:ind w:firstLine="720"/>
        <w:jc w:val="both"/>
        <w:rPr>
          <w:sz w:val="24"/>
          <w:szCs w:val="24"/>
        </w:rPr>
      </w:pPr>
      <w:r w:rsidDel="00000000" w:rsidR="00000000" w:rsidRPr="00000000">
        <w:rPr>
          <w:rtl w:val="0"/>
        </w:rPr>
      </w:r>
    </w:p>
    <w:p w:rsidR="00000000" w:rsidDel="00000000" w:rsidP="00000000" w:rsidRDefault="00000000" w:rsidRPr="00000000" w14:paraId="0000002E">
      <w:pPr>
        <w:ind w:firstLine="720"/>
        <w:jc w:val="both"/>
        <w:rPr>
          <w:sz w:val="24"/>
          <w:szCs w:val="24"/>
        </w:rPr>
      </w:pPr>
      <w:r w:rsidDel="00000000" w:rsidR="00000000" w:rsidRPr="00000000">
        <w:rPr>
          <w:sz w:val="24"/>
          <w:szCs w:val="24"/>
          <w:rtl w:val="0"/>
        </w:rPr>
        <w:t xml:space="preserve">Хүн амын дундаж наслалт нэмэгдэж байгаа ч ахмад настанд үзүүлэх тусламж үйлчилгээ хангалттай биш, ахмад настанд чиглэсэн төрийн бодлого, шийдвэрийн хэрэгжилт бодит байдал дээр үр дүн тааруу байгаа юм.</w:t>
      </w:r>
    </w:p>
    <w:p w:rsidR="00000000" w:rsidDel="00000000" w:rsidP="00000000" w:rsidRDefault="00000000" w:rsidRPr="00000000" w14:paraId="0000002F">
      <w:pPr>
        <w:shd w:fill="ffffff" w:val="clear"/>
        <w:spacing w:line="240" w:lineRule="auto"/>
        <w:ind w:left="0" w:firstLine="0"/>
        <w:jc w:val="both"/>
        <w:rPr>
          <w:b w:val="1"/>
          <w:bCs w:val="1"/>
          <w:sz w:val="24"/>
          <w:szCs w:val="24"/>
        </w:rPr>
      </w:pPr>
      <w:r w:rsidDel="00000000" w:rsidR="00000000" w:rsidRPr="00000000">
        <w:rPr>
          <w:rtl w:val="0"/>
        </w:rPr>
      </w:r>
    </w:p>
    <w:p w:rsidR="00000000" w:rsidDel="00000000" w:rsidP="00000000" w:rsidRDefault="00000000" w:rsidRPr="00000000" w14:paraId="00000030">
      <w:pPr>
        <w:shd w:fill="ffffff" w:val="clear"/>
        <w:spacing w:line="276" w:lineRule="auto"/>
        <w:ind w:firstLine="720"/>
        <w:jc w:val="both"/>
        <w:rPr>
          <w:sz w:val="24"/>
          <w:szCs w:val="24"/>
        </w:rPr>
      </w:pPr>
      <w:r w:rsidDel="00000000" w:rsidR="00000000" w:rsidRPr="00000000">
        <w:rPr>
          <w:sz w:val="24"/>
          <w:szCs w:val="24"/>
          <w:rtl w:val="0"/>
        </w:rPr>
        <w:t xml:space="preserve">Асрамж, асрах үйлчилгээ шаардлагатай байгаа нийгмийн бүлэг бол асрах үйлчилгээ шаардлагатай байгаа иргэд болон ахмад настан, хүүхэд, хөгжлийн бэрхшээлтэй иргэд, айл өрх юм. Хөдөлмөрийн чадвартай байх хугацаанд хөдөлмөр эрхлэж иргэд нийгэмд зохих хувь нэмрээ оруулдаг, өндөр настай болж тэтгэвэрт гарч, тэтгэвэр авдаг боловч хүрэлцээтэй биш байна, мөн ахмад настан, хөгжлийн бэрхшээлтэй иргэдэд нийгмийн тохиромжтой дэд бүтэц, орчин шаардлагатай, гэтэл ийм байдал хүрэлцээтэй биш, амьдралын хүнд хэцүү нөхцөлтэй ахмад настан, хөгжлийн бэрхшээлтэй хүмүүс хамгийн ихээр эрх ашиг нь хөндөгдөж байна.</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ind w:firstLine="720"/>
        <w:jc w:val="both"/>
        <w:rPr>
          <w:sz w:val="24"/>
          <w:szCs w:val="24"/>
        </w:rPr>
      </w:pPr>
      <w:r w:rsidDel="00000000" w:rsidR="00000000" w:rsidRPr="00000000">
        <w:rPr>
          <w:sz w:val="24"/>
          <w:szCs w:val="24"/>
          <w:rtl w:val="0"/>
        </w:rPr>
        <w:t xml:space="preserve">Асрамжийн үйлчилгээнд ахмад настанд асрамжийн үйлчилгээ туйлын чухал бөгөөд манай улсад энэ чиглэлийн бүрэн, цогц, үр дүнтэй асрамжийн үйлчилгээний тогтолцоо, дэд бүтэц байхгүйгээс ахмад настан, хөгжлийн бэрхшээлтэй иргэдийн эрх зөрчигдөх шалтгааны суурь нөхцөл болж байна.</w:t>
      </w:r>
    </w:p>
    <w:p w:rsidR="00000000" w:rsidDel="00000000" w:rsidP="00000000" w:rsidRDefault="00000000" w:rsidRPr="00000000" w14:paraId="00000033">
      <w:pPr>
        <w:ind w:firstLine="720"/>
        <w:jc w:val="both"/>
        <w:rPr>
          <w:sz w:val="24"/>
          <w:szCs w:val="24"/>
        </w:rPr>
      </w:pPr>
      <w:r w:rsidDel="00000000" w:rsidR="00000000" w:rsidRPr="00000000">
        <w:rPr>
          <w:rtl w:val="0"/>
        </w:rPr>
      </w:r>
    </w:p>
    <w:p w:rsidR="00000000" w:rsidDel="00000000" w:rsidP="00000000" w:rsidRDefault="00000000" w:rsidRPr="00000000" w14:paraId="00000034">
      <w:pPr>
        <w:ind w:firstLine="720"/>
        <w:jc w:val="both"/>
        <w:rPr>
          <w:sz w:val="24"/>
          <w:szCs w:val="24"/>
        </w:rPr>
      </w:pPr>
      <w:r w:rsidDel="00000000" w:rsidR="00000000" w:rsidRPr="00000000">
        <w:rPr>
          <w:sz w:val="24"/>
          <w:szCs w:val="24"/>
          <w:rtl w:val="0"/>
        </w:rPr>
        <w:t xml:space="preserve">Хэдийгээр ахмад настан нь тэтгэвэр авч байгаа боловч энэ нь хүрэлцэхгүй, хангалттай байгаа нь ядууралд өртөх шалтгаан болж байна, мөн зөвхөн тэтгэвэр, тэтгэмж аваад шийдэх асуудал биш, энэ нь хэрэгцээ шаардлагыг хангасан нийгмийн дэд бүтэц, орчинг бүрдүүлэх асуудлыг хэрхэн шийдэхээс шууд хамаарч байгаа юм.</w:t>
      </w:r>
    </w:p>
    <w:p w:rsidR="00000000" w:rsidDel="00000000" w:rsidP="00000000" w:rsidRDefault="00000000" w:rsidRPr="00000000" w14:paraId="00000035">
      <w:pPr>
        <w:ind w:firstLine="720"/>
        <w:jc w:val="both"/>
        <w:rPr>
          <w:sz w:val="24"/>
          <w:szCs w:val="24"/>
        </w:rPr>
      </w:pPr>
      <w:r w:rsidDel="00000000" w:rsidR="00000000" w:rsidRPr="00000000">
        <w:rPr>
          <w:rtl w:val="0"/>
        </w:rPr>
      </w:r>
    </w:p>
    <w:p w:rsidR="00000000" w:rsidDel="00000000" w:rsidP="00000000" w:rsidRDefault="00000000" w:rsidRPr="00000000" w14:paraId="00000036">
      <w:pPr>
        <w:ind w:firstLine="720"/>
        <w:jc w:val="both"/>
        <w:rPr>
          <w:sz w:val="24"/>
          <w:szCs w:val="24"/>
        </w:rPr>
      </w:pPr>
      <w:r w:rsidDel="00000000" w:rsidR="00000000" w:rsidRPr="00000000">
        <w:rPr>
          <w:sz w:val="24"/>
          <w:szCs w:val="24"/>
          <w:rtl w:val="0"/>
        </w:rPr>
        <w:t xml:space="preserve">Нийгмийн баталгаа, халамжийг зөвхөн тэтгэвэр, тэтгэмжээр харах боломжгүй, олон хүчин зүйлээс хамаарах асуудал гэдэг нь тодорхой байна. Манай улсад олгож байгаа тэтгэвэр, тэтгэмж бага, ахмад настан, хөгжлийн бэрхшээлтэй иргэдэд зориулсан нийгмийн дэд бүтэц, орчин хангалтгүй байгаа нь шийдэх ёстой асуудлыг үүсгэж байгаа шалтгаан нөхцөл болж байна.</w:t>
      </w:r>
    </w:p>
    <w:p w:rsidR="00000000" w:rsidDel="00000000" w:rsidP="00000000" w:rsidRDefault="00000000" w:rsidRPr="00000000" w14:paraId="00000037">
      <w:pPr>
        <w:ind w:firstLine="720"/>
        <w:jc w:val="both"/>
        <w:rPr>
          <w:sz w:val="24"/>
          <w:szCs w:val="24"/>
        </w:rPr>
      </w:pPr>
      <w:r w:rsidDel="00000000" w:rsidR="00000000" w:rsidRPr="00000000">
        <w:rPr>
          <w:rtl w:val="0"/>
        </w:rPr>
      </w:r>
    </w:p>
    <w:p w:rsidR="00000000" w:rsidDel="00000000" w:rsidP="00000000" w:rsidRDefault="00000000" w:rsidRPr="00000000" w14:paraId="00000038">
      <w:pPr>
        <w:ind w:firstLine="720"/>
        <w:jc w:val="both"/>
        <w:rPr>
          <w:sz w:val="24"/>
          <w:szCs w:val="24"/>
        </w:rPr>
      </w:pPr>
      <w:r w:rsidDel="00000000" w:rsidR="00000000" w:rsidRPr="00000000">
        <w:rPr>
          <w:sz w:val="24"/>
          <w:szCs w:val="24"/>
          <w:rtl w:val="0"/>
        </w:rPr>
        <w:t xml:space="preserve">Ахмад настны эрхийг хамгаалах төрийн бодлого, зорилтыг хангах, Ахмад настны хууль тогтоомжийн хэрэгжилтийг хангахад ахмад настны асрамжийн үйчилгээний тогтолцоог сайжруулах, олон улсын шилдэг туршлагыг хэрэгжүүлэх асуудал чухал байна.</w:t>
      </w:r>
    </w:p>
    <w:p w:rsidR="00000000" w:rsidDel="00000000" w:rsidP="00000000" w:rsidRDefault="00000000" w:rsidRPr="00000000" w14:paraId="00000039">
      <w:pPr>
        <w:ind w:firstLine="720"/>
        <w:jc w:val="both"/>
        <w:rPr>
          <w:sz w:val="24"/>
          <w:szCs w:val="24"/>
        </w:rPr>
      </w:pPr>
      <w:r w:rsidDel="00000000" w:rsidR="00000000" w:rsidRPr="00000000">
        <w:rPr>
          <w:rtl w:val="0"/>
        </w:rPr>
      </w:r>
    </w:p>
    <w:p w:rsidR="00000000" w:rsidDel="00000000" w:rsidP="00000000" w:rsidRDefault="00000000" w:rsidRPr="00000000" w14:paraId="0000003A">
      <w:pPr>
        <w:ind w:firstLine="720"/>
        <w:jc w:val="both"/>
        <w:rPr>
          <w:sz w:val="24"/>
          <w:szCs w:val="24"/>
        </w:rPr>
      </w:pPr>
      <w:r w:rsidDel="00000000" w:rsidR="00000000" w:rsidRPr="00000000">
        <w:rPr>
          <w:sz w:val="24"/>
          <w:szCs w:val="24"/>
          <w:rtl w:val="0"/>
        </w:rPr>
        <w:t xml:space="preserve">Ахмад настан, хөгжлийн бэрхшээлтэй иргэдийн болон асрах, халамжийн үйлчилгээ дутагдалтай байгаа нийгмийн тодорхой бүлгийн тулгамдсан асуудлыг шийдвэрлэж чадсанаар нийгмийн баталгаа сайжирч, хүмүүнлэг, иргэний нийгэм байгуулах Үндсэн хуулийн эрхэм зорилго хангагдах боломж бүрднэ. Шийдвэрлэх зорилт нь тодорхой, хэмжиж боломжтой, хүрэхүйц, бодитой байх нь чухал юм.</w:t>
      </w:r>
    </w:p>
    <w:p w:rsidR="00000000" w:rsidDel="00000000" w:rsidP="00000000" w:rsidRDefault="00000000" w:rsidRPr="00000000" w14:paraId="0000003B">
      <w:pPr>
        <w:ind w:firstLine="720"/>
        <w:jc w:val="both"/>
        <w:rPr>
          <w:sz w:val="24"/>
          <w:szCs w:val="24"/>
        </w:rPr>
      </w:pPr>
      <w:r w:rsidDel="00000000" w:rsidR="00000000" w:rsidRPr="00000000">
        <w:rPr>
          <w:rtl w:val="0"/>
        </w:rPr>
      </w:r>
    </w:p>
    <w:p w:rsidR="00000000" w:rsidDel="00000000" w:rsidP="00000000" w:rsidRDefault="00000000" w:rsidRPr="00000000" w14:paraId="0000003C">
      <w:pPr>
        <w:ind w:firstLine="720"/>
        <w:jc w:val="both"/>
        <w:rPr>
          <w:sz w:val="24"/>
          <w:szCs w:val="24"/>
        </w:rPr>
      </w:pPr>
      <w:r w:rsidDel="00000000" w:rsidR="00000000" w:rsidRPr="00000000">
        <w:rPr>
          <w:sz w:val="24"/>
          <w:szCs w:val="24"/>
          <w:rtl w:val="0"/>
        </w:rPr>
        <w:t xml:space="preserve">Иймд асрах үйлчилгээ шаардлагатай байгаа иргэд болон ахмад настан, хөгжлийн бэрхшээлтэй иргэдэд халамжийн үйлчилгээг хүртээмжтэй  болгох, асрах үйлчилгээг дэмжих эдийн засаг, нийгэм, хууль эрх зүйн зохицуулалт, баталгааг бий болгох нь гол зорилго юм.</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ind w:firstLine="720"/>
        <w:jc w:val="both"/>
        <w:rPr>
          <w:sz w:val="24"/>
          <w:szCs w:val="24"/>
        </w:rPr>
      </w:pPr>
      <w:r w:rsidDel="00000000" w:rsidR="00000000" w:rsidRPr="00000000">
        <w:rPr>
          <w:sz w:val="24"/>
          <w:szCs w:val="24"/>
          <w:rtl w:val="0"/>
        </w:rPr>
        <w:t xml:space="preserve">Асрамжийн харилцааг тусгайлан зохицуулсан хуультай болох тохиолдолд асрамжийн үйлчилгээний нэр төрөл, арга хэлбэр, стандарт, үйлчилгээнд тавигдах шаардлага, хяналт, асрамжийн үйлчилгээг төрөөс дэмжих эдийн засаг, нийгэм, эрх зүйн баталгааг бүрдүүлж өгснөөр асрамжийн үйлчилгээний хүртээмжийг нэмэгдүүлэх боломжтой болно.</w:t>
      </w:r>
    </w:p>
    <w:p w:rsidR="00000000" w:rsidDel="00000000" w:rsidP="00000000" w:rsidRDefault="00000000" w:rsidRPr="00000000" w14:paraId="0000003F">
      <w:pPr>
        <w:ind w:left="0" w:firstLine="0"/>
        <w:jc w:val="both"/>
        <w:rPr>
          <w:b w:val="1"/>
          <w:bCs w:val="1"/>
          <w:sz w:val="24"/>
          <w:szCs w:val="24"/>
        </w:rPr>
      </w:pPr>
      <w:r w:rsidDel="00000000" w:rsidR="00000000" w:rsidRPr="00000000">
        <w:rPr>
          <w:rtl w:val="0"/>
        </w:rPr>
      </w:r>
    </w:p>
    <w:p w:rsidR="00000000" w:rsidDel="00000000" w:rsidP="00000000" w:rsidRDefault="00000000" w:rsidRPr="00000000" w14:paraId="00000040">
      <w:pPr>
        <w:ind w:firstLine="720"/>
        <w:jc w:val="both"/>
        <w:rPr>
          <w:b w:val="1"/>
          <w:bCs w:val="1"/>
        </w:rPr>
      </w:pPr>
      <w:r w:rsidDel="00000000" w:rsidR="00000000" w:rsidRPr="00000000">
        <w:rPr>
          <w:sz w:val="24"/>
          <w:szCs w:val="24"/>
          <w:rtl w:val="0"/>
        </w:rPr>
        <w:t xml:space="preserve">Асрамжийн үйлчилгээний харилцааг бие даасан хуулиар зохицуулах болсноор нийгмийн халамжийн үйлчилгээ нэмэгдэж, уг салбарт хувийн хэвшлийн оролцоо идэвхтэй болж, төрийн хариуцсан нийгмийн зардлын ачаалал буурч, нийгмийн халамжийн үйлчилгээний нэр төрөл, чанар сайжирч, үр өгөөж нэмэгдэнэ.</w:t>
      </w: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rtl w:val="0"/>
        </w:rPr>
      </w:r>
    </w:p>
    <w:p w:rsidR="00000000" w:rsidDel="00000000" w:rsidP="00000000" w:rsidRDefault="00000000" w:rsidRPr="00000000" w14:paraId="00000042">
      <w:pPr>
        <w:spacing w:line="240" w:lineRule="auto"/>
        <w:rPr/>
      </w:pPr>
      <w:r w:rsidDel="00000000" w:rsidR="00000000" w:rsidRPr="00000000">
        <w:rPr>
          <w:rtl w:val="0"/>
        </w:rPr>
      </w:r>
    </w:p>
    <w:p w:rsidR="00000000" w:rsidDel="00000000" w:rsidP="00000000" w:rsidRDefault="00000000" w:rsidRPr="00000000" w14:paraId="00000043">
      <w:pPr>
        <w:ind w:firstLine="720"/>
        <w:jc w:val="both"/>
        <w:rPr>
          <w:b w:val="1"/>
          <w:bCs w:val="1"/>
          <w:sz w:val="24"/>
          <w:szCs w:val="24"/>
        </w:rPr>
      </w:pPr>
      <w:r w:rsidDel="00000000" w:rsidR="00000000" w:rsidRPr="00000000">
        <w:rPr>
          <w:b w:val="1"/>
          <w:bCs w:val="1"/>
          <w:sz w:val="24"/>
          <w:szCs w:val="24"/>
          <w:rtl w:val="0"/>
        </w:rPr>
        <w:t xml:space="preserve">Хоёр.Хуулийн төслийн зорилго, ерөнхий бүтэц, зохицуулах харилцаа, хамрах хүрээ</w:t>
      </w:r>
    </w:p>
    <w:p w:rsidR="00000000" w:rsidDel="00000000" w:rsidP="00000000" w:rsidRDefault="00000000" w:rsidRPr="00000000" w14:paraId="00000044">
      <w:pPr>
        <w:rPr>
          <w:b w:val="1"/>
          <w:bCs w:val="1"/>
          <w:sz w:val="24"/>
          <w:szCs w:val="24"/>
        </w:rPr>
      </w:pPr>
      <w:r w:rsidDel="00000000" w:rsidR="00000000" w:rsidRPr="00000000">
        <w:rPr>
          <w:rtl w:val="0"/>
        </w:rPr>
      </w:r>
    </w:p>
    <w:p w:rsidR="00000000" w:rsidDel="00000000" w:rsidP="00000000" w:rsidRDefault="00000000" w:rsidRPr="00000000" w14:paraId="00000045">
      <w:pPr>
        <w:jc w:val="both"/>
        <w:rPr>
          <w:sz w:val="24"/>
          <w:szCs w:val="24"/>
        </w:rPr>
      </w:pPr>
      <w:r w:rsidDel="00000000" w:rsidR="00000000" w:rsidRPr="00000000">
        <w:rPr>
          <w:b w:val="1"/>
          <w:bCs w:val="1"/>
          <w:sz w:val="24"/>
          <w:szCs w:val="24"/>
          <w:rtl w:val="0"/>
        </w:rPr>
        <w:tab/>
      </w:r>
      <w:r w:rsidDel="00000000" w:rsidR="00000000" w:rsidRPr="00000000">
        <w:rPr>
          <w:sz w:val="24"/>
          <w:szCs w:val="24"/>
          <w:rtl w:val="0"/>
        </w:rPr>
        <w:t xml:space="preserve">Хуулийн төслийн зорилго нь нийгмийн халамжийн үйлчилгээ нэг төрөл болох асрах үйлчилгээг үзүүлэхтэй холбоотой харилцааг зохицуулна. Хуулийн төсөлд асрах үйлчилгээний нэр томъёо, ойлголтыг тодорхойлох, асрах үйлчилгээнд хамрагдах иргэн, үзүүлэхэд тавигдах шаардлага, үйлчилгээний чанар, хүртээмжийн асуудлыг тодорхойлж, асрах үйлчилгээ үзүүлэх иргэн, хуулийн этгээдэд тавигдах шаардлага, төрөөс асрах үйлчилгээ үзүүлж байгаа иргэн, хуулийн этгээдэд үзүүлэх дэмжлэгтэй холбоотой харилцааг зохицуулна.</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spacing w:line="240" w:lineRule="auto"/>
        <w:ind w:firstLine="720"/>
        <w:jc w:val="both"/>
        <w:rPr>
          <w:b w:val="1"/>
          <w:bCs w:val="1"/>
          <w:sz w:val="24"/>
          <w:szCs w:val="24"/>
        </w:rPr>
      </w:pPr>
      <w:r w:rsidDel="00000000" w:rsidR="00000000" w:rsidRPr="00000000">
        <w:rPr>
          <w:b w:val="1"/>
          <w:bCs w:val="1"/>
          <w:sz w:val="24"/>
          <w:szCs w:val="24"/>
          <w:rtl w:val="0"/>
        </w:rPr>
        <w:t xml:space="preserve">Гурав.Хууль тогтоомж батлагдсаны дараа үүсэж болох эдийн засаг, нийгэм, хууль зүйн үр дагавар, тэдгээрийг шийдвэрлэх талаар авч хэрэгжүүлэх арга хэмжээний санал</w:t>
      </w:r>
    </w:p>
    <w:p w:rsidR="00000000" w:rsidDel="00000000" w:rsidP="00000000" w:rsidRDefault="00000000" w:rsidRPr="00000000" w14:paraId="00000048">
      <w:pPr>
        <w:spacing w:line="240" w:lineRule="auto"/>
        <w:ind w:firstLine="720"/>
        <w:jc w:val="both"/>
        <w:rPr>
          <w:b w:val="1"/>
          <w:bCs w:val="1"/>
          <w:sz w:val="24"/>
          <w:szCs w:val="24"/>
        </w:rPr>
      </w:pPr>
      <w:r w:rsidDel="00000000" w:rsidR="00000000" w:rsidRPr="00000000">
        <w:rPr>
          <w:rtl w:val="0"/>
        </w:rPr>
      </w:r>
    </w:p>
    <w:p w:rsidR="00000000" w:rsidDel="00000000" w:rsidP="00000000" w:rsidRDefault="00000000" w:rsidRPr="00000000" w14:paraId="00000049">
      <w:pPr>
        <w:spacing w:line="240" w:lineRule="auto"/>
        <w:ind w:firstLine="720"/>
        <w:jc w:val="both"/>
        <w:rPr>
          <w:sz w:val="24"/>
          <w:szCs w:val="24"/>
        </w:rPr>
      </w:pPr>
      <w:r w:rsidDel="00000000" w:rsidR="00000000" w:rsidRPr="00000000">
        <w:rPr>
          <w:sz w:val="24"/>
          <w:szCs w:val="24"/>
          <w:rtl w:val="0"/>
        </w:rPr>
        <w:t xml:space="preserve">Хууль тогтоомж батлагдсан гарсан тохиолдолд нийгмийн тодорхой бүлэг болох ахмад настан, хөгжлийн бэрхшээлтэй иргэдийн амьдралын чанар, асрах үйлчилгээний хүрээтэмж, чанар сайжрах, сэтгэл ханамж нэмэгдэнэ.</w:t>
      </w:r>
    </w:p>
    <w:p w:rsidR="00000000" w:rsidDel="00000000" w:rsidP="00000000" w:rsidRDefault="00000000" w:rsidRPr="00000000" w14:paraId="0000004A">
      <w:pPr>
        <w:spacing w:line="240" w:lineRule="auto"/>
        <w:jc w:val="both"/>
        <w:rPr>
          <w:sz w:val="24"/>
          <w:szCs w:val="24"/>
        </w:rPr>
      </w:pPr>
      <w:r w:rsidDel="00000000" w:rsidR="00000000" w:rsidRPr="00000000">
        <w:rPr>
          <w:rtl w:val="0"/>
        </w:rPr>
      </w:r>
    </w:p>
    <w:p w:rsidR="00000000" w:rsidDel="00000000" w:rsidP="00000000" w:rsidRDefault="00000000" w:rsidRPr="00000000" w14:paraId="0000004B">
      <w:pPr>
        <w:jc w:val="both"/>
        <w:rPr>
          <w:b w:val="1"/>
          <w:bCs w:val="1"/>
          <w:sz w:val="24"/>
          <w:szCs w:val="24"/>
        </w:rPr>
      </w:pPr>
      <w:r w:rsidDel="00000000" w:rsidR="00000000" w:rsidRPr="00000000">
        <w:rPr>
          <w:sz w:val="24"/>
          <w:szCs w:val="24"/>
          <w:rtl w:val="0"/>
        </w:rPr>
        <w:tab/>
      </w:r>
      <w:r w:rsidDel="00000000" w:rsidR="00000000" w:rsidRPr="00000000">
        <w:rPr>
          <w:b w:val="1"/>
          <w:bCs w:val="1"/>
          <w:sz w:val="24"/>
          <w:szCs w:val="24"/>
          <w:rtl w:val="0"/>
        </w:rPr>
        <w:t xml:space="preserve">Дөрөв.Хууль тогтоомжийн төсөл нь Монгол Улсын Үндсэн хууль, Монгол Улсын олон улсын гэрээ болон бусад хуультай хэрхэн уялдах, хуулийг хэрэгжүүлэхэд шинээр боловсруулах, шинэчлэн найруулах, нэмэлт, өөрчлөлт оруулах, хүчингүй болсон тооцох тухай хууль тогтоомжийн талаарх санал:</w:t>
      </w:r>
    </w:p>
    <w:p w:rsidR="00000000" w:rsidDel="00000000" w:rsidP="00000000" w:rsidRDefault="00000000" w:rsidRPr="00000000" w14:paraId="0000004C">
      <w:pPr>
        <w:jc w:val="both"/>
        <w:rPr>
          <w:b w:val="1"/>
          <w:bCs w:val="1"/>
          <w:sz w:val="24"/>
          <w:szCs w:val="24"/>
        </w:rPr>
      </w:pPr>
      <w:r w:rsidDel="00000000" w:rsidR="00000000" w:rsidRPr="00000000">
        <w:rPr>
          <w:rtl w:val="0"/>
        </w:rPr>
      </w:r>
    </w:p>
    <w:p w:rsidR="00000000" w:rsidDel="00000000" w:rsidP="00000000" w:rsidRDefault="00000000" w:rsidRPr="00000000" w14:paraId="0000004D">
      <w:pPr>
        <w:jc w:val="both"/>
        <w:rPr>
          <w:sz w:val="24"/>
          <w:szCs w:val="24"/>
        </w:rPr>
      </w:pPr>
      <w:r w:rsidDel="00000000" w:rsidR="00000000" w:rsidRPr="00000000">
        <w:rPr>
          <w:b w:val="1"/>
          <w:bCs w:val="1"/>
          <w:sz w:val="24"/>
          <w:szCs w:val="24"/>
          <w:rtl w:val="0"/>
        </w:rPr>
        <w:tab/>
      </w:r>
      <w:r w:rsidDel="00000000" w:rsidR="00000000" w:rsidRPr="00000000">
        <w:rPr>
          <w:sz w:val="24"/>
          <w:szCs w:val="24"/>
          <w:rtl w:val="0"/>
        </w:rPr>
        <w:t xml:space="preserve">Хуулийн төсөл нь Монгол Улсын Үндсэн хууль болон Олон улсын гэрээтэй нийцэж байгаа бөгөөд ахмад настан, хөгжлийн бэрхшээлтэй иргэд, асрах үйлчилгээ шаардлагатай байгаа иргэдийн нийгмийн хэрэгцээ шаардлагыг хангахад чиглэнэ. Хуулийн төсөлтэй холбоотойгоор Нийгмийн халамжийн тухай, Зөвшөөрлийн тухай хуульд нэмэлт оруулах төслийг боловсруулна.</w:t>
      </w:r>
    </w:p>
    <w:p w:rsidR="00000000" w:rsidDel="00000000" w:rsidP="00000000" w:rsidRDefault="00000000" w:rsidRPr="00000000" w14:paraId="0000004E">
      <w:pPr>
        <w:jc w:val="both"/>
        <w:rPr>
          <w:sz w:val="24"/>
          <w:szCs w:val="24"/>
        </w:rPr>
      </w:pPr>
      <w:r w:rsidDel="00000000" w:rsidR="00000000" w:rsidRPr="00000000">
        <w:rPr>
          <w:rtl w:val="0"/>
        </w:rPr>
      </w:r>
    </w:p>
    <w:p w:rsidR="00000000" w:rsidDel="00000000" w:rsidP="00000000" w:rsidRDefault="00000000" w:rsidRPr="00000000" w14:paraId="0000004F">
      <w:pPr>
        <w:jc w:val="both"/>
        <w:rPr>
          <w:b w:val="1"/>
          <w:bCs w:val="1"/>
          <w:sz w:val="24"/>
          <w:szCs w:val="24"/>
        </w:rPr>
      </w:pP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050">
      <w:pPr>
        <w:rPr>
          <w:b w:val="1"/>
          <w:bCs w:val="1"/>
          <w:sz w:val="24"/>
          <w:szCs w:val="24"/>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footerReference r:id="rId7" w:type="defaul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jc w:val="right"/>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
    <w:p w:rsidR="00000000" w:rsidDel="00000000" w:rsidP="00000000" w:rsidRDefault="00000000" w:rsidRPr="00000000" w14:paraId="0000005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https://itoim.mn/a/2024/09/26/event</w:t>
        </w:r>
      </w:hyperlink>
      <w:r w:rsidDel="00000000" w:rsidR="00000000" w:rsidRPr="00000000">
        <w:rPr>
          <w:rtl w:val="0"/>
        </w:rPr>
      </w:r>
    </w:p>
    <w:p w:rsidR="00000000" w:rsidDel="00000000" w:rsidP="00000000" w:rsidRDefault="00000000" w:rsidRPr="00000000" w14:paraId="00000053">
      <w:pPr>
        <w:spacing w:line="240" w:lineRule="auto"/>
        <w:rPr>
          <w:sz w:val="20"/>
          <w:szCs w:val="20"/>
        </w:rPr>
      </w:pPr>
      <w:r w:rsidDel="00000000" w:rsidR="00000000" w:rsidRPr="00000000">
        <w:rPr>
          <w:rtl w:val="0"/>
        </w:rPr>
      </w:r>
    </w:p>
    <w:p w:rsidR="00000000" w:rsidDel="00000000" w:rsidP="00000000" w:rsidRDefault="00000000" w:rsidRPr="00000000" w14:paraId="00000054">
      <w:pPr>
        <w:spacing w:line="240" w:lineRule="auto"/>
        <w:rPr>
          <w:sz w:val="20"/>
          <w:szCs w:val="20"/>
        </w:rPr>
      </w:pPr>
      <w:r w:rsidDel="00000000" w:rsidR="00000000" w:rsidRPr="00000000">
        <w:rPr>
          <w:rtl w:val="0"/>
        </w:rPr>
      </w:r>
    </w:p>
  </w:footnote>
  <w:footnote w:id="0">
    <w:p w:rsidR="00000000" w:rsidDel="00000000" w:rsidP="00000000" w:rsidRDefault="00000000" w:rsidRPr="00000000" w14:paraId="0000005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Азийн сан, Асрахуйн эдийн засаг: Бодлогын зөвлөмж</w:t>
      </w:r>
    </w:p>
  </w:footnote>
  <w:footnote w:id="1">
    <w:p w:rsidR="00000000" w:rsidDel="00000000" w:rsidP="00000000" w:rsidRDefault="00000000" w:rsidRPr="00000000" w14:paraId="0000005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Азийн сан, Асрахуйн эдийн засагтай холбоотой өгөгдлийн өнөөгийн байдал, хэрэгцээ, бодлогын зөвлөмж, 2024 он</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m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2.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toim.mn/a/2024/09/26/event/hdp?84549676386b2ca30c433e23f0015f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