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D4CE" w14:textId="7A2292FD" w:rsidR="00E655BE" w:rsidRPr="003A6C8D" w:rsidRDefault="00E655BE" w:rsidP="00E655BE">
      <w:pPr>
        <w:jc w:val="center"/>
        <w:rPr>
          <w:rFonts w:ascii="Arial" w:hAnsi="Arial" w:cs="Arial"/>
          <w:b/>
          <w:color w:val="000000" w:themeColor="text1"/>
          <w:lang w:val="mn-MN"/>
        </w:rPr>
      </w:pPr>
      <w:r w:rsidRPr="003A6C8D">
        <w:rPr>
          <w:rFonts w:ascii="Arial" w:hAnsi="Arial" w:cs="Arial"/>
          <w:lang w:val="mn-MN" w:eastAsia="ja-JP"/>
        </w:rPr>
        <w:tab/>
      </w:r>
      <w:r w:rsidRPr="003A6C8D">
        <w:rPr>
          <w:rFonts w:ascii="Arial" w:hAnsi="Arial" w:cs="Arial"/>
          <w:b/>
          <w:color w:val="000000" w:themeColor="text1"/>
          <w:lang w:val="mn-MN"/>
        </w:rPr>
        <w:t>ДЭЛГЭРЭНГҮЙ ТАНИЛЦУУЛГА</w:t>
      </w:r>
    </w:p>
    <w:p w14:paraId="229FD062" w14:textId="77777777" w:rsidR="00E655BE" w:rsidRPr="003A6C8D" w:rsidRDefault="00E655BE" w:rsidP="00E655BE">
      <w:pPr>
        <w:jc w:val="both"/>
        <w:rPr>
          <w:rFonts w:ascii="Arial" w:hAnsi="Arial" w:cs="Arial"/>
          <w:b/>
          <w:color w:val="000000" w:themeColor="text1"/>
          <w:lang w:val="mn-MN"/>
        </w:rPr>
      </w:pPr>
    </w:p>
    <w:p w14:paraId="63F532F3" w14:textId="4EA9D138" w:rsidR="00E655BE" w:rsidRPr="003A6C8D" w:rsidRDefault="00E655BE" w:rsidP="00405402">
      <w:pPr>
        <w:ind w:left="4592"/>
        <w:rPr>
          <w:rFonts w:ascii="Arial" w:hAnsi="Arial" w:cs="Arial"/>
          <w:color w:val="000000" w:themeColor="text1"/>
          <w:lang w:val="mn-MN"/>
        </w:rPr>
      </w:pPr>
      <w:r w:rsidRPr="003A6C8D">
        <w:rPr>
          <w:rFonts w:ascii="Arial" w:hAnsi="Arial" w:cs="Arial"/>
          <w:b/>
          <w:bCs/>
          <w:color w:val="000000" w:themeColor="text1"/>
          <w:lang w:val="mn-MN"/>
        </w:rPr>
        <w:t xml:space="preserve">Монгол Улсын засаг захиргаа, нутаг </w:t>
      </w:r>
      <w:r w:rsidR="00405402" w:rsidRPr="003A6C8D">
        <w:rPr>
          <w:rFonts w:ascii="Arial" w:hAnsi="Arial" w:cs="Arial"/>
          <w:b/>
          <w:bCs/>
          <w:color w:val="000000" w:themeColor="text1"/>
          <w:lang w:val="mn-MN"/>
        </w:rPr>
        <w:t>д</w:t>
      </w:r>
      <w:r w:rsidRPr="003A6C8D">
        <w:rPr>
          <w:rFonts w:ascii="Arial" w:hAnsi="Arial" w:cs="Arial"/>
          <w:b/>
          <w:bCs/>
          <w:color w:val="000000" w:themeColor="text1"/>
          <w:lang w:val="mn-MN"/>
        </w:rPr>
        <w:t>эвсгэрийн</w:t>
      </w:r>
      <w:r w:rsidR="00405402" w:rsidRPr="003A6C8D">
        <w:rPr>
          <w:rFonts w:ascii="Arial" w:hAnsi="Arial" w:cs="Arial"/>
          <w:b/>
          <w:bCs/>
          <w:color w:val="000000" w:themeColor="text1"/>
          <w:lang w:val="mn-MN"/>
        </w:rPr>
        <w:t xml:space="preserve"> </w:t>
      </w:r>
      <w:r w:rsidRPr="003A6C8D">
        <w:rPr>
          <w:rFonts w:ascii="Arial" w:hAnsi="Arial" w:cs="Arial"/>
          <w:b/>
          <w:bCs/>
          <w:color w:val="000000" w:themeColor="text1"/>
          <w:lang w:val="mn-MN"/>
        </w:rPr>
        <w:t>нэгж,</w:t>
      </w:r>
      <w:r w:rsidR="00405402" w:rsidRPr="003A6C8D">
        <w:rPr>
          <w:rFonts w:ascii="Arial" w:hAnsi="Arial" w:cs="Arial"/>
          <w:b/>
          <w:bCs/>
          <w:color w:val="000000" w:themeColor="text1"/>
          <w:lang w:val="mn-MN"/>
        </w:rPr>
        <w:t xml:space="preserve"> </w:t>
      </w:r>
      <w:r w:rsidRPr="003A6C8D">
        <w:rPr>
          <w:rFonts w:ascii="Arial" w:hAnsi="Arial" w:cs="Arial"/>
          <w:b/>
          <w:bCs/>
          <w:color w:val="000000" w:themeColor="text1"/>
          <w:lang w:val="mn-MN"/>
        </w:rPr>
        <w:t>түүний удирдлагын тухай хуулийн төслийн талаар</w:t>
      </w:r>
    </w:p>
    <w:p w14:paraId="50B0784E" w14:textId="77777777" w:rsidR="00E655BE" w:rsidRPr="003A6C8D" w:rsidRDefault="00E655BE" w:rsidP="00E655BE">
      <w:pPr>
        <w:shd w:val="clear" w:color="auto" w:fill="FFFFFF"/>
        <w:tabs>
          <w:tab w:val="left" w:pos="2064"/>
        </w:tabs>
        <w:ind w:firstLine="720"/>
        <w:jc w:val="both"/>
        <w:rPr>
          <w:rFonts w:ascii="Arial" w:hAnsi="Arial" w:cs="Arial"/>
          <w:lang w:val="mn-MN" w:eastAsia="ja-JP"/>
        </w:rPr>
      </w:pPr>
    </w:p>
    <w:p w14:paraId="3383F661" w14:textId="2767214C" w:rsidR="00E655BE" w:rsidRPr="003A6C8D" w:rsidRDefault="00E655BE" w:rsidP="00E655BE">
      <w:pPr>
        <w:ind w:right="4" w:firstLine="720"/>
        <w:jc w:val="both"/>
        <w:rPr>
          <w:rFonts w:ascii="Arial" w:eastAsiaTheme="minorEastAsia" w:hAnsi="Arial" w:cs="Arial"/>
          <w:bCs/>
          <w:color w:val="000000" w:themeColor="text1"/>
          <w:lang w:val="mn-MN"/>
        </w:rPr>
      </w:pPr>
      <w:r w:rsidRPr="003A6C8D">
        <w:rPr>
          <w:rFonts w:ascii="Arial" w:eastAsiaTheme="minorEastAsia" w:hAnsi="Arial" w:cs="Arial"/>
          <w:bCs/>
          <w:color w:val="000000" w:themeColor="text1"/>
          <w:lang w:val="mn-MN"/>
        </w:rPr>
        <w:t xml:space="preserve">Монгол Улсын засаг захиргаа, нутаг дэвсгэрийн нэгж, түүний удирдлагын тухай хуулийн 11 дүгээр зүйлийн хэрэгжилтийн үр дагаварт хийсэн үнэлгээ үндэслэн Монгол Улсын засаг захиргаа, нутаг дэвсгэрийн нэгж, түүний удирдлагын тухай хуульд өөрчлөлт оруулах тухай хуулийн төслийг 3 зүйлтэйгээр боловсруулсан. </w:t>
      </w:r>
    </w:p>
    <w:p w14:paraId="2FF30D32" w14:textId="77777777" w:rsidR="00E655BE" w:rsidRPr="003A6C8D" w:rsidRDefault="00E655BE" w:rsidP="00E655BE">
      <w:pPr>
        <w:ind w:right="4" w:firstLine="720"/>
        <w:jc w:val="both"/>
        <w:rPr>
          <w:rFonts w:ascii="Arial" w:eastAsiaTheme="minorEastAsia" w:hAnsi="Arial" w:cs="Arial"/>
          <w:bCs/>
          <w:color w:val="000000" w:themeColor="text1"/>
          <w:lang w:val="mn-MN"/>
        </w:rPr>
      </w:pPr>
    </w:p>
    <w:p w14:paraId="3BC4B504" w14:textId="49593345" w:rsidR="00E655BE" w:rsidRPr="003A6C8D" w:rsidRDefault="00E655BE" w:rsidP="00E655BE">
      <w:pPr>
        <w:ind w:right="4" w:firstLine="720"/>
        <w:jc w:val="both"/>
        <w:rPr>
          <w:rFonts w:ascii="Arial" w:eastAsiaTheme="minorEastAsia" w:hAnsi="Arial" w:cs="Arial"/>
          <w:bCs/>
          <w:color w:val="000000" w:themeColor="text1"/>
          <w:lang w:val="mn-MN"/>
        </w:rPr>
      </w:pPr>
      <w:r w:rsidRPr="003A6C8D">
        <w:rPr>
          <w:rFonts w:ascii="Arial" w:eastAsiaTheme="minorEastAsia" w:hAnsi="Arial" w:cs="Arial"/>
          <w:bCs/>
          <w:color w:val="000000" w:themeColor="text1"/>
          <w:lang w:val="mn-MN"/>
        </w:rPr>
        <w:t xml:space="preserve">Хууль тогтоомжийн тухай хуулийн 24 дүгээр зүйл, Монгол Улсын Засгийн газрын </w:t>
      </w:r>
      <w:r w:rsidR="0003186A" w:rsidRPr="003A6C8D">
        <w:rPr>
          <w:rFonts w:ascii="Arial" w:eastAsiaTheme="minorEastAsia" w:hAnsi="Arial" w:cs="Arial"/>
          <w:bCs/>
          <w:color w:val="000000" w:themeColor="text1"/>
          <w:lang w:val="mn-MN"/>
        </w:rPr>
        <w:t xml:space="preserve">2016 оны 59 дүгээр тогтоолоор баталсан “Хууль тогтоомжийн төсөл боловсруулах аргачлал”-д заасны дагуу </w:t>
      </w:r>
      <w:r w:rsidR="00120F58" w:rsidRPr="003A6C8D">
        <w:rPr>
          <w:rFonts w:ascii="Arial" w:eastAsiaTheme="minorEastAsia" w:hAnsi="Arial" w:cs="Arial"/>
          <w:bCs/>
          <w:color w:val="000000" w:themeColor="text1"/>
          <w:lang w:val="mn-MN"/>
        </w:rPr>
        <w:t xml:space="preserve">хуулийн төслийн бүтцийг дараах байдлаар тогтоосон болно. Тухайлбал,  </w:t>
      </w:r>
      <w:r w:rsidR="0003186A" w:rsidRPr="003A6C8D">
        <w:rPr>
          <w:rFonts w:ascii="Arial" w:eastAsiaTheme="minorEastAsia" w:hAnsi="Arial" w:cs="Arial"/>
          <w:bCs/>
          <w:color w:val="000000" w:themeColor="text1"/>
          <w:lang w:val="mn-MN"/>
        </w:rPr>
        <w:t>Монгол Улсын засаг захиргаа, нутаг дэвсгэрийн нэгж, түүний удирдлагын тухай хуулийн зарим зүйлээс үг хасахтай холбогдсон өөрчлөлтийг хуулийн төслийн 1 дүгээр зүйлд, харин зүйлийн хэсэг, заалтыг бүхэлд нь хүчингүй болгохтой хо</w:t>
      </w:r>
      <w:r w:rsidR="00120F58" w:rsidRPr="003A6C8D">
        <w:rPr>
          <w:rFonts w:ascii="Arial" w:eastAsiaTheme="minorEastAsia" w:hAnsi="Arial" w:cs="Arial"/>
          <w:bCs/>
          <w:color w:val="000000" w:themeColor="text1"/>
          <w:lang w:val="mn-MN"/>
        </w:rPr>
        <w:t>лбогдсон өөрчлөлтийг хуулийн төслийн 2 дугаар зүйлд, хуулийг дагаж мөрдөх хугацааг хуулийн төслийн 3 дугаар зүйлд тус тус эрэмбэлэн тусгасан. Үүнд:</w:t>
      </w:r>
    </w:p>
    <w:p w14:paraId="77E4D6BD" w14:textId="77777777" w:rsidR="00E655BE" w:rsidRPr="003A6C8D" w:rsidRDefault="00E655BE" w:rsidP="00E655BE">
      <w:pPr>
        <w:ind w:right="4" w:firstLine="720"/>
        <w:jc w:val="both"/>
        <w:rPr>
          <w:rFonts w:ascii="Arial" w:eastAsiaTheme="minorEastAsia" w:hAnsi="Arial" w:cs="Arial"/>
          <w:bCs/>
          <w:color w:val="000000" w:themeColor="text1"/>
          <w:lang w:val="mn-MN"/>
        </w:rPr>
      </w:pPr>
    </w:p>
    <w:p w14:paraId="0A879E6B" w14:textId="77777777" w:rsidR="00A6790C" w:rsidRPr="003A6C8D" w:rsidRDefault="00E655BE" w:rsidP="00E655BE">
      <w:pPr>
        <w:ind w:firstLine="720"/>
        <w:jc w:val="both"/>
        <w:rPr>
          <w:rFonts w:ascii="Arial" w:hAnsi="Arial" w:cs="Arial"/>
          <w:noProof/>
          <w:color w:val="000000" w:themeColor="text1"/>
          <w:lang w:val="en-AU"/>
        </w:rPr>
      </w:pPr>
      <w:r w:rsidRPr="003A6C8D">
        <w:rPr>
          <w:rFonts w:ascii="Arial" w:hAnsi="Arial" w:cs="Arial"/>
          <w:noProof/>
          <w:color w:val="000000" w:themeColor="text1"/>
          <w:lang w:val="en-AU"/>
        </w:rPr>
        <w:t xml:space="preserve">Хуулийн төслийн </w:t>
      </w:r>
      <w:r w:rsidRPr="003A6C8D">
        <w:rPr>
          <w:rFonts w:ascii="Arial" w:hAnsi="Arial" w:cs="Arial"/>
          <w:b/>
          <w:bCs/>
          <w:noProof/>
          <w:color w:val="000000" w:themeColor="text1"/>
          <w:lang w:val="en-AU"/>
        </w:rPr>
        <w:t>1 дүгээр зүйл</w:t>
      </w:r>
      <w:r w:rsidR="00120F58" w:rsidRPr="003A6C8D">
        <w:rPr>
          <w:rFonts w:ascii="Arial" w:hAnsi="Arial" w:cs="Arial"/>
          <w:b/>
          <w:bCs/>
          <w:noProof/>
          <w:color w:val="000000" w:themeColor="text1"/>
          <w:lang w:val="en-AU"/>
        </w:rPr>
        <w:t>д</w:t>
      </w:r>
      <w:r w:rsidR="00120F58" w:rsidRPr="003A6C8D">
        <w:rPr>
          <w:rFonts w:ascii="Arial" w:hAnsi="Arial" w:cs="Arial"/>
          <w:noProof/>
          <w:color w:val="000000" w:themeColor="text1"/>
          <w:lang w:val="en-AU"/>
        </w:rPr>
        <w:t xml:space="preserve"> </w:t>
      </w:r>
      <w:r w:rsidRPr="003A6C8D">
        <w:rPr>
          <w:rFonts w:ascii="Arial" w:hAnsi="Arial" w:cs="Arial"/>
          <w:noProof/>
          <w:color w:val="000000" w:themeColor="text1"/>
          <w:lang w:val="en-AU"/>
        </w:rPr>
        <w:t>Монгол Улсын засаг захиргаа, нутаг дэвсгэрийн нэгж, түүний удирдлагын тухай хуулийн 32 дугаар зүйлийн 32.9 дэх хэсгийн “дарга, хорооны хэсгийн ахлагч нараас” гэснийг “даргаас” гэж өөрч</w:t>
      </w:r>
      <w:r w:rsidR="00120F58" w:rsidRPr="003A6C8D">
        <w:rPr>
          <w:rFonts w:ascii="Arial" w:hAnsi="Arial" w:cs="Arial"/>
          <w:noProof/>
          <w:color w:val="000000" w:themeColor="text1"/>
          <w:lang w:val="en-AU"/>
        </w:rPr>
        <w:t xml:space="preserve">лөлтийг тусгасан. </w:t>
      </w:r>
    </w:p>
    <w:p w14:paraId="00458E7B" w14:textId="77777777" w:rsidR="00A6790C" w:rsidRPr="003A6C8D" w:rsidRDefault="00A6790C" w:rsidP="00E655BE">
      <w:pPr>
        <w:ind w:firstLine="720"/>
        <w:jc w:val="both"/>
        <w:rPr>
          <w:rFonts w:ascii="Arial" w:hAnsi="Arial" w:cs="Arial"/>
          <w:noProof/>
          <w:color w:val="000000" w:themeColor="text1"/>
          <w:lang w:val="en-AU"/>
        </w:rPr>
      </w:pPr>
    </w:p>
    <w:p w14:paraId="7260FA82" w14:textId="51B4BA69" w:rsidR="00E655BE" w:rsidRPr="003A6C8D" w:rsidRDefault="00A6790C" w:rsidP="00E655BE">
      <w:pPr>
        <w:ind w:firstLine="720"/>
        <w:jc w:val="both"/>
        <w:rPr>
          <w:rFonts w:ascii="Arial" w:hAnsi="Arial" w:cs="Arial"/>
          <w:noProof/>
          <w:color w:val="000000" w:themeColor="text1"/>
        </w:rPr>
      </w:pPr>
      <w:r w:rsidRPr="003A6C8D">
        <w:rPr>
          <w:rFonts w:ascii="Arial" w:hAnsi="Arial" w:cs="Arial"/>
          <w:noProof/>
          <w:color w:val="000000" w:themeColor="text1"/>
          <w:lang w:val="en-AU"/>
        </w:rPr>
        <w:t xml:space="preserve">Монгол Улсын засаг захиргаа, нутаг дэвсгэрийн нэгж, түүний удирдлагын тухай хуулийн 32 дугаар зүйлийн </w:t>
      </w:r>
      <w:r w:rsidRPr="003A6C8D">
        <w:rPr>
          <w:rFonts w:ascii="Arial" w:hAnsi="Arial" w:cs="Arial"/>
          <w:color w:val="000000" w:themeColor="text1"/>
          <w:lang w:val="mn-MN"/>
        </w:rPr>
        <w:t>32.9 дэх хэсэгт “Баг, хорооны иргэдийн Нийтийн Хурлын Зөвлөл нь иргэдийн төлөөллөөс гадна баг, хорооны Засаг дарга болон Хуралдааны дарга,</w:t>
      </w:r>
      <w:r w:rsidRPr="003A6C8D">
        <w:rPr>
          <w:rFonts w:ascii="Arial" w:hAnsi="Arial" w:cs="Arial"/>
          <w:b/>
          <w:bCs/>
          <w:color w:val="000000" w:themeColor="text1"/>
          <w:lang w:val="mn-MN"/>
        </w:rPr>
        <w:t xml:space="preserve"> хорооны хэсгийн ахлагч нараас</w:t>
      </w:r>
      <w:r w:rsidRPr="003A6C8D">
        <w:rPr>
          <w:rFonts w:ascii="Arial" w:hAnsi="Arial" w:cs="Arial"/>
          <w:color w:val="000000" w:themeColor="text1"/>
          <w:lang w:val="mn-MN"/>
        </w:rPr>
        <w:t xml:space="preserve"> бүрдэх бөгөөд гагцхүү иргэдийн Нийтийн Хурлын шийдвэрийг хэрэгжүүлэх ажлыг зохион байгуулах, дараагийн хуралдаанд бэлтгэх, хуралдааныг товлон зарлах үүрэгтэй...” гэж заасан хорооны иргэдийн Нийтийн Хурлын Зөвлөлийн бүрэлдэхүүнээс “хорооны хэсгийн ахлагч”-ийг хасахаар өөрчлөлтийг оруулах бөгөөд уг</w:t>
      </w:r>
      <w:r w:rsidR="00120F58" w:rsidRPr="003A6C8D">
        <w:rPr>
          <w:rFonts w:ascii="Arial" w:hAnsi="Arial" w:cs="Arial"/>
          <w:noProof/>
          <w:color w:val="000000" w:themeColor="text1"/>
          <w:lang w:val="en-AU"/>
        </w:rPr>
        <w:t xml:space="preserve"> өөрчлөлт нь </w:t>
      </w:r>
      <w:r w:rsidRPr="003A6C8D">
        <w:rPr>
          <w:rFonts w:ascii="Arial" w:hAnsi="Arial" w:cs="Arial"/>
          <w:noProof/>
          <w:color w:val="000000" w:themeColor="text1"/>
          <w:lang w:val="en-AU"/>
        </w:rPr>
        <w:t>хуулийн төслийн 2 дугаар зүйл буюу Монгол Улсын засаг захиргаа, нутаг дэвсгэрийн нэгж, түүний удирдлагын тухай хуулийн 11 дүгээр зүйлийн 11.2 дахь хэсгийг хүчингүй болсонд тооцсонтой холбоотойгоор оруулж байгаа өөрчлөлт юм.</w:t>
      </w:r>
    </w:p>
    <w:p w14:paraId="60A23DCE" w14:textId="77777777" w:rsidR="00120F58" w:rsidRPr="003A6C8D" w:rsidRDefault="00120F58" w:rsidP="00E655BE">
      <w:pPr>
        <w:ind w:firstLine="720"/>
        <w:jc w:val="both"/>
        <w:rPr>
          <w:rFonts w:ascii="Arial" w:hAnsi="Arial" w:cs="Arial"/>
          <w:noProof/>
          <w:color w:val="000000" w:themeColor="text1"/>
        </w:rPr>
      </w:pPr>
    </w:p>
    <w:p w14:paraId="319DCC45" w14:textId="349BC26C" w:rsidR="00E655BE" w:rsidRPr="003A6C8D" w:rsidRDefault="00120F58" w:rsidP="00E655BE">
      <w:pPr>
        <w:ind w:firstLine="720"/>
        <w:jc w:val="both"/>
        <w:rPr>
          <w:rFonts w:ascii="Arial" w:hAnsi="Arial" w:cs="Arial"/>
          <w:noProof/>
          <w:color w:val="000000" w:themeColor="text1"/>
          <w:lang w:val="en-AU"/>
        </w:rPr>
      </w:pPr>
      <w:r w:rsidRPr="003A6C8D">
        <w:rPr>
          <w:rFonts w:ascii="Arial" w:hAnsi="Arial" w:cs="Arial"/>
          <w:noProof/>
          <w:color w:val="000000" w:themeColor="text1"/>
        </w:rPr>
        <w:t xml:space="preserve">Хуулийн төслийн </w:t>
      </w:r>
      <w:r w:rsidRPr="003A6C8D">
        <w:rPr>
          <w:rFonts w:ascii="Arial" w:hAnsi="Arial" w:cs="Arial"/>
          <w:b/>
          <w:bCs/>
          <w:noProof/>
          <w:color w:val="000000" w:themeColor="text1"/>
        </w:rPr>
        <w:t>2 дугаар зүйлд</w:t>
      </w:r>
      <w:r w:rsidRPr="003A6C8D">
        <w:rPr>
          <w:rFonts w:ascii="Arial" w:hAnsi="Arial" w:cs="Arial"/>
          <w:noProof/>
          <w:color w:val="000000" w:themeColor="text1"/>
        </w:rPr>
        <w:t xml:space="preserve"> </w:t>
      </w:r>
      <w:r w:rsidR="00E655BE" w:rsidRPr="003A6C8D">
        <w:rPr>
          <w:rFonts w:ascii="Arial" w:hAnsi="Arial" w:cs="Arial"/>
          <w:noProof/>
          <w:color w:val="000000" w:themeColor="text1"/>
          <w:lang w:val="en-AU"/>
        </w:rPr>
        <w:t>Монгол Улсын засаг захиргаа, нутаг дэвсгэрийн нэгж, түүний удирдлагын тухай хуулийн 11 дүгээр зүйлийн 11.2 дахь хэсэг, 61 дүгээр зүйлийн 61.1.20 дахь заалтын тус тус хүчингүй болсонд тооц</w:t>
      </w:r>
      <w:r w:rsidRPr="003A6C8D">
        <w:rPr>
          <w:rFonts w:ascii="Arial" w:hAnsi="Arial" w:cs="Arial"/>
          <w:noProof/>
          <w:color w:val="000000" w:themeColor="text1"/>
          <w:lang w:val="en-AU"/>
        </w:rPr>
        <w:t xml:space="preserve">охоор тусгасан. </w:t>
      </w:r>
    </w:p>
    <w:p w14:paraId="0DB23010" w14:textId="77777777" w:rsidR="00E655BE" w:rsidRPr="003A6C8D" w:rsidRDefault="00E655BE" w:rsidP="00E655BE">
      <w:pPr>
        <w:ind w:firstLine="720"/>
        <w:jc w:val="both"/>
        <w:rPr>
          <w:rFonts w:ascii="Arial" w:hAnsi="Arial" w:cs="Arial"/>
          <w:noProof/>
          <w:color w:val="000000" w:themeColor="text1"/>
          <w:lang w:val="en-AU"/>
        </w:rPr>
      </w:pPr>
    </w:p>
    <w:p w14:paraId="6A868A9A" w14:textId="77777777" w:rsidR="00FF15C5" w:rsidRPr="003A6C8D" w:rsidRDefault="00A6790C" w:rsidP="00FF15C5">
      <w:pPr>
        <w:shd w:val="clear" w:color="auto" w:fill="FFFFFF"/>
        <w:ind w:firstLine="720"/>
        <w:jc w:val="both"/>
        <w:textAlignment w:val="top"/>
        <w:rPr>
          <w:rFonts w:ascii="Arial" w:hAnsi="Arial" w:cs="Arial"/>
          <w:lang w:val="mn-MN"/>
        </w:rPr>
      </w:pPr>
      <w:r w:rsidRPr="003A6C8D">
        <w:rPr>
          <w:rFonts w:ascii="Arial" w:hAnsi="Arial" w:cs="Arial"/>
          <w:noProof/>
          <w:color w:val="000000" w:themeColor="text1"/>
          <w:lang w:val="en-AU"/>
        </w:rPr>
        <w:t>Монгол Улсын засаг захиргаа, нутаг дэвсгэрийн нэгж, түүний удирдлагын тухай хуулийн 11 дүгээр зүйлийн 11.2 дахь хэсгийн “</w:t>
      </w:r>
      <w:r w:rsidRPr="003A6C8D">
        <w:rPr>
          <w:rFonts w:ascii="Arial" w:eastAsia="Arial" w:hAnsi="Arial" w:cs="Arial"/>
          <w:color w:val="000000" w:themeColor="text1"/>
          <w:lang w:val="mn-MN"/>
        </w:rPr>
        <w:t xml:space="preserve">Хороо нь хэсгийн зохион байгуулалттай байна. Хэсгийн хуваарийг хүн амын суурьшил, өрхийн тоог харгалзан </w:t>
      </w:r>
      <w:r w:rsidRPr="003A6C8D">
        <w:rPr>
          <w:rFonts w:ascii="Arial" w:hAnsi="Arial" w:cs="Arial"/>
          <w:color w:val="000000" w:themeColor="text1"/>
          <w:lang w:val="mn-MN"/>
        </w:rPr>
        <w:t>дүүргийн иргэдийн Төлөөлөгчдийн Хурал</w:t>
      </w:r>
      <w:r w:rsidRPr="003A6C8D">
        <w:rPr>
          <w:rFonts w:ascii="Arial" w:eastAsia="Arial" w:hAnsi="Arial" w:cs="Arial"/>
          <w:color w:val="000000" w:themeColor="text1"/>
          <w:lang w:val="mn-MN"/>
        </w:rPr>
        <w:t xml:space="preserve"> тогтооно.” гэсэн заалт </w:t>
      </w:r>
      <w:r w:rsidR="00FF15C5" w:rsidRPr="003A6C8D">
        <w:rPr>
          <w:rFonts w:ascii="Arial" w:hAnsi="Arial" w:cs="Arial"/>
          <w:lang w:val="mn-MN"/>
        </w:rPr>
        <w:t xml:space="preserve">Монгол Улсын Үндсэн хуулийн Тавин </w:t>
      </w:r>
      <w:proofErr w:type="spellStart"/>
      <w:r w:rsidR="00FF15C5" w:rsidRPr="003A6C8D">
        <w:rPr>
          <w:rFonts w:ascii="Arial" w:hAnsi="Arial" w:cs="Arial"/>
          <w:lang w:val="mn-MN"/>
        </w:rPr>
        <w:t>долдугаар</w:t>
      </w:r>
      <w:proofErr w:type="spellEnd"/>
      <w:r w:rsidR="00FF15C5" w:rsidRPr="003A6C8D">
        <w:rPr>
          <w:rFonts w:ascii="Arial" w:hAnsi="Arial" w:cs="Arial"/>
          <w:lang w:val="mn-MN"/>
        </w:rPr>
        <w:t xml:space="preserve"> зүйлийн 1 дэх хэсгийн  “Монгол Улсын нутаг дэвсгэр засаг захиргааны хувьд </w:t>
      </w:r>
      <w:r w:rsidR="00FF15C5" w:rsidRPr="003A6C8D">
        <w:rPr>
          <w:rFonts w:ascii="Arial" w:hAnsi="Arial" w:cs="Arial"/>
          <w:b/>
          <w:bCs/>
          <w:lang w:val="mn-MN"/>
        </w:rPr>
        <w:t>аймаг, нийслэлд, аймаг нь суманд, сум нь багт, нийслэл нь дүүрэгт, дүүрэг нь хороонд</w:t>
      </w:r>
      <w:r w:rsidR="00FF15C5" w:rsidRPr="003A6C8D">
        <w:rPr>
          <w:rFonts w:ascii="Arial" w:hAnsi="Arial" w:cs="Arial"/>
          <w:lang w:val="mn-MN"/>
        </w:rPr>
        <w:t xml:space="preserve"> хуваагдана.” гэж заасантай зөрчилдөж байгаа тул уг заалтыг хүчингүй болгохоор хуулийн төсөлд тусгасан. </w:t>
      </w:r>
    </w:p>
    <w:p w14:paraId="67647878" w14:textId="43472D32" w:rsidR="00FF15C5" w:rsidRPr="003A6C8D" w:rsidRDefault="00FF15C5" w:rsidP="00FF15C5">
      <w:pPr>
        <w:shd w:val="clear" w:color="auto" w:fill="FFFFFF"/>
        <w:ind w:firstLine="720"/>
        <w:jc w:val="both"/>
        <w:textAlignment w:val="top"/>
        <w:rPr>
          <w:rFonts w:ascii="Arial" w:hAnsi="Arial" w:cs="Arial"/>
          <w:color w:val="000000" w:themeColor="text1"/>
          <w:lang w:val="mn-MN"/>
        </w:rPr>
      </w:pPr>
      <w:r w:rsidRPr="003A6C8D">
        <w:rPr>
          <w:rFonts w:ascii="Arial" w:hAnsi="Arial" w:cs="Arial"/>
          <w:lang w:val="mn-MN"/>
        </w:rPr>
        <w:lastRenderedPageBreak/>
        <w:t xml:space="preserve">Хорооны хэсэгтэй холбоотой зохицуулалтыг хүчингүй болгож байгаатай холбоотойгоор мөн хуулийн 61 дүгээр зүйлийн </w:t>
      </w:r>
      <w:r w:rsidRPr="003A6C8D">
        <w:rPr>
          <w:rFonts w:ascii="Arial" w:hAnsi="Arial" w:cs="Arial"/>
          <w:color w:val="000000" w:themeColor="text1"/>
          <w:lang w:val="mn-MN"/>
        </w:rPr>
        <w:t>61.1.20 дахь заалт буюу “харьяалах хэсгийн ахлагч нарыг томилж, үйл ажиллагааг нь удирдах;” гэсэн Хорооны Засаг даргын бүрэн эрхийг хүчингүй болсонд тооцох өөрчлөлтийг тусгасан.</w:t>
      </w:r>
    </w:p>
    <w:p w14:paraId="76490BE5" w14:textId="146E8BA2" w:rsidR="00FF15C5" w:rsidRPr="003A6C8D" w:rsidRDefault="00FF15C5" w:rsidP="00FF15C5">
      <w:pPr>
        <w:pStyle w:val="ListParagraph"/>
        <w:ind w:left="0" w:firstLine="720"/>
        <w:jc w:val="both"/>
        <w:rPr>
          <w:rFonts w:ascii="Arial" w:hAnsi="Arial" w:cs="Arial"/>
          <w:lang w:val="mn-MN"/>
        </w:rPr>
      </w:pPr>
      <w:r w:rsidRPr="003A6C8D">
        <w:rPr>
          <w:rFonts w:ascii="Arial" w:hAnsi="Arial" w:cs="Arial"/>
          <w:lang w:val="mn-MN"/>
        </w:rPr>
        <w:t xml:space="preserve"> </w:t>
      </w:r>
    </w:p>
    <w:p w14:paraId="07EA83BF" w14:textId="71E20BF0" w:rsidR="00E655BE" w:rsidRPr="003A6C8D" w:rsidRDefault="00A6790C" w:rsidP="00FF15C5">
      <w:pPr>
        <w:widowControl w:val="0"/>
        <w:pBdr>
          <w:top w:val="nil"/>
          <w:left w:val="nil"/>
          <w:bottom w:val="nil"/>
          <w:right w:val="nil"/>
          <w:between w:val="nil"/>
        </w:pBdr>
        <w:ind w:firstLine="720"/>
        <w:jc w:val="both"/>
        <w:rPr>
          <w:rFonts w:ascii="Arial" w:hAnsi="Arial" w:cs="Arial"/>
          <w:noProof/>
          <w:color w:val="000000" w:themeColor="text1"/>
          <w:lang w:val="en-AU"/>
        </w:rPr>
      </w:pPr>
      <w:r w:rsidRPr="003A6C8D">
        <w:rPr>
          <w:rFonts w:ascii="Arial" w:eastAsia="Arial" w:hAnsi="Arial" w:cs="Arial"/>
          <w:color w:val="000000" w:themeColor="text1"/>
          <w:lang w:val="mn-MN"/>
        </w:rPr>
        <w:t xml:space="preserve"> </w:t>
      </w:r>
      <w:r w:rsidR="00FF15C5" w:rsidRPr="003A6C8D">
        <w:rPr>
          <w:rFonts w:ascii="Arial" w:eastAsia="Arial" w:hAnsi="Arial" w:cs="Arial"/>
          <w:color w:val="000000" w:themeColor="text1"/>
          <w:lang w:val="mn-MN"/>
        </w:rPr>
        <w:t xml:space="preserve">Хуулийн төслийн </w:t>
      </w:r>
      <w:r w:rsidR="00E655BE" w:rsidRPr="003A6C8D">
        <w:rPr>
          <w:rFonts w:ascii="Arial" w:hAnsi="Arial" w:cs="Arial"/>
          <w:b/>
          <w:bCs/>
          <w:noProof/>
          <w:color w:val="000000" w:themeColor="text1"/>
          <w:lang w:val="en-AU"/>
        </w:rPr>
        <w:t>3 дугаар зүйл</w:t>
      </w:r>
      <w:r w:rsidR="00FF15C5" w:rsidRPr="003A6C8D">
        <w:rPr>
          <w:rFonts w:ascii="Arial" w:hAnsi="Arial" w:cs="Arial"/>
          <w:b/>
          <w:bCs/>
          <w:noProof/>
          <w:color w:val="000000" w:themeColor="text1"/>
          <w:lang w:val="en-AU"/>
        </w:rPr>
        <w:t xml:space="preserve">д </w:t>
      </w:r>
      <w:r w:rsidR="00FF15C5" w:rsidRPr="003A6C8D">
        <w:rPr>
          <w:rFonts w:ascii="Arial" w:hAnsi="Arial" w:cs="Arial"/>
          <w:noProof/>
          <w:color w:val="000000" w:themeColor="text1"/>
          <w:lang w:val="en-AU"/>
        </w:rPr>
        <w:t>уг өөрчлөлт оруулах тухай</w:t>
      </w:r>
      <w:r w:rsidR="00FF15C5" w:rsidRPr="003A6C8D">
        <w:rPr>
          <w:rFonts w:ascii="Arial" w:hAnsi="Arial" w:cs="Arial"/>
          <w:b/>
          <w:bCs/>
          <w:noProof/>
          <w:color w:val="000000" w:themeColor="text1"/>
          <w:lang w:val="en-AU"/>
        </w:rPr>
        <w:t xml:space="preserve"> </w:t>
      </w:r>
      <w:r w:rsidR="00E655BE" w:rsidRPr="003A6C8D">
        <w:rPr>
          <w:rFonts w:ascii="Arial" w:hAnsi="Arial" w:cs="Arial"/>
          <w:noProof/>
          <w:color w:val="000000" w:themeColor="text1"/>
          <w:lang w:val="en-AU"/>
        </w:rPr>
        <w:t>хуулийг 2027 оны 01 дүгээр сарын 01-ний өдрөөс эхлэн дагаж мөрд</w:t>
      </w:r>
      <w:r w:rsidR="00FF15C5" w:rsidRPr="003A6C8D">
        <w:rPr>
          <w:rFonts w:ascii="Arial" w:hAnsi="Arial" w:cs="Arial"/>
          <w:noProof/>
          <w:color w:val="000000" w:themeColor="text1"/>
          <w:lang w:val="en-AU"/>
        </w:rPr>
        <w:t>өх заалтыг тусгасан.</w:t>
      </w:r>
    </w:p>
    <w:p w14:paraId="41C1B0BB" w14:textId="77777777" w:rsidR="00FF15C5" w:rsidRPr="003A6C8D" w:rsidRDefault="00FF15C5" w:rsidP="00FF15C5">
      <w:pPr>
        <w:widowControl w:val="0"/>
        <w:pBdr>
          <w:top w:val="nil"/>
          <w:left w:val="nil"/>
          <w:bottom w:val="nil"/>
          <w:right w:val="nil"/>
          <w:between w:val="nil"/>
        </w:pBdr>
        <w:ind w:firstLine="720"/>
        <w:jc w:val="both"/>
        <w:rPr>
          <w:rFonts w:ascii="Arial" w:hAnsi="Arial" w:cs="Arial"/>
          <w:noProof/>
          <w:color w:val="000000" w:themeColor="text1"/>
          <w:lang w:val="en-AU"/>
        </w:rPr>
      </w:pPr>
    </w:p>
    <w:p w14:paraId="7A574E24" w14:textId="77777777" w:rsidR="00FF15C5" w:rsidRPr="003A6C8D" w:rsidRDefault="00FF15C5" w:rsidP="00FF15C5">
      <w:pPr>
        <w:widowControl w:val="0"/>
        <w:pBdr>
          <w:top w:val="nil"/>
          <w:left w:val="nil"/>
          <w:bottom w:val="nil"/>
          <w:right w:val="nil"/>
          <w:between w:val="nil"/>
        </w:pBdr>
        <w:ind w:firstLine="720"/>
        <w:jc w:val="both"/>
        <w:rPr>
          <w:rFonts w:ascii="Arial" w:hAnsi="Arial" w:cs="Arial"/>
          <w:noProof/>
          <w:color w:val="000000" w:themeColor="text1"/>
          <w:lang w:val="en-AU"/>
        </w:rPr>
      </w:pPr>
    </w:p>
    <w:p w14:paraId="4D7C4BD2" w14:textId="77777777" w:rsidR="00E655BE" w:rsidRPr="003A6C8D" w:rsidRDefault="00E655BE" w:rsidP="00E655BE">
      <w:pPr>
        <w:ind w:firstLine="720"/>
        <w:jc w:val="both"/>
        <w:rPr>
          <w:rFonts w:ascii="Arial" w:hAnsi="Arial" w:cs="Arial"/>
          <w:lang w:val="mn-MN"/>
        </w:rPr>
      </w:pPr>
    </w:p>
    <w:p w14:paraId="3475916E" w14:textId="77777777" w:rsidR="00E655BE" w:rsidRDefault="00E655BE" w:rsidP="00E655BE">
      <w:pPr>
        <w:shd w:val="clear" w:color="auto" w:fill="FFFFFF"/>
        <w:ind w:firstLine="720"/>
        <w:jc w:val="both"/>
        <w:rPr>
          <w:rFonts w:ascii="Arial" w:hAnsi="Arial" w:cs="Arial"/>
          <w:lang w:val="mn-MN" w:eastAsia="ja-JP"/>
        </w:rPr>
      </w:pPr>
    </w:p>
    <w:p w14:paraId="1D58F025" w14:textId="77777777" w:rsidR="00E655BE" w:rsidRDefault="00E655BE" w:rsidP="003A6C8D">
      <w:pPr>
        <w:shd w:val="clear" w:color="auto" w:fill="FFFFFF"/>
        <w:jc w:val="center"/>
        <w:rPr>
          <w:rFonts w:ascii="Arial" w:hAnsi="Arial" w:cs="Arial"/>
          <w:lang w:val="mn-MN" w:eastAsia="ja-JP"/>
        </w:rPr>
      </w:pPr>
      <w:r>
        <w:rPr>
          <w:rFonts w:ascii="Arial" w:hAnsi="Arial" w:cs="Arial"/>
          <w:lang w:val="mn-MN" w:eastAsia="ja-JP"/>
        </w:rPr>
        <w:t>---</w:t>
      </w:r>
      <w:proofErr w:type="spellStart"/>
      <w:r>
        <w:rPr>
          <w:rFonts w:ascii="Arial" w:hAnsi="Arial" w:cs="Arial"/>
          <w:lang w:val="mn-MN" w:eastAsia="ja-JP"/>
        </w:rPr>
        <w:t>оОо</w:t>
      </w:r>
      <w:proofErr w:type="spellEnd"/>
      <w:r>
        <w:rPr>
          <w:rFonts w:ascii="Arial" w:hAnsi="Arial" w:cs="Arial"/>
          <w:lang w:val="mn-MN" w:eastAsia="ja-JP"/>
        </w:rPr>
        <w:t>---</w:t>
      </w:r>
    </w:p>
    <w:p w14:paraId="78018458" w14:textId="77777777" w:rsidR="00E655BE" w:rsidRPr="00FC767D" w:rsidRDefault="00E655BE" w:rsidP="00E655BE">
      <w:pPr>
        <w:rPr>
          <w:rFonts w:ascii="Arial" w:hAnsi="Arial" w:cs="Arial"/>
          <w:lang w:val="mn-MN" w:eastAsia="ja-JP"/>
        </w:rPr>
      </w:pPr>
    </w:p>
    <w:p w14:paraId="6D3F1A0E" w14:textId="77777777" w:rsidR="00E655BE" w:rsidRPr="00FC767D" w:rsidRDefault="00E655BE" w:rsidP="00E655BE">
      <w:pPr>
        <w:rPr>
          <w:rFonts w:ascii="Arial" w:hAnsi="Arial" w:cs="Arial"/>
          <w:lang w:val="mn-MN" w:eastAsia="ja-JP"/>
        </w:rPr>
      </w:pPr>
    </w:p>
    <w:p w14:paraId="28D76F1E" w14:textId="77777777" w:rsidR="00E655BE" w:rsidRPr="00FC767D" w:rsidRDefault="00E655BE" w:rsidP="00E655BE">
      <w:pPr>
        <w:rPr>
          <w:rFonts w:ascii="Arial" w:hAnsi="Arial" w:cs="Arial"/>
          <w:lang w:val="mn-MN" w:eastAsia="ja-JP"/>
        </w:rPr>
      </w:pPr>
    </w:p>
    <w:p w14:paraId="6BCE9841" w14:textId="77777777" w:rsidR="00E655BE" w:rsidRDefault="00E655BE" w:rsidP="00E655BE">
      <w:pPr>
        <w:rPr>
          <w:rFonts w:ascii="Arial" w:hAnsi="Arial" w:cs="Arial"/>
          <w:lang w:val="mn-MN" w:eastAsia="ja-JP"/>
        </w:rPr>
      </w:pPr>
    </w:p>
    <w:p w14:paraId="6FB3E4F4" w14:textId="77777777" w:rsidR="00E655BE" w:rsidRDefault="00E655BE" w:rsidP="00E655BE">
      <w:pPr>
        <w:rPr>
          <w:rFonts w:ascii="Arial" w:hAnsi="Arial" w:cs="Arial"/>
          <w:lang w:val="mn-MN" w:eastAsia="ja-JP"/>
        </w:rPr>
      </w:pPr>
    </w:p>
    <w:p w14:paraId="636361D8" w14:textId="77777777" w:rsidR="00E655BE" w:rsidRPr="00FC767D" w:rsidRDefault="00E655BE" w:rsidP="00E655BE">
      <w:pPr>
        <w:jc w:val="center"/>
        <w:rPr>
          <w:rFonts w:ascii="Arial" w:hAnsi="Arial" w:cs="Arial"/>
          <w:lang w:val="mn-MN" w:eastAsia="ja-JP"/>
        </w:rPr>
      </w:pPr>
    </w:p>
    <w:p w14:paraId="34C06231" w14:textId="77777777" w:rsidR="00E624C2" w:rsidRDefault="00E624C2"/>
    <w:sectPr w:rsidR="00E624C2" w:rsidSect="003A6C8D">
      <w:footerReference w:type="default" r:id="rId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C163" w14:textId="77777777" w:rsidR="00276F25" w:rsidRDefault="00276F25">
      <w:r>
        <w:separator/>
      </w:r>
    </w:p>
  </w:endnote>
  <w:endnote w:type="continuationSeparator" w:id="0">
    <w:p w14:paraId="4F4CBBD7" w14:textId="77777777" w:rsidR="00276F25" w:rsidRDefault="0027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45314"/>
      <w:docPartObj>
        <w:docPartGallery w:val="Page Numbers (Bottom of Page)"/>
        <w:docPartUnique/>
      </w:docPartObj>
    </w:sdtPr>
    <w:sdtEndPr>
      <w:rPr>
        <w:noProof/>
      </w:rPr>
    </w:sdtEndPr>
    <w:sdtContent>
      <w:p w14:paraId="76AD8963" w14:textId="77777777" w:rsidR="00E655BE" w:rsidRDefault="00E6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C86B5" w14:textId="77777777" w:rsidR="00E655BE" w:rsidRDefault="00E6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F77C" w14:textId="77777777" w:rsidR="00276F25" w:rsidRDefault="00276F25">
      <w:r>
        <w:separator/>
      </w:r>
    </w:p>
  </w:footnote>
  <w:footnote w:type="continuationSeparator" w:id="0">
    <w:p w14:paraId="0AADFD78" w14:textId="77777777" w:rsidR="00276F25" w:rsidRDefault="00276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E"/>
    <w:rsid w:val="00012C3A"/>
    <w:rsid w:val="0003186A"/>
    <w:rsid w:val="00120F58"/>
    <w:rsid w:val="00276F25"/>
    <w:rsid w:val="003A6C8D"/>
    <w:rsid w:val="00405402"/>
    <w:rsid w:val="004319A1"/>
    <w:rsid w:val="0055288A"/>
    <w:rsid w:val="00624AD6"/>
    <w:rsid w:val="007C4912"/>
    <w:rsid w:val="009F240F"/>
    <w:rsid w:val="00A6790C"/>
    <w:rsid w:val="00D022BF"/>
    <w:rsid w:val="00E624C2"/>
    <w:rsid w:val="00E655BE"/>
    <w:rsid w:val="00E725AD"/>
    <w:rsid w:val="00FD0217"/>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0731"/>
  <w15:chartTrackingRefBased/>
  <w15:docId w15:val="{422C1956-9071-4565-B404-6BCB0DED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BE"/>
    <w:pPr>
      <w:spacing w:after="0" w:line="240" w:lineRule="auto"/>
    </w:pPr>
    <w:rPr>
      <w:rFonts w:ascii="Arial Mon" w:eastAsia="Times New Roman" w:hAnsi="Arial Mon" w:cs="Times New Roman"/>
      <w:kern w:val="0"/>
      <w:szCs w:val="24"/>
      <w14:ligatures w14:val="none"/>
    </w:rPr>
  </w:style>
  <w:style w:type="paragraph" w:styleId="Heading1">
    <w:name w:val="heading 1"/>
    <w:basedOn w:val="Normal"/>
    <w:next w:val="Normal"/>
    <w:link w:val="Heading1Char"/>
    <w:uiPriority w:val="9"/>
    <w:qFormat/>
    <w:rsid w:val="00E65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5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5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5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5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5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5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5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5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5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5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5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55BE"/>
    <w:pPr>
      <w:spacing w:before="160"/>
      <w:jc w:val="center"/>
    </w:pPr>
    <w:rPr>
      <w:i/>
      <w:iCs/>
      <w:color w:val="404040" w:themeColor="text1" w:themeTint="BF"/>
    </w:rPr>
  </w:style>
  <w:style w:type="character" w:customStyle="1" w:styleId="QuoteChar">
    <w:name w:val="Quote Char"/>
    <w:basedOn w:val="DefaultParagraphFont"/>
    <w:link w:val="Quote"/>
    <w:uiPriority w:val="29"/>
    <w:rsid w:val="00E655BE"/>
    <w:rPr>
      <w:i/>
      <w:iCs/>
      <w:color w:val="404040" w:themeColor="text1" w:themeTint="BF"/>
    </w:rPr>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E655BE"/>
    <w:pPr>
      <w:ind w:left="720"/>
      <w:contextualSpacing/>
    </w:pPr>
  </w:style>
  <w:style w:type="character" w:styleId="IntenseEmphasis">
    <w:name w:val="Intense Emphasis"/>
    <w:basedOn w:val="DefaultParagraphFont"/>
    <w:uiPriority w:val="21"/>
    <w:qFormat/>
    <w:rsid w:val="00E655BE"/>
    <w:rPr>
      <w:i/>
      <w:iCs/>
      <w:color w:val="0F4761" w:themeColor="accent1" w:themeShade="BF"/>
    </w:rPr>
  </w:style>
  <w:style w:type="paragraph" w:styleId="IntenseQuote">
    <w:name w:val="Intense Quote"/>
    <w:basedOn w:val="Normal"/>
    <w:next w:val="Normal"/>
    <w:link w:val="IntenseQuoteChar"/>
    <w:uiPriority w:val="30"/>
    <w:qFormat/>
    <w:rsid w:val="00E65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5BE"/>
    <w:rPr>
      <w:i/>
      <w:iCs/>
      <w:color w:val="0F4761" w:themeColor="accent1" w:themeShade="BF"/>
    </w:rPr>
  </w:style>
  <w:style w:type="character" w:styleId="IntenseReference">
    <w:name w:val="Intense Reference"/>
    <w:basedOn w:val="DefaultParagraphFont"/>
    <w:uiPriority w:val="32"/>
    <w:qFormat/>
    <w:rsid w:val="00E655BE"/>
    <w:rPr>
      <w:b/>
      <w:bCs/>
      <w:smallCaps/>
      <w:color w:val="0F4761" w:themeColor="accent1" w:themeShade="BF"/>
      <w:spacing w:val="5"/>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E655BE"/>
  </w:style>
  <w:style w:type="paragraph" w:styleId="Footer">
    <w:name w:val="footer"/>
    <w:basedOn w:val="Normal"/>
    <w:link w:val="FooterChar"/>
    <w:uiPriority w:val="99"/>
    <w:unhideWhenUsed/>
    <w:rsid w:val="00E655BE"/>
    <w:pPr>
      <w:tabs>
        <w:tab w:val="center" w:pos="4680"/>
        <w:tab w:val="right" w:pos="9360"/>
      </w:tabs>
    </w:pPr>
  </w:style>
  <w:style w:type="character" w:customStyle="1" w:styleId="FooterChar">
    <w:name w:val="Footer Char"/>
    <w:basedOn w:val="DefaultParagraphFont"/>
    <w:link w:val="Footer"/>
    <w:uiPriority w:val="99"/>
    <w:rsid w:val="00E655BE"/>
    <w:rPr>
      <w:rFonts w:ascii="Arial Mon" w:eastAsia="Times New Roman" w:hAnsi="Arial Mo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Kherlen Gombosuren</cp:lastModifiedBy>
  <cp:revision>3</cp:revision>
  <cp:lastPrinted>2026-02-13T04:22:00Z</cp:lastPrinted>
  <dcterms:created xsi:type="dcterms:W3CDTF">2026-02-13T04:07:00Z</dcterms:created>
  <dcterms:modified xsi:type="dcterms:W3CDTF">2026-02-13T04:22:00Z</dcterms:modified>
</cp:coreProperties>
</file>