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4A52" w14:textId="53AAEE57" w:rsidR="002B5DE8" w:rsidRPr="00D04B91" w:rsidRDefault="000F531D" w:rsidP="00FF75CB">
      <w:pPr>
        <w:spacing w:line="240" w:lineRule="auto"/>
        <w:jc w:val="center"/>
        <w:rPr>
          <w:rFonts w:cs="Arial"/>
          <w:b/>
          <w:szCs w:val="24"/>
        </w:rPr>
      </w:pPr>
      <w:r w:rsidRPr="00D04B91">
        <w:rPr>
          <w:rFonts w:cs="Arial"/>
          <w:b/>
          <w:szCs w:val="24"/>
        </w:rPr>
        <w:t xml:space="preserve">ТОВЧ </w:t>
      </w:r>
      <w:r w:rsidR="00BA4BC3" w:rsidRPr="00D04B91">
        <w:rPr>
          <w:rFonts w:cs="Arial"/>
          <w:b/>
          <w:szCs w:val="24"/>
        </w:rPr>
        <w:t>ТАНИЛЦУУЛГА</w:t>
      </w:r>
    </w:p>
    <w:p w14:paraId="1B138E4B" w14:textId="77777777" w:rsidR="00BA4BC3" w:rsidRPr="00D04B91" w:rsidRDefault="00BA4BC3" w:rsidP="00FF75CB">
      <w:pPr>
        <w:spacing w:line="240" w:lineRule="auto"/>
        <w:jc w:val="center"/>
        <w:rPr>
          <w:rFonts w:cs="Arial"/>
          <w:bCs/>
          <w:szCs w:val="24"/>
        </w:rPr>
      </w:pPr>
    </w:p>
    <w:p w14:paraId="41F5ABD3" w14:textId="77777777" w:rsidR="00171D2B" w:rsidRPr="00D04B91" w:rsidRDefault="00171D2B" w:rsidP="00FF75CB">
      <w:pPr>
        <w:spacing w:line="240" w:lineRule="auto"/>
        <w:rPr>
          <w:rFonts w:cs="Arial"/>
          <w:bCs/>
          <w:i/>
          <w:iCs/>
          <w:szCs w:val="24"/>
        </w:rPr>
      </w:pPr>
    </w:p>
    <w:p w14:paraId="668C6FB4" w14:textId="77777777" w:rsidR="00846085" w:rsidRPr="00D04B91" w:rsidRDefault="00846085" w:rsidP="00846085">
      <w:pPr>
        <w:spacing w:line="240" w:lineRule="auto"/>
        <w:jc w:val="right"/>
        <w:rPr>
          <w:rFonts w:cs="Arial"/>
          <w:bCs/>
          <w:i/>
          <w:iCs/>
          <w:szCs w:val="24"/>
        </w:rPr>
      </w:pPr>
      <w:r w:rsidRPr="00D04B91">
        <w:rPr>
          <w:rFonts w:cs="Arial"/>
          <w:bCs/>
          <w:i/>
          <w:iCs/>
          <w:szCs w:val="24"/>
        </w:rPr>
        <w:t>Зөвшөөрлийн</w:t>
      </w:r>
      <w:r w:rsidR="00CB662A" w:rsidRPr="00D04B91">
        <w:rPr>
          <w:rFonts w:cs="Arial"/>
          <w:bCs/>
          <w:i/>
          <w:iCs/>
          <w:szCs w:val="24"/>
        </w:rPr>
        <w:t xml:space="preserve"> тухай</w:t>
      </w:r>
      <w:r w:rsidRPr="00D04B91">
        <w:rPr>
          <w:rFonts w:cs="Arial"/>
          <w:bCs/>
          <w:i/>
          <w:iCs/>
          <w:szCs w:val="24"/>
        </w:rPr>
        <w:t xml:space="preserve"> </w:t>
      </w:r>
      <w:r w:rsidR="00660513" w:rsidRPr="00D04B91">
        <w:rPr>
          <w:rFonts w:cs="Arial"/>
          <w:bCs/>
          <w:i/>
          <w:iCs/>
          <w:szCs w:val="24"/>
        </w:rPr>
        <w:t>х</w:t>
      </w:r>
      <w:r w:rsidR="00CB662A" w:rsidRPr="00D04B91">
        <w:rPr>
          <w:rFonts w:cs="Arial"/>
          <w:bCs/>
          <w:i/>
          <w:iCs/>
          <w:szCs w:val="24"/>
        </w:rPr>
        <w:t>уульд</w:t>
      </w:r>
      <w:r w:rsidR="00660513" w:rsidRPr="00D04B91">
        <w:rPr>
          <w:rFonts w:cs="Arial"/>
          <w:bCs/>
          <w:i/>
          <w:iCs/>
          <w:szCs w:val="24"/>
        </w:rPr>
        <w:t xml:space="preserve"> </w:t>
      </w:r>
    </w:p>
    <w:p w14:paraId="14BDA95A" w14:textId="77777777" w:rsidR="00846085" w:rsidRPr="00D04B91" w:rsidRDefault="00171D2B" w:rsidP="00846085">
      <w:pPr>
        <w:spacing w:line="240" w:lineRule="auto"/>
        <w:jc w:val="right"/>
        <w:rPr>
          <w:rFonts w:cs="Arial"/>
          <w:bCs/>
          <w:i/>
          <w:iCs/>
          <w:szCs w:val="24"/>
        </w:rPr>
      </w:pPr>
      <w:r w:rsidRPr="00D04B91">
        <w:rPr>
          <w:rFonts w:cs="Arial"/>
          <w:bCs/>
          <w:i/>
          <w:iCs/>
          <w:szCs w:val="24"/>
        </w:rPr>
        <w:t>өөрчлөлт оруулах тухай</w:t>
      </w:r>
      <w:r w:rsidR="00846085" w:rsidRPr="00D04B91">
        <w:rPr>
          <w:rFonts w:cs="Arial"/>
          <w:bCs/>
          <w:i/>
          <w:iCs/>
          <w:szCs w:val="24"/>
        </w:rPr>
        <w:t xml:space="preserve"> </w:t>
      </w:r>
      <w:r w:rsidRPr="00D04B91">
        <w:rPr>
          <w:rFonts w:cs="Arial"/>
          <w:bCs/>
          <w:i/>
          <w:iCs/>
          <w:szCs w:val="24"/>
        </w:rPr>
        <w:t>хуулийн</w:t>
      </w:r>
    </w:p>
    <w:p w14:paraId="603CBBA0" w14:textId="63DC47DC" w:rsidR="00171D2B" w:rsidRPr="00D04B91" w:rsidRDefault="00171D2B" w:rsidP="00846085">
      <w:pPr>
        <w:spacing w:line="240" w:lineRule="auto"/>
        <w:jc w:val="right"/>
        <w:rPr>
          <w:rFonts w:cs="Arial"/>
          <w:bCs/>
          <w:i/>
          <w:iCs/>
          <w:szCs w:val="24"/>
        </w:rPr>
      </w:pPr>
      <w:r w:rsidRPr="00D04B91">
        <w:rPr>
          <w:rFonts w:cs="Arial"/>
          <w:bCs/>
          <w:i/>
          <w:iCs/>
          <w:szCs w:val="24"/>
        </w:rPr>
        <w:t>төслийн талаар</w:t>
      </w:r>
    </w:p>
    <w:p w14:paraId="2012227B" w14:textId="77777777" w:rsidR="005B2C0D" w:rsidRPr="00D04B91" w:rsidRDefault="005B2C0D" w:rsidP="00FF75CB">
      <w:pPr>
        <w:spacing w:line="240" w:lineRule="auto"/>
        <w:ind w:firstLine="720"/>
        <w:rPr>
          <w:rFonts w:cs="Arial"/>
          <w:szCs w:val="24"/>
        </w:rPr>
      </w:pPr>
    </w:p>
    <w:p w14:paraId="68C997FD" w14:textId="77777777" w:rsidR="00E55231" w:rsidRPr="00D04B91" w:rsidRDefault="00E55231" w:rsidP="00E55231">
      <w:pPr>
        <w:ind w:firstLine="720"/>
        <w:rPr>
          <w:rFonts w:cs="Arial"/>
          <w:b/>
          <w:bCs/>
          <w:noProof/>
          <w:szCs w:val="24"/>
        </w:rPr>
      </w:pPr>
      <w:r w:rsidRPr="00D04B91">
        <w:rPr>
          <w:rFonts w:cs="Arial"/>
          <w:b/>
          <w:bCs/>
          <w:noProof/>
          <w:szCs w:val="24"/>
        </w:rPr>
        <w:t>Нэг.Хуулийн төсөл боловсруулах үндэслэл, шаардлага</w:t>
      </w:r>
    </w:p>
    <w:p w14:paraId="18D8B694" w14:textId="77777777" w:rsidR="00E55231" w:rsidRPr="00D04B91" w:rsidRDefault="00E55231" w:rsidP="00E55231">
      <w:pPr>
        <w:rPr>
          <w:rFonts w:cs="Arial"/>
          <w:noProof/>
          <w:szCs w:val="24"/>
        </w:rPr>
      </w:pPr>
    </w:p>
    <w:p w14:paraId="4CE1144C" w14:textId="77777777" w:rsidR="00E55231" w:rsidRPr="00D04B91" w:rsidRDefault="00E55231" w:rsidP="00E55231">
      <w:pPr>
        <w:ind w:firstLine="720"/>
        <w:rPr>
          <w:rFonts w:cs="Arial"/>
          <w:b/>
          <w:bCs/>
          <w:noProof/>
          <w:szCs w:val="24"/>
        </w:rPr>
      </w:pPr>
      <w:r w:rsidRPr="00D04B91">
        <w:rPr>
          <w:rFonts w:cs="Arial"/>
          <w:b/>
          <w:bCs/>
          <w:noProof/>
          <w:szCs w:val="24"/>
        </w:rPr>
        <w:t xml:space="preserve">1.1.Хууль зүйн үндэслэл, шаардлага </w:t>
      </w:r>
    </w:p>
    <w:p w14:paraId="71D47ADA" w14:textId="77777777" w:rsidR="00E55231" w:rsidRPr="00D04B91" w:rsidRDefault="00E55231" w:rsidP="00E55231">
      <w:pPr>
        <w:ind w:firstLine="720"/>
        <w:rPr>
          <w:rFonts w:cs="Arial"/>
          <w:b/>
          <w:bCs/>
          <w:noProof/>
          <w:szCs w:val="24"/>
        </w:rPr>
      </w:pPr>
    </w:p>
    <w:p w14:paraId="7F79F5D4" w14:textId="77777777" w:rsidR="00E55231" w:rsidRPr="00D04B91" w:rsidRDefault="00E55231" w:rsidP="00E55231">
      <w:pPr>
        <w:ind w:firstLine="720"/>
        <w:rPr>
          <w:rFonts w:cs="Arial"/>
          <w:noProof/>
          <w:szCs w:val="24"/>
        </w:rPr>
      </w:pPr>
      <w:r w:rsidRPr="00D04B91">
        <w:rPr>
          <w:rFonts w:cs="Arial"/>
          <w:noProof/>
          <w:szCs w:val="24"/>
        </w:rPr>
        <w:t>Монгол Улсын сөрөн тэсвэрлэх чадавхийг нэмэгдүүлэхэд дотооддоо галт зэвсэг сум үйлдвэрлэх, угсрах, тэдгээрийн дэвшилтэд технологийг нутагшуулах, боловсон хүчний нөөцийг бүрдүүлэх, Монгол Улс үйлдвэрлэгч орон болох хэрэгцээ шаардлага үүсэж байна.</w:t>
      </w:r>
    </w:p>
    <w:p w14:paraId="04D8B0CB" w14:textId="77777777" w:rsidR="00E55231" w:rsidRPr="00D04B91" w:rsidRDefault="00E55231" w:rsidP="00E55231">
      <w:pPr>
        <w:ind w:firstLine="720"/>
        <w:rPr>
          <w:rFonts w:cs="Arial"/>
          <w:noProof/>
          <w:szCs w:val="24"/>
        </w:rPr>
      </w:pPr>
    </w:p>
    <w:p w14:paraId="08030915" w14:textId="77777777" w:rsidR="00E55231" w:rsidRPr="00D04B91" w:rsidRDefault="00E55231" w:rsidP="00E55231">
      <w:pPr>
        <w:ind w:firstLine="720"/>
        <w:rPr>
          <w:rFonts w:cs="Arial"/>
          <w:b/>
          <w:bCs/>
          <w:noProof/>
          <w:szCs w:val="24"/>
        </w:rPr>
      </w:pPr>
      <w:r w:rsidRPr="00D04B91">
        <w:rPr>
          <w:rFonts w:cs="Arial"/>
          <w:b/>
          <w:bCs/>
          <w:noProof/>
          <w:szCs w:val="24"/>
        </w:rPr>
        <w:t>1.2.Практик шаардлага</w:t>
      </w:r>
    </w:p>
    <w:p w14:paraId="778019FB" w14:textId="77777777" w:rsidR="00E55231" w:rsidRPr="00D04B91" w:rsidRDefault="00E55231" w:rsidP="00E55231">
      <w:pPr>
        <w:ind w:firstLine="720"/>
        <w:rPr>
          <w:rFonts w:cs="Arial"/>
          <w:b/>
          <w:bCs/>
          <w:noProof/>
          <w:szCs w:val="24"/>
        </w:rPr>
      </w:pPr>
    </w:p>
    <w:p w14:paraId="0871AA99" w14:textId="77777777" w:rsidR="00E55231" w:rsidRPr="00D04B91" w:rsidRDefault="00E55231" w:rsidP="00E55231">
      <w:pPr>
        <w:ind w:firstLine="720"/>
        <w:rPr>
          <w:rFonts w:cs="Arial"/>
          <w:noProof/>
          <w:szCs w:val="24"/>
        </w:rPr>
      </w:pPr>
      <w:r w:rsidRPr="00D04B91">
        <w:rPr>
          <w:rFonts w:cs="Arial"/>
          <w:noProof/>
          <w:szCs w:val="24"/>
        </w:rPr>
        <w:t xml:space="preserve">Монгол Улсын үндэсний аюулгүй байдал, батлан хамгаалах иргэний чадавхи, орон нутгийн хамгаалалт, тэдгээрийн сургалт, бэлтгэлийн үйл ажиллагаанд зориулсан иргэний галт зэвсэг, сумны хүртээмжийг нэмэгдүүлэх, Зөвшөөрлийн тухай хууль болон салбарын суурь хуулийн хоорондын зөрчлийг арилгах, уялдааг сайжруулах практик шаардлага байна. </w:t>
      </w:r>
    </w:p>
    <w:p w14:paraId="0BAA5F2A" w14:textId="77777777" w:rsidR="00E55231" w:rsidRPr="00D04B91" w:rsidRDefault="00E55231" w:rsidP="00E55231">
      <w:pPr>
        <w:ind w:firstLine="720"/>
        <w:rPr>
          <w:rFonts w:eastAsia="Calibri" w:cs="Arial"/>
          <w:noProof/>
          <w:szCs w:val="24"/>
        </w:rPr>
      </w:pPr>
    </w:p>
    <w:p w14:paraId="22118ED9" w14:textId="77777777" w:rsidR="00E55231" w:rsidRPr="00D04B91" w:rsidRDefault="00E55231" w:rsidP="00E55231">
      <w:pPr>
        <w:ind w:firstLine="720"/>
        <w:rPr>
          <w:rFonts w:cs="Arial"/>
          <w:b/>
          <w:bCs/>
          <w:noProof/>
          <w:szCs w:val="24"/>
        </w:rPr>
      </w:pPr>
      <w:r w:rsidRPr="00D04B91">
        <w:rPr>
          <w:rFonts w:cs="Arial"/>
          <w:b/>
          <w:bCs/>
          <w:noProof/>
          <w:szCs w:val="24"/>
        </w:rPr>
        <w:t>Хоёр.Хуулийн төслийн бүтэц, зохицуулалт, хамрах хүрээ</w:t>
      </w:r>
    </w:p>
    <w:p w14:paraId="16A1E457" w14:textId="77777777" w:rsidR="00E55231" w:rsidRPr="00D04B91" w:rsidRDefault="00E55231" w:rsidP="00E55231">
      <w:pPr>
        <w:ind w:firstLine="720"/>
        <w:rPr>
          <w:rFonts w:cs="Arial"/>
          <w:b/>
          <w:bCs/>
          <w:noProof/>
          <w:szCs w:val="24"/>
        </w:rPr>
      </w:pPr>
    </w:p>
    <w:p w14:paraId="5BC19859" w14:textId="77777777" w:rsidR="00E55231" w:rsidRPr="00D04B91" w:rsidRDefault="00E55231" w:rsidP="00E55231">
      <w:pPr>
        <w:ind w:firstLine="720"/>
        <w:rPr>
          <w:rFonts w:cs="Arial"/>
          <w:noProof/>
          <w:szCs w:val="24"/>
        </w:rPr>
      </w:pPr>
      <w:r w:rsidRPr="00D04B91">
        <w:rPr>
          <w:rFonts w:cs="Arial"/>
          <w:noProof/>
          <w:szCs w:val="24"/>
        </w:rPr>
        <w:t xml:space="preserve">Зөвшөөрлийн тухай хуулийн нэмэлт өөрчлөлт нь хоёр зүйлтэй Монгол Улсад галт зэвсэг үйлдвэрлэх, угсрах үйл ажиллагааг хуулийн тодорхой зохицуулалттай болгох, Зөвшөөрлийн тухай хууль болон Галт зэвсгийн тухай хууль хоорондын зөрчлийг арилган, нийцлийг хангах зорилготой бөгөөд </w:t>
      </w:r>
      <w:r w:rsidRPr="00D04B91">
        <w:rPr>
          <w:rFonts w:cs="Arial"/>
          <w:szCs w:val="24"/>
        </w:rPr>
        <w:t>Зөвшөөрлийн тухай хуулийн 8 дугаар зүйлийн 1 дэх хэсгийн 11.1, 11.2 дахь заалтыг дараах байдлаар өөрчилнө</w:t>
      </w:r>
      <w:r w:rsidRPr="00D04B91">
        <w:rPr>
          <w:rFonts w:cs="Arial"/>
          <w:noProof/>
          <w:szCs w:val="24"/>
        </w:rPr>
        <w:t xml:space="preserve">. </w:t>
      </w:r>
    </w:p>
    <w:p w14:paraId="2CFE77C2" w14:textId="77777777" w:rsidR="00E55231" w:rsidRPr="00D04B91" w:rsidRDefault="00E55231" w:rsidP="00E55231">
      <w:pPr>
        <w:ind w:firstLine="720"/>
        <w:rPr>
          <w:rFonts w:cs="Arial"/>
          <w:noProof/>
          <w:szCs w:val="24"/>
        </w:rPr>
      </w:pPr>
      <w:r w:rsidRPr="00D04B91">
        <w:rPr>
          <w:rFonts w:cs="Arial"/>
          <w:noProof/>
          <w:szCs w:val="24"/>
        </w:rPr>
        <w:tab/>
      </w:r>
    </w:p>
    <w:tbl>
      <w:tblPr>
        <w:tblW w:w="958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53"/>
        <w:gridCol w:w="3543"/>
        <w:gridCol w:w="2791"/>
      </w:tblGrid>
      <w:tr w:rsidR="00E55231" w:rsidRPr="00D04B91" w14:paraId="750714AB" w14:textId="77777777" w:rsidTr="00FD6D44">
        <w:tc>
          <w:tcPr>
            <w:tcW w:w="3253" w:type="dxa"/>
            <w:tcBorders>
              <w:top w:val="outset" w:sz="6" w:space="0" w:color="auto"/>
              <w:left w:val="outset" w:sz="6" w:space="0" w:color="auto"/>
              <w:bottom w:val="single" w:sz="6" w:space="0" w:color="auto"/>
              <w:right w:val="single" w:sz="6" w:space="0" w:color="auto"/>
            </w:tcBorders>
          </w:tcPr>
          <w:p w14:paraId="394516C2" w14:textId="77777777" w:rsidR="00E55231" w:rsidRPr="00D04B91" w:rsidRDefault="00E55231" w:rsidP="00FD6D44">
            <w:pPr>
              <w:jc w:val="center"/>
              <w:rPr>
                <w:rFonts w:eastAsia="Times New Roman" w:cs="Arial"/>
                <w:color w:val="333333"/>
                <w:szCs w:val="24"/>
              </w:rPr>
            </w:pPr>
            <w:r w:rsidRPr="00D04B91">
              <w:rPr>
                <w:rFonts w:eastAsia="Times New Roman" w:cs="Arial"/>
                <w:color w:val="333333"/>
                <w:szCs w:val="24"/>
              </w:rPr>
              <w:t>Тусгай зөвшөөрөл</w:t>
            </w:r>
          </w:p>
          <w:p w14:paraId="2A86DCAE" w14:textId="77777777" w:rsidR="00E55231" w:rsidRPr="00D04B91" w:rsidRDefault="00E55231" w:rsidP="00FD6D44">
            <w:pPr>
              <w:jc w:val="center"/>
              <w:rPr>
                <w:rFonts w:eastAsia="Times New Roman" w:cs="Arial"/>
                <w:color w:val="333333"/>
                <w:szCs w:val="24"/>
              </w:rPr>
            </w:pPr>
            <w:r w:rsidRPr="00D04B91">
              <w:rPr>
                <w:rFonts w:eastAsia="Times New Roman" w:cs="Arial"/>
                <w:color w:val="333333"/>
                <w:szCs w:val="24"/>
              </w:rPr>
              <w:t>(одоо хүчин төгөлдөр үйлчилж буй Зөвшөөрлийн хуулийн зохицуулалт)</w:t>
            </w:r>
          </w:p>
        </w:tc>
        <w:tc>
          <w:tcPr>
            <w:tcW w:w="3543" w:type="dxa"/>
            <w:tcBorders>
              <w:top w:val="outset" w:sz="6" w:space="0" w:color="auto"/>
              <w:left w:val="outset" w:sz="6" w:space="0" w:color="auto"/>
              <w:bottom w:val="single" w:sz="6" w:space="0" w:color="auto"/>
              <w:right w:val="single" w:sz="6" w:space="0" w:color="auto"/>
            </w:tcBorders>
            <w:tcMar>
              <w:top w:w="75" w:type="dxa"/>
              <w:left w:w="75" w:type="dxa"/>
              <w:bottom w:w="75" w:type="dxa"/>
              <w:right w:w="75" w:type="dxa"/>
            </w:tcMar>
            <w:vAlign w:val="center"/>
            <w:hideMark/>
          </w:tcPr>
          <w:p w14:paraId="12CCCEA3" w14:textId="77777777" w:rsidR="00E55231" w:rsidRPr="00D04B91" w:rsidRDefault="00E55231" w:rsidP="00FD6D44">
            <w:pPr>
              <w:jc w:val="center"/>
              <w:rPr>
                <w:rFonts w:eastAsia="Times New Roman" w:cs="Arial"/>
                <w:color w:val="333333"/>
                <w:szCs w:val="24"/>
              </w:rPr>
            </w:pPr>
            <w:r w:rsidRPr="00D04B91">
              <w:rPr>
                <w:rFonts w:eastAsia="Times New Roman" w:cs="Arial"/>
                <w:color w:val="333333"/>
                <w:szCs w:val="24"/>
              </w:rPr>
              <w:t>Тусгай зөвшөөрөл</w:t>
            </w:r>
          </w:p>
          <w:p w14:paraId="56200B5F" w14:textId="77777777" w:rsidR="00E55231" w:rsidRPr="00D04B91" w:rsidRDefault="00E55231" w:rsidP="00FD6D44">
            <w:pPr>
              <w:jc w:val="center"/>
              <w:rPr>
                <w:rFonts w:eastAsia="Times New Roman" w:cs="Arial"/>
                <w:color w:val="333333"/>
                <w:szCs w:val="24"/>
              </w:rPr>
            </w:pPr>
            <w:r w:rsidRPr="00D04B91">
              <w:rPr>
                <w:rFonts w:eastAsia="Times New Roman" w:cs="Arial"/>
                <w:color w:val="333333"/>
                <w:szCs w:val="24"/>
              </w:rPr>
              <w:t>(Зөвшөөрлийн тухай хуульд өөрчлөлт оруулах тухай хуулийн төслөөр хийгдэх өөрчлөлт)</w:t>
            </w:r>
          </w:p>
        </w:tc>
        <w:tc>
          <w:tcPr>
            <w:tcW w:w="2791" w:type="dxa"/>
            <w:tcBorders>
              <w:top w:val="outset" w:sz="6" w:space="0" w:color="auto"/>
              <w:left w:val="single" w:sz="6" w:space="0" w:color="auto"/>
              <w:bottom w:val="single" w:sz="6" w:space="0" w:color="auto"/>
              <w:right w:val="outset" w:sz="6" w:space="0" w:color="auto"/>
            </w:tcBorders>
            <w:tcMar>
              <w:top w:w="75" w:type="dxa"/>
              <w:left w:w="75" w:type="dxa"/>
              <w:bottom w:w="75" w:type="dxa"/>
              <w:right w:w="75" w:type="dxa"/>
            </w:tcMar>
            <w:vAlign w:val="center"/>
            <w:hideMark/>
          </w:tcPr>
          <w:p w14:paraId="26611248" w14:textId="77777777" w:rsidR="00E55231" w:rsidRPr="00D04B91" w:rsidRDefault="00E55231" w:rsidP="00FD6D44">
            <w:pPr>
              <w:rPr>
                <w:rFonts w:eastAsia="Times New Roman" w:cs="Arial"/>
                <w:color w:val="333333"/>
                <w:szCs w:val="24"/>
              </w:rPr>
            </w:pPr>
            <w:r w:rsidRPr="00D04B91">
              <w:rPr>
                <w:rFonts w:eastAsia="Times New Roman" w:cs="Arial"/>
                <w:color w:val="333333"/>
                <w:szCs w:val="24"/>
              </w:rPr>
              <w:t>Тусгай зөвшөөрөл олгох эрх бүхий этгээд</w:t>
            </w:r>
          </w:p>
        </w:tc>
      </w:tr>
      <w:tr w:rsidR="00E55231" w:rsidRPr="00D04B91" w14:paraId="75B61A28" w14:textId="77777777" w:rsidTr="00FD6D44">
        <w:tc>
          <w:tcPr>
            <w:tcW w:w="3253" w:type="dxa"/>
            <w:tcBorders>
              <w:top w:val="outset" w:sz="6" w:space="0" w:color="auto"/>
              <w:left w:val="outset" w:sz="6" w:space="0" w:color="auto"/>
              <w:bottom w:val="single" w:sz="6" w:space="0" w:color="auto"/>
              <w:right w:val="single" w:sz="6" w:space="0" w:color="auto"/>
            </w:tcBorders>
          </w:tcPr>
          <w:p w14:paraId="2BB0CD06" w14:textId="67B14EAE" w:rsidR="00E55231" w:rsidRPr="00D04B91" w:rsidRDefault="00E55231" w:rsidP="00FD6D44">
            <w:pPr>
              <w:rPr>
                <w:rFonts w:eastAsia="Times New Roman" w:cs="Arial"/>
                <w:color w:val="333333"/>
                <w:szCs w:val="24"/>
              </w:rPr>
            </w:pPr>
            <w:r w:rsidRPr="00D04B91">
              <w:rPr>
                <w:rFonts w:eastAsia="Times New Roman" w:cs="Arial"/>
                <w:color w:val="333333"/>
                <w:szCs w:val="24"/>
              </w:rPr>
              <w:t xml:space="preserve">11.1.иргэний болон харуул хамгаалалтын зориулалттай галт зэвсэг, сум, дагалдах хэрэгсэл, </w:t>
            </w:r>
            <w:r w:rsidRPr="00D04B91">
              <w:rPr>
                <w:rFonts w:cs="Arial"/>
                <w:szCs w:val="24"/>
              </w:rPr>
              <w:t>галт зэвсэгтэй адилтгах хэрэгслийг и</w:t>
            </w:r>
            <w:r w:rsidR="00E01183">
              <w:rPr>
                <w:rFonts w:cs="Arial"/>
                <w:szCs w:val="24"/>
              </w:rPr>
              <w:t>м</w:t>
            </w:r>
            <w:r w:rsidRPr="00D04B91">
              <w:rPr>
                <w:rFonts w:cs="Arial"/>
                <w:szCs w:val="24"/>
              </w:rPr>
              <w:t>портлох, худалдах</w:t>
            </w:r>
            <w:r w:rsidRPr="00D04B91">
              <w:rPr>
                <w:rFonts w:eastAsia="Times New Roman" w:cs="Arial"/>
                <w:color w:val="333333"/>
                <w:szCs w:val="24"/>
              </w:rPr>
              <w:t xml:space="preserve"> </w:t>
            </w:r>
          </w:p>
        </w:tc>
        <w:tc>
          <w:tcPr>
            <w:tcW w:w="3543" w:type="dxa"/>
            <w:tcBorders>
              <w:top w:val="outset" w:sz="6" w:space="0" w:color="auto"/>
              <w:left w:val="outset" w:sz="6" w:space="0" w:color="auto"/>
              <w:bottom w:val="single" w:sz="6" w:space="0" w:color="auto"/>
              <w:right w:val="single" w:sz="6" w:space="0" w:color="auto"/>
            </w:tcBorders>
            <w:tcMar>
              <w:top w:w="75" w:type="dxa"/>
              <w:left w:w="75" w:type="dxa"/>
              <w:bottom w:w="75" w:type="dxa"/>
              <w:right w:w="75" w:type="dxa"/>
            </w:tcMar>
            <w:vAlign w:val="center"/>
          </w:tcPr>
          <w:p w14:paraId="38B61E0C" w14:textId="0B1574EC" w:rsidR="00E55231" w:rsidRPr="00D04B91" w:rsidRDefault="00E55231" w:rsidP="00FD6D44">
            <w:pPr>
              <w:rPr>
                <w:rFonts w:eastAsia="Times New Roman" w:cs="Arial"/>
                <w:color w:val="333333"/>
                <w:szCs w:val="24"/>
              </w:rPr>
            </w:pPr>
            <w:r w:rsidRPr="00D04B91">
              <w:rPr>
                <w:rFonts w:eastAsia="Times New Roman" w:cs="Arial"/>
                <w:color w:val="333333"/>
                <w:szCs w:val="24"/>
              </w:rPr>
              <w:t>11.1.</w:t>
            </w:r>
            <w:r w:rsidRPr="00D04B91">
              <w:rPr>
                <w:rFonts w:cs="Arial"/>
                <w:szCs w:val="24"/>
              </w:rPr>
              <w:t xml:space="preserve"> ан агнах, спорт сургалт, үзмэр цуглуулгын болон харуул хамгаалалтын зорилгоор галт зэвсэг, галт зэвсгийн үндсэн эд анги, дагалдах хэрэгсэл, галт хэрэгсэл, тусгай хэрэгсэл, галт зэвсэгтэй адилтгах </w:t>
            </w:r>
            <w:r w:rsidRPr="00D04B91">
              <w:rPr>
                <w:rFonts w:cs="Arial"/>
                <w:szCs w:val="24"/>
              </w:rPr>
              <w:lastRenderedPageBreak/>
              <w:t>хэрэгслийг и</w:t>
            </w:r>
            <w:r w:rsidR="00E01183">
              <w:rPr>
                <w:rFonts w:cs="Arial"/>
                <w:szCs w:val="24"/>
              </w:rPr>
              <w:t>м</w:t>
            </w:r>
            <w:r w:rsidRPr="00D04B91">
              <w:rPr>
                <w:rFonts w:cs="Arial"/>
                <w:szCs w:val="24"/>
              </w:rPr>
              <w:t>портлох, худалдах</w:t>
            </w:r>
          </w:p>
        </w:tc>
        <w:tc>
          <w:tcPr>
            <w:tcW w:w="2791" w:type="dxa"/>
            <w:tcBorders>
              <w:top w:val="outset" w:sz="6" w:space="0" w:color="auto"/>
              <w:left w:val="single" w:sz="6" w:space="0" w:color="auto"/>
              <w:bottom w:val="single" w:sz="6" w:space="0" w:color="auto"/>
              <w:right w:val="outset" w:sz="6" w:space="0" w:color="auto"/>
            </w:tcBorders>
            <w:tcMar>
              <w:top w:w="75" w:type="dxa"/>
              <w:left w:w="75" w:type="dxa"/>
              <w:bottom w:w="75" w:type="dxa"/>
              <w:right w:w="75" w:type="dxa"/>
            </w:tcMar>
            <w:vAlign w:val="center"/>
          </w:tcPr>
          <w:p w14:paraId="3DAB750C" w14:textId="77777777" w:rsidR="00E55231" w:rsidRPr="00D04B91" w:rsidRDefault="00E55231" w:rsidP="00FD6D44">
            <w:pPr>
              <w:rPr>
                <w:rFonts w:eastAsia="Times New Roman" w:cs="Arial"/>
                <w:color w:val="333333"/>
                <w:szCs w:val="24"/>
              </w:rPr>
            </w:pPr>
            <w:r w:rsidRPr="00D04B91">
              <w:rPr>
                <w:rFonts w:eastAsia="Times New Roman" w:cs="Arial"/>
                <w:color w:val="333333"/>
                <w:szCs w:val="24"/>
              </w:rPr>
              <w:lastRenderedPageBreak/>
              <w:t>Хууль зүйн асуудал эрхэлсэн Засгийн газрын гишүүн</w:t>
            </w:r>
          </w:p>
        </w:tc>
      </w:tr>
      <w:tr w:rsidR="00E55231" w:rsidRPr="00D04B91" w14:paraId="4A5D7221" w14:textId="77777777" w:rsidTr="00FD6D44">
        <w:tc>
          <w:tcPr>
            <w:tcW w:w="3253" w:type="dxa"/>
            <w:tcBorders>
              <w:top w:val="single" w:sz="6" w:space="0" w:color="auto"/>
              <w:left w:val="outset" w:sz="6" w:space="0" w:color="auto"/>
              <w:bottom w:val="single" w:sz="6" w:space="0" w:color="auto"/>
              <w:right w:val="single" w:sz="6" w:space="0" w:color="auto"/>
            </w:tcBorders>
          </w:tcPr>
          <w:p w14:paraId="661677B3" w14:textId="77777777" w:rsidR="00E55231" w:rsidRPr="00D04B91" w:rsidRDefault="00E55231" w:rsidP="00FD6D44">
            <w:pPr>
              <w:rPr>
                <w:rFonts w:eastAsia="Times New Roman" w:cs="Arial"/>
                <w:color w:val="333333"/>
                <w:szCs w:val="24"/>
              </w:rPr>
            </w:pPr>
            <w:r w:rsidRPr="00D04B91">
              <w:rPr>
                <w:rFonts w:eastAsia="Times New Roman" w:cs="Arial"/>
                <w:color w:val="333333"/>
                <w:szCs w:val="24"/>
              </w:rPr>
              <w:t>11.2.сум үйлдвэрлэх, дахин цэнэглэх</w:t>
            </w:r>
          </w:p>
        </w:tc>
        <w:tc>
          <w:tcPr>
            <w:tcW w:w="3543" w:type="dxa"/>
            <w:tcBorders>
              <w:top w:val="single" w:sz="6" w:space="0" w:color="auto"/>
              <w:left w:val="outset" w:sz="6" w:space="0" w:color="auto"/>
              <w:bottom w:val="single" w:sz="6" w:space="0" w:color="auto"/>
              <w:right w:val="single" w:sz="6" w:space="0" w:color="auto"/>
            </w:tcBorders>
            <w:tcMar>
              <w:top w:w="75" w:type="dxa"/>
              <w:left w:w="75" w:type="dxa"/>
              <w:bottom w:w="75" w:type="dxa"/>
              <w:right w:w="75" w:type="dxa"/>
            </w:tcMar>
            <w:hideMark/>
          </w:tcPr>
          <w:p w14:paraId="06FB01F2" w14:textId="77777777" w:rsidR="00E55231" w:rsidRPr="00D04B91" w:rsidRDefault="00E55231" w:rsidP="00FD6D44">
            <w:pPr>
              <w:rPr>
                <w:rFonts w:eastAsia="Times New Roman" w:cs="Arial"/>
                <w:color w:val="333333"/>
                <w:szCs w:val="24"/>
              </w:rPr>
            </w:pPr>
            <w:r w:rsidRPr="00D04B91">
              <w:rPr>
                <w:rFonts w:eastAsia="Times New Roman" w:cs="Arial"/>
                <w:color w:val="333333"/>
                <w:szCs w:val="24"/>
              </w:rPr>
              <w:t>11.2.галт зэвсэг, сум үйлдвэрлэх, угсрах</w:t>
            </w:r>
          </w:p>
        </w:tc>
        <w:tc>
          <w:tcPr>
            <w:tcW w:w="2791" w:type="dxa"/>
            <w:tcBorders>
              <w:top w:val="single" w:sz="6" w:space="0" w:color="auto"/>
              <w:left w:val="single" w:sz="6" w:space="0" w:color="auto"/>
              <w:bottom w:val="single" w:sz="6" w:space="0" w:color="auto"/>
              <w:right w:val="outset" w:sz="6" w:space="0" w:color="auto"/>
            </w:tcBorders>
            <w:tcMar>
              <w:top w:w="75" w:type="dxa"/>
              <w:left w:w="75" w:type="dxa"/>
              <w:bottom w:w="75" w:type="dxa"/>
              <w:right w:w="75" w:type="dxa"/>
            </w:tcMar>
            <w:hideMark/>
          </w:tcPr>
          <w:p w14:paraId="66865450" w14:textId="77777777" w:rsidR="00E55231" w:rsidRPr="00D04B91" w:rsidRDefault="00E55231" w:rsidP="00FD6D44">
            <w:pPr>
              <w:rPr>
                <w:rFonts w:eastAsia="Times New Roman" w:cs="Arial"/>
                <w:color w:val="333333"/>
                <w:szCs w:val="24"/>
              </w:rPr>
            </w:pPr>
            <w:r w:rsidRPr="00D04B91">
              <w:rPr>
                <w:rFonts w:eastAsia="Times New Roman" w:cs="Arial"/>
                <w:color w:val="333333"/>
                <w:szCs w:val="24"/>
              </w:rPr>
              <w:t>Хууль зүйн асуудал эрхэлсэн Засгийн газрын гишүүн</w:t>
            </w:r>
          </w:p>
        </w:tc>
      </w:tr>
    </w:tbl>
    <w:p w14:paraId="7DF0397F" w14:textId="77777777" w:rsidR="00E55231" w:rsidRPr="00D04B91" w:rsidRDefault="00E55231" w:rsidP="00E55231">
      <w:pPr>
        <w:ind w:firstLine="720"/>
        <w:rPr>
          <w:rFonts w:cs="Arial"/>
          <w:noProof/>
          <w:szCs w:val="24"/>
        </w:rPr>
      </w:pPr>
    </w:p>
    <w:p w14:paraId="03DAB15B" w14:textId="77777777" w:rsidR="00E55231" w:rsidRPr="00D04B91" w:rsidRDefault="00E55231" w:rsidP="00E55231">
      <w:pPr>
        <w:ind w:firstLine="720"/>
        <w:contextualSpacing/>
        <w:rPr>
          <w:rFonts w:eastAsia="Times New Roman" w:cs="Arial"/>
          <w:noProof/>
          <w:szCs w:val="24"/>
        </w:rPr>
      </w:pPr>
    </w:p>
    <w:p w14:paraId="77D2990B" w14:textId="77777777" w:rsidR="00E55231" w:rsidRPr="00D04B91" w:rsidRDefault="00E55231" w:rsidP="00E55231">
      <w:pPr>
        <w:ind w:firstLine="720"/>
        <w:rPr>
          <w:rFonts w:cs="Arial"/>
          <w:b/>
          <w:bCs/>
          <w:noProof/>
          <w:szCs w:val="24"/>
        </w:rPr>
      </w:pPr>
      <w:r w:rsidRPr="00D04B91">
        <w:rPr>
          <w:rFonts w:cs="Arial"/>
          <w:b/>
          <w:bCs/>
          <w:noProof/>
          <w:szCs w:val="24"/>
        </w:rPr>
        <w:t>Гурав.Хуулийн төсөл батлагдсаны дараа үүсч болох эдийн засаг, нийгэм, хууль зүйн үр дагавар, тэдгээрийг шийдвэрлэх талаар:</w:t>
      </w:r>
    </w:p>
    <w:p w14:paraId="6546228C" w14:textId="77777777" w:rsidR="00E55231" w:rsidRPr="00D04B91" w:rsidRDefault="00E55231" w:rsidP="00E55231">
      <w:pPr>
        <w:ind w:firstLine="720"/>
        <w:rPr>
          <w:rFonts w:cs="Arial"/>
          <w:b/>
          <w:bCs/>
          <w:noProof/>
          <w:szCs w:val="24"/>
        </w:rPr>
      </w:pPr>
    </w:p>
    <w:p w14:paraId="4EA82FBF" w14:textId="77777777" w:rsidR="00E55231" w:rsidRPr="00D04B91" w:rsidRDefault="00E55231" w:rsidP="00E55231">
      <w:pPr>
        <w:ind w:firstLine="720"/>
        <w:rPr>
          <w:rStyle w:val="FontStyle12"/>
          <w:noProof/>
        </w:rPr>
      </w:pPr>
      <w:r w:rsidRPr="00D04B91">
        <w:rPr>
          <w:rStyle w:val="FontStyle12"/>
          <w:noProof/>
        </w:rPr>
        <w:t>Зөвшөөрлийн тухай хуульд нэмэлт, өөрчлөлт оруулах тухай хуулийн төсөл батлагдсанаар Монгол Улсад үйлдвэрлэлийн шинэ чиглэл хөгжих бөгөөд Үндэсний сөрөн тэсвэрлэх чадавхи, батлан хамгаалах үйл ажиллагаанд хувь нэмэр оруулах төдийгүй хууль хоорондын зөрчил арилж, иргэнд үүсэх хүнд суртал, ойлгомжгүй, тодорхойгүй нөхцөл байдал үгүй болно.</w:t>
      </w:r>
    </w:p>
    <w:p w14:paraId="253C98E4" w14:textId="77777777" w:rsidR="00E55231" w:rsidRPr="00D04B91" w:rsidRDefault="00E55231" w:rsidP="00E55231">
      <w:pPr>
        <w:ind w:firstLine="720"/>
        <w:rPr>
          <w:rFonts w:cs="Arial"/>
          <w:bCs/>
          <w:noProof/>
          <w:szCs w:val="24"/>
        </w:rPr>
      </w:pPr>
    </w:p>
    <w:p w14:paraId="20C228E3" w14:textId="38FFD928" w:rsidR="00E55231" w:rsidRPr="00D04B91" w:rsidRDefault="00E55231" w:rsidP="00E55231">
      <w:pPr>
        <w:ind w:firstLine="720"/>
        <w:rPr>
          <w:rFonts w:cs="Arial"/>
          <w:noProof/>
          <w:szCs w:val="24"/>
        </w:rPr>
      </w:pPr>
      <w:r w:rsidRPr="00D04B91">
        <w:rPr>
          <w:rFonts w:cs="Arial"/>
          <w:bCs/>
          <w:noProof/>
          <w:szCs w:val="24"/>
        </w:rPr>
        <w:t>Хуулийн төсөл нь Н.Учрал нарын гишүүдийн өргөн барьсан Зөвшөөрлийн тухай болон дагаж өргөн барьсан хуулийн төслийн зарим хэсгийг сайжруулах, дутуу орхигдсон зарим зохицуулалтыг нөхнө.</w:t>
      </w:r>
    </w:p>
    <w:p w14:paraId="53A75FEF" w14:textId="77777777" w:rsidR="00E55231" w:rsidRPr="00D04B91" w:rsidRDefault="00E55231" w:rsidP="00E55231">
      <w:pPr>
        <w:rPr>
          <w:rFonts w:cs="Arial"/>
          <w:noProof/>
          <w:szCs w:val="24"/>
        </w:rPr>
      </w:pPr>
    </w:p>
    <w:p w14:paraId="41525287" w14:textId="77777777" w:rsidR="00846085" w:rsidRPr="00D04B91" w:rsidRDefault="00846085" w:rsidP="00846085">
      <w:pPr>
        <w:rPr>
          <w:rFonts w:cs="Arial"/>
          <w:b/>
          <w:bCs/>
          <w:noProof/>
          <w:szCs w:val="24"/>
        </w:rPr>
      </w:pPr>
    </w:p>
    <w:p w14:paraId="6E23A6F9" w14:textId="77777777" w:rsidR="00E55231" w:rsidRPr="00D04B91" w:rsidRDefault="00E55231" w:rsidP="00FF75CB">
      <w:pPr>
        <w:spacing w:line="240" w:lineRule="auto"/>
        <w:contextualSpacing/>
        <w:jc w:val="center"/>
        <w:rPr>
          <w:rFonts w:cs="Arial"/>
          <w:noProof/>
          <w:szCs w:val="24"/>
        </w:rPr>
      </w:pPr>
    </w:p>
    <w:p w14:paraId="4EF3619C" w14:textId="17F35C2B" w:rsidR="005B2C0D" w:rsidRPr="00D04B91" w:rsidRDefault="00834E98" w:rsidP="00FF75CB">
      <w:pPr>
        <w:spacing w:line="240" w:lineRule="auto"/>
        <w:contextualSpacing/>
        <w:jc w:val="center"/>
        <w:rPr>
          <w:rFonts w:cs="Arial"/>
          <w:szCs w:val="24"/>
          <w:lang w:val="en-US"/>
        </w:rPr>
      </w:pPr>
      <w:r w:rsidRPr="00D04B91">
        <w:rPr>
          <w:rFonts w:cs="Arial"/>
          <w:szCs w:val="24"/>
        </w:rPr>
        <w:t>---о0о---</w:t>
      </w:r>
    </w:p>
    <w:p w14:paraId="61B97859" w14:textId="77777777" w:rsidR="005B2C0D" w:rsidRPr="00D04B91" w:rsidRDefault="005B2C0D" w:rsidP="00FF75CB">
      <w:pPr>
        <w:spacing w:line="240" w:lineRule="auto"/>
        <w:contextualSpacing/>
        <w:jc w:val="center"/>
        <w:rPr>
          <w:rFonts w:cs="Arial"/>
          <w:szCs w:val="24"/>
        </w:rPr>
      </w:pPr>
    </w:p>
    <w:p w14:paraId="6E1AA827" w14:textId="77777777" w:rsidR="001009F5" w:rsidRPr="00D04B91" w:rsidRDefault="001009F5" w:rsidP="00FF75CB">
      <w:pPr>
        <w:spacing w:line="240" w:lineRule="auto"/>
        <w:contextualSpacing/>
        <w:jc w:val="center"/>
        <w:rPr>
          <w:rFonts w:cs="Arial"/>
          <w:szCs w:val="24"/>
        </w:rPr>
      </w:pPr>
    </w:p>
    <w:sectPr w:rsidR="001009F5" w:rsidRPr="00D04B91" w:rsidSect="0002253A">
      <w:pgSz w:w="11909" w:h="16834" w:code="9"/>
      <w:pgMar w:top="1134" w:right="851"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Mon">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FCF"/>
    <w:multiLevelType w:val="hybridMultilevel"/>
    <w:tmpl w:val="851CFFB8"/>
    <w:lvl w:ilvl="0" w:tplc="4B66E84E">
      <w:start w:val="3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8552C3"/>
    <w:multiLevelType w:val="hybridMultilevel"/>
    <w:tmpl w:val="70641DAC"/>
    <w:lvl w:ilvl="0" w:tplc="016AA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760523">
    <w:abstractNumId w:val="1"/>
  </w:num>
  <w:num w:numId="2" w16cid:durableId="10751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35"/>
    <w:rsid w:val="00005FBA"/>
    <w:rsid w:val="0002253A"/>
    <w:rsid w:val="00042A98"/>
    <w:rsid w:val="00060B4C"/>
    <w:rsid w:val="00081465"/>
    <w:rsid w:val="000A6530"/>
    <w:rsid w:val="000B0FB9"/>
    <w:rsid w:val="000B32D5"/>
    <w:rsid w:val="000B5913"/>
    <w:rsid w:val="000C4AEB"/>
    <w:rsid w:val="000D2EC1"/>
    <w:rsid w:val="000F531D"/>
    <w:rsid w:val="001009F5"/>
    <w:rsid w:val="00136404"/>
    <w:rsid w:val="00136F83"/>
    <w:rsid w:val="00144124"/>
    <w:rsid w:val="00157B9A"/>
    <w:rsid w:val="00171D2B"/>
    <w:rsid w:val="001C166B"/>
    <w:rsid w:val="001C3B22"/>
    <w:rsid w:val="00231B95"/>
    <w:rsid w:val="00245896"/>
    <w:rsid w:val="002542B8"/>
    <w:rsid w:val="002563A7"/>
    <w:rsid w:val="00257DFF"/>
    <w:rsid w:val="00275BBA"/>
    <w:rsid w:val="002B090C"/>
    <w:rsid w:val="002B25BB"/>
    <w:rsid w:val="002B5DE8"/>
    <w:rsid w:val="002C04CE"/>
    <w:rsid w:val="0030471E"/>
    <w:rsid w:val="00316201"/>
    <w:rsid w:val="00327EBF"/>
    <w:rsid w:val="003318CE"/>
    <w:rsid w:val="00332DE5"/>
    <w:rsid w:val="00356D35"/>
    <w:rsid w:val="003709D5"/>
    <w:rsid w:val="00370E7A"/>
    <w:rsid w:val="00392E11"/>
    <w:rsid w:val="003A406C"/>
    <w:rsid w:val="003D2460"/>
    <w:rsid w:val="003D7AB1"/>
    <w:rsid w:val="00404CD8"/>
    <w:rsid w:val="00411B8C"/>
    <w:rsid w:val="004132DC"/>
    <w:rsid w:val="004225A7"/>
    <w:rsid w:val="00422CCD"/>
    <w:rsid w:val="0042404B"/>
    <w:rsid w:val="004A6EC7"/>
    <w:rsid w:val="004C39E8"/>
    <w:rsid w:val="004C4AE5"/>
    <w:rsid w:val="004C75DA"/>
    <w:rsid w:val="004F050B"/>
    <w:rsid w:val="00500417"/>
    <w:rsid w:val="00514513"/>
    <w:rsid w:val="0051608B"/>
    <w:rsid w:val="005359E1"/>
    <w:rsid w:val="00563CA4"/>
    <w:rsid w:val="00571073"/>
    <w:rsid w:val="005B2C0D"/>
    <w:rsid w:val="005B4786"/>
    <w:rsid w:val="005F5574"/>
    <w:rsid w:val="00607CCF"/>
    <w:rsid w:val="00612B83"/>
    <w:rsid w:val="00614F6C"/>
    <w:rsid w:val="00627AF4"/>
    <w:rsid w:val="00646F38"/>
    <w:rsid w:val="006575EB"/>
    <w:rsid w:val="00660513"/>
    <w:rsid w:val="006A3F7B"/>
    <w:rsid w:val="006A7A65"/>
    <w:rsid w:val="006A7A9A"/>
    <w:rsid w:val="006B282C"/>
    <w:rsid w:val="00703B2D"/>
    <w:rsid w:val="00721767"/>
    <w:rsid w:val="00741618"/>
    <w:rsid w:val="00752CFE"/>
    <w:rsid w:val="0078474B"/>
    <w:rsid w:val="007F5B14"/>
    <w:rsid w:val="00825FD8"/>
    <w:rsid w:val="00834E98"/>
    <w:rsid w:val="00846085"/>
    <w:rsid w:val="00882FD9"/>
    <w:rsid w:val="008C7793"/>
    <w:rsid w:val="008D776B"/>
    <w:rsid w:val="008F1810"/>
    <w:rsid w:val="00905670"/>
    <w:rsid w:val="00967239"/>
    <w:rsid w:val="0098478C"/>
    <w:rsid w:val="00A04284"/>
    <w:rsid w:val="00A0640F"/>
    <w:rsid w:val="00A459DB"/>
    <w:rsid w:val="00A72D98"/>
    <w:rsid w:val="00A95493"/>
    <w:rsid w:val="00AC7D44"/>
    <w:rsid w:val="00AD22D3"/>
    <w:rsid w:val="00B15953"/>
    <w:rsid w:val="00B2439C"/>
    <w:rsid w:val="00B27DB0"/>
    <w:rsid w:val="00B51467"/>
    <w:rsid w:val="00B54884"/>
    <w:rsid w:val="00BA4BC3"/>
    <w:rsid w:val="00BC0C46"/>
    <w:rsid w:val="00BF3B13"/>
    <w:rsid w:val="00C00CCE"/>
    <w:rsid w:val="00C162F0"/>
    <w:rsid w:val="00C25EC5"/>
    <w:rsid w:val="00C26315"/>
    <w:rsid w:val="00C33570"/>
    <w:rsid w:val="00C8316C"/>
    <w:rsid w:val="00CB662A"/>
    <w:rsid w:val="00CE3593"/>
    <w:rsid w:val="00D04B91"/>
    <w:rsid w:val="00D461FD"/>
    <w:rsid w:val="00D52E30"/>
    <w:rsid w:val="00D551F6"/>
    <w:rsid w:val="00D567EC"/>
    <w:rsid w:val="00D6493E"/>
    <w:rsid w:val="00D70E69"/>
    <w:rsid w:val="00D846FF"/>
    <w:rsid w:val="00DC31F3"/>
    <w:rsid w:val="00E01183"/>
    <w:rsid w:val="00E05897"/>
    <w:rsid w:val="00E160ED"/>
    <w:rsid w:val="00E16308"/>
    <w:rsid w:val="00E16F31"/>
    <w:rsid w:val="00E20560"/>
    <w:rsid w:val="00E55231"/>
    <w:rsid w:val="00E56E06"/>
    <w:rsid w:val="00E95CB4"/>
    <w:rsid w:val="00EA3A36"/>
    <w:rsid w:val="00ED0042"/>
    <w:rsid w:val="00EE4C12"/>
    <w:rsid w:val="00EF07C0"/>
    <w:rsid w:val="00EF0808"/>
    <w:rsid w:val="00F3494C"/>
    <w:rsid w:val="00F94935"/>
    <w:rsid w:val="00FD1F0B"/>
    <w:rsid w:val="00FF1714"/>
    <w:rsid w:val="00FF303F"/>
    <w:rsid w:val="00FF75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F0C4"/>
  <w15:docId w15:val="{7894AB5C-09A3-4EF4-8628-F7D22B54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935"/>
    <w:pPr>
      <w:spacing w:after="0" w:line="276" w:lineRule="auto"/>
      <w:jc w:val="both"/>
    </w:pPr>
    <w:rPr>
      <w:rFonts w:ascii="Arial" w:hAnsi="Arial"/>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465"/>
    <w:pPr>
      <w:spacing w:before="100" w:beforeAutospacing="1" w:after="100" w:afterAutospacing="1" w:line="240" w:lineRule="auto"/>
      <w:jc w:val="left"/>
    </w:pPr>
    <w:rPr>
      <w:rFonts w:ascii="Times New Roman" w:eastAsia="Times New Roman" w:hAnsi="Times New Roman" w:cs="Times New Roman"/>
      <w:szCs w:val="24"/>
      <w:lang w:val="en-US"/>
    </w:rPr>
  </w:style>
  <w:style w:type="table" w:styleId="TableGrid">
    <w:name w:val="Table Grid"/>
    <w:basedOn w:val="TableNormal"/>
    <w:uiPriority w:val="39"/>
    <w:rsid w:val="00BA4BC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BC3"/>
    <w:pPr>
      <w:ind w:left="720"/>
      <w:contextualSpacing/>
    </w:pPr>
  </w:style>
  <w:style w:type="paragraph" w:styleId="Subtitle">
    <w:name w:val="Subtitle"/>
    <w:basedOn w:val="Normal"/>
    <w:link w:val="SubtitleChar"/>
    <w:qFormat/>
    <w:rsid w:val="00741618"/>
    <w:pPr>
      <w:spacing w:line="240" w:lineRule="auto"/>
      <w:jc w:val="right"/>
    </w:pPr>
    <w:rPr>
      <w:rFonts w:ascii="Arial Mon" w:eastAsia="Times New Roman" w:hAnsi="Arial Mon" w:cs="Times New Roman"/>
      <w:szCs w:val="20"/>
      <w:lang w:val="en-US"/>
    </w:rPr>
  </w:style>
  <w:style w:type="character" w:customStyle="1" w:styleId="SubtitleChar">
    <w:name w:val="Subtitle Char"/>
    <w:basedOn w:val="DefaultParagraphFont"/>
    <w:link w:val="Subtitle"/>
    <w:rsid w:val="00741618"/>
    <w:rPr>
      <w:rFonts w:ascii="Arial Mon" w:eastAsia="Times New Roman" w:hAnsi="Arial Mon" w:cs="Times New Roman"/>
      <w:szCs w:val="20"/>
    </w:rPr>
  </w:style>
  <w:style w:type="character" w:customStyle="1" w:styleId="FontStyle12">
    <w:name w:val="Font Style12"/>
    <w:basedOn w:val="DefaultParagraphFont"/>
    <w:uiPriority w:val="99"/>
    <w:rsid w:val="00E5523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10857">
      <w:bodyDiv w:val="1"/>
      <w:marLeft w:val="0"/>
      <w:marRight w:val="0"/>
      <w:marTop w:val="0"/>
      <w:marBottom w:val="0"/>
      <w:divBdr>
        <w:top w:val="none" w:sz="0" w:space="0" w:color="auto"/>
        <w:left w:val="none" w:sz="0" w:space="0" w:color="auto"/>
        <w:bottom w:val="none" w:sz="0" w:space="0" w:color="auto"/>
        <w:right w:val="none" w:sz="0" w:space="0" w:color="auto"/>
      </w:divBdr>
    </w:div>
    <w:div w:id="214689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E03C6-866F-F049-9E03-087FB74B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Tuya Tserennadmid</cp:lastModifiedBy>
  <cp:revision>5</cp:revision>
  <cp:lastPrinted>2024-11-20T05:38:00Z</cp:lastPrinted>
  <dcterms:created xsi:type="dcterms:W3CDTF">2024-12-20T05:35:00Z</dcterms:created>
  <dcterms:modified xsi:type="dcterms:W3CDTF">2026-02-16T05:41:00Z</dcterms:modified>
</cp:coreProperties>
</file>