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55268" w:rsidRPr="007B74DF" w:rsidRDefault="00C55268" w:rsidP="00C55268">
      <w:pPr>
        <w:suppressAutoHyphens/>
        <w:spacing w:after="0" w:line="360" w:lineRule="auto"/>
        <w:jc w:val="center"/>
        <w:rPr>
          <w:rFonts w:ascii="Arial" w:eastAsia="Droid Sans" w:hAnsi="Arial" w:cs="Arial"/>
          <w:b/>
          <w:bCs/>
          <w:kern w:val="2"/>
          <w:szCs w:val="24"/>
          <w:lang w:val="mn-MN" w:eastAsia="zh-CN" w:bidi="hi-IN"/>
        </w:rPr>
      </w:pPr>
      <w:r w:rsidRPr="007B74DF">
        <w:rPr>
          <w:rFonts w:ascii="Arial" w:hAnsi="Arial" w:cs="Arial"/>
          <w:b/>
          <w:szCs w:val="24"/>
        </w:rPr>
        <w:t xml:space="preserve">МОНГОЛ УЛСЫН ИХ ХУРЛЫН ТУХАЙ ХУУЛЬД НЭМЭЛТ, </w:t>
      </w:r>
      <w:proofErr w:type="gramStart"/>
      <w:r w:rsidRPr="007B74DF">
        <w:rPr>
          <w:rFonts w:ascii="Arial" w:hAnsi="Arial" w:cs="Arial"/>
          <w:b/>
          <w:szCs w:val="24"/>
        </w:rPr>
        <w:t xml:space="preserve">ӨӨРЧЛӨЛТ  </w:t>
      </w:r>
      <w:r w:rsidRPr="007B74DF">
        <w:rPr>
          <w:rFonts w:ascii="Arial" w:hAnsi="Arial" w:cs="Arial"/>
          <w:b/>
          <w:szCs w:val="24"/>
          <w:lang w:val="mn-MN"/>
        </w:rPr>
        <w:t>ОРУУЛАХ</w:t>
      </w:r>
      <w:proofErr w:type="gramEnd"/>
      <w:r w:rsidRPr="007B74DF">
        <w:rPr>
          <w:rFonts w:ascii="Arial" w:hAnsi="Arial" w:cs="Arial"/>
          <w:b/>
          <w:szCs w:val="24"/>
          <w:lang w:val="mn-MN"/>
        </w:rPr>
        <w:t xml:space="preserve"> ТУХАЙ ХУУЛИЙН </w:t>
      </w:r>
      <w:r w:rsidRPr="007B74DF">
        <w:rPr>
          <w:rFonts w:ascii="Arial" w:eastAsia="Droid Sans" w:hAnsi="Arial" w:cs="Arial"/>
          <w:b/>
          <w:bCs/>
          <w:kern w:val="2"/>
          <w:szCs w:val="24"/>
          <w:lang w:val="mn-MN" w:eastAsia="zh-CN" w:bidi="hi-IN"/>
        </w:rPr>
        <w:t xml:space="preserve">ТӨСЛИЙН ҮР НӨЛӨӨНИЙ ҮНЭЛГЭЭ, ЗАРДЛЫН ТООЦООЛОЛ  </w:t>
      </w:r>
    </w:p>
    <w:p w:rsidR="00C55268" w:rsidRPr="007B74DF" w:rsidRDefault="00C55268" w:rsidP="00C55268">
      <w:pPr>
        <w:suppressAutoHyphens/>
        <w:spacing w:after="0" w:line="360" w:lineRule="auto"/>
        <w:rPr>
          <w:rFonts w:ascii="Arial" w:eastAsia="Droid Sans" w:hAnsi="Arial" w:cs="Arial"/>
          <w:bCs/>
          <w:kern w:val="2"/>
          <w:szCs w:val="24"/>
          <w:lang w:val="mn-MN" w:eastAsia="zh-CN" w:bidi="hi-IN"/>
        </w:rPr>
      </w:pPr>
    </w:p>
    <w:p w:rsidR="00C55268" w:rsidRPr="007B74DF" w:rsidRDefault="00C55268" w:rsidP="00C55268">
      <w:pPr>
        <w:suppressAutoHyphens/>
        <w:spacing w:after="0"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 xml:space="preserve">Засгийн газрын 2016 оны 59 дүгээр тогтоолоор батлагдсан Хууль тогтоомжийн төслийн үр нөлөөг үнэлэх аргачлалын хүрээнд дараах үе шатуудыг баримтлан ажиллах бөгөөд үнэлгээний шалгуур үзүүлэлтийг дараах байдлаар томьёолж болно. Үүнд: </w:t>
      </w:r>
    </w:p>
    <w:p w:rsidR="00C55268" w:rsidRPr="007B74DF" w:rsidRDefault="00C55268" w:rsidP="00C55268">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Зорилгод хүрэх байдал: Хуулийн төслийн зохицуулалтууд нь тулгамдаж буй асуудлыг шийдвэрлэж чадах эсэх; хуулийн төсөл боловсруулах үндэслэл шаардлагад нийцсэн эсэх; хуулийн төслөөр тавьсан зорилгод хүрч чадах эсэх;</w:t>
      </w:r>
    </w:p>
    <w:p w:rsidR="00C55268" w:rsidRPr="007B74DF" w:rsidRDefault="00C55268" w:rsidP="00C55268">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Практикт хэрэгжих боломж: Хуулийн төслийн зохицуулалтыг дагаж мөрдөх буюу хэрэгжүүлэх боломжтой эсэх; хэрэгжүүлэх субъект, ямар асуудал бэрхшээл учирч болох зэрэг нөхцөл байдлыг шалгах;</w:t>
      </w:r>
    </w:p>
    <w:p w:rsidR="00C55268" w:rsidRPr="007B74DF" w:rsidRDefault="00C55268" w:rsidP="00C55268">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Ойлгомжтой байдал: Хуулийг дагаж мөрдөхөд бэрхшээл учрах эсэх, хэрэгжүүлэх субъектуудын хувьд чиг үүрэгт хамаарах эсэх;</w:t>
      </w:r>
    </w:p>
    <w:p w:rsidR="00C55268" w:rsidRPr="007B74DF" w:rsidRDefault="00C55268" w:rsidP="00C55268">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 xml:space="preserve">Зардал: Хууль хэрэгжүүлэхтэй холбоотой төсвийн зардал, санхүүжүүлэх хэмжээг тогтоох шалгуур үзүүлэлтүүд тус тус хамаарна. </w:t>
      </w:r>
    </w:p>
    <w:p w:rsidR="00C55268" w:rsidRPr="007B74DF" w:rsidRDefault="00C55268" w:rsidP="00C55268">
      <w:pPr>
        <w:spacing w:line="360" w:lineRule="auto"/>
        <w:ind w:firstLine="720"/>
        <w:jc w:val="both"/>
        <w:rPr>
          <w:rFonts w:ascii="Arial" w:eastAsia="Droid Sans" w:hAnsi="Arial" w:cs="Arial"/>
          <w:b/>
          <w:kern w:val="2"/>
          <w:szCs w:val="24"/>
          <w:lang w:val="mn-MN" w:eastAsia="zh-CN" w:bidi="hi-IN"/>
        </w:rPr>
      </w:pPr>
      <w:r w:rsidRPr="007B74DF">
        <w:rPr>
          <w:rFonts w:ascii="Arial" w:eastAsia="Droid Sans" w:hAnsi="Arial" w:cs="Arial"/>
          <w:b/>
          <w:kern w:val="2"/>
          <w:szCs w:val="24"/>
          <w:lang w:val="mn-MN" w:eastAsia="zh-CN" w:bidi="hi-IN"/>
        </w:rPr>
        <w:t xml:space="preserve">Шалгуур үзүүлэлт 1. Зорилгод хүрэх байдал: </w:t>
      </w:r>
    </w:p>
    <w:p w:rsidR="00C55268" w:rsidRPr="007B74DF" w:rsidRDefault="00C55268" w:rsidP="00C55268">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Хуулийн төслийн зорилго нь</w:t>
      </w:r>
      <w:r w:rsidRPr="007B74DF">
        <w:rPr>
          <w:rFonts w:ascii="Arial" w:eastAsia="Droid Sans" w:hAnsi="Arial" w:cs="Arial"/>
          <w:b/>
          <w:kern w:val="2"/>
          <w:szCs w:val="24"/>
          <w:lang w:val="mn-MN" w:eastAsia="zh-CN" w:bidi="hi-IN"/>
        </w:rPr>
        <w:t xml:space="preserve"> </w:t>
      </w:r>
      <w:r w:rsidRPr="007B74DF">
        <w:rPr>
          <w:rFonts w:ascii="Arial" w:eastAsia="Droid Sans" w:hAnsi="Arial" w:cs="Arial"/>
          <w:bCs/>
          <w:kern w:val="2"/>
          <w:szCs w:val="24"/>
          <w:lang w:val="mn-MN" w:eastAsia="zh-CN" w:bidi="hi-IN"/>
        </w:rPr>
        <w:t>Монгол Улсын Их Хурлын тухай хуулийн 9 дүгээр зүйлд  “9.1.7.Улсын Их хуралд суудал авсан намын төлөөллийн төв байгууллагаас хувь тэнцүүлэн төлөөлөх аргаар сонгогдсон гишүүнийг эргүүлэн татах шийдвэр гаргасан.”</w:t>
      </w:r>
      <w:r w:rsidRPr="007B74DF">
        <w:rPr>
          <w:rFonts w:ascii="Arial" w:eastAsia="Droid Sans" w:hAnsi="Arial" w:cs="Arial"/>
          <w:bCs/>
          <w:kern w:val="2"/>
          <w:szCs w:val="24"/>
          <w:lang w:eastAsia="zh-CN" w:bidi="hi-IN"/>
        </w:rPr>
        <w:t xml:space="preserve"> </w:t>
      </w:r>
      <w:r w:rsidRPr="007B74DF">
        <w:rPr>
          <w:rFonts w:ascii="Arial" w:eastAsia="Droid Sans" w:hAnsi="Arial" w:cs="Arial"/>
          <w:bCs/>
          <w:kern w:val="2"/>
          <w:szCs w:val="24"/>
          <w:lang w:val="mn-MN" w:eastAsia="zh-CN" w:bidi="hi-IN"/>
        </w:rPr>
        <w:t xml:space="preserve">гэж нэмэлт, түүнтэй холбоотой бусад өөрчлөлт оруулах замаар жагсаалтаар сонгогдсон Улсын Их Хурлын гишүүнд хариуцлага тооцох, эргүүлэн татах боломж бүрдэнэ. Өнөөгийн байдлаар хэрэгжиж байгаа Монгол Улсын Их Хурлын тухай хуульд хувь тэнцүүлэн төлөөлөх аргаар сонгогдсон Улсын Их Хурлын гишүүний ёс зүйн хэм хэмжээ зөрчсөнтэй холбоотой хариуцлага тооцох зохицуулалт сул, дураар авирлах, төлөөлөн сонгогдсон улс төрийн намын бодлого, шийдвэрийг эсэргүүцэх, парламентын үйл ажиллагаанд оролцохгүй, гишүүний үүргээ </w:t>
      </w:r>
      <w:r w:rsidRPr="007B74DF">
        <w:rPr>
          <w:rFonts w:ascii="Arial" w:eastAsia="Droid Sans" w:hAnsi="Arial" w:cs="Arial"/>
          <w:bCs/>
          <w:kern w:val="2"/>
          <w:szCs w:val="24"/>
          <w:lang w:val="mn-MN" w:eastAsia="zh-CN" w:bidi="hi-IN"/>
        </w:rPr>
        <w:lastRenderedPageBreak/>
        <w:t>биелүүлэхгүй байх зэрэг сөрөг нөхцөл үүсэж, улс төрийн хариуцлага тооцох боломжгүйгээс парламентад итгэх иргэдийн итгэлийг сулруулж байна.</w:t>
      </w:r>
    </w:p>
    <w:p w:rsidR="00C55268" w:rsidRPr="007B74DF" w:rsidRDefault="00C55268" w:rsidP="00C55268">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Хуулийн төсөл батлагдсанаар Улс төрийн намын төлөөлөх төв байгууллагын шийдвэрээр Монгол Улсын Их Хуралын сонгуульд жагсаалтад нэр дэвшсэн хувь тэнцүүлэх аргаар  сонгогдсон Улсын Их Хурлын гишүүнд  тухайн улс төрийн нам хариуцлага тооцож, эргүүлэн татах санал гаргах эрхтэй байх талаар улс төрийн намын гишүүд, анхан болон дунд шатны байгууллагаас удаа дараа санал ирүүлж байгааг шийдвэрлэх эрх зүйн орчин бүрдэнэ.</w:t>
      </w:r>
    </w:p>
    <w:p w:rsidR="00C55268" w:rsidRPr="007B74DF" w:rsidRDefault="00C55268" w:rsidP="00C55268">
      <w:pPr>
        <w:spacing w:line="360" w:lineRule="auto"/>
        <w:jc w:val="right"/>
        <w:rPr>
          <w:rFonts w:ascii="Arial" w:eastAsia="Droid Sans" w:hAnsi="Arial" w:cs="Arial"/>
          <w:bCs/>
          <w:i/>
          <w:iCs/>
          <w:kern w:val="2"/>
          <w:szCs w:val="24"/>
          <w:lang w:val="mn-MN" w:eastAsia="zh-CN" w:bidi="hi-IN"/>
        </w:rPr>
      </w:pPr>
      <w:r w:rsidRPr="007B74DF">
        <w:rPr>
          <w:rFonts w:ascii="Arial" w:eastAsia="Droid Sans" w:hAnsi="Arial" w:cs="Arial"/>
          <w:bCs/>
          <w:i/>
          <w:iCs/>
          <w:kern w:val="2"/>
          <w:szCs w:val="24"/>
          <w:lang w:val="mn-MN" w:eastAsia="zh-CN" w:bidi="hi-IN"/>
        </w:rPr>
        <w:t>Нийгэм, соёлын хүрээнд үзүүлэх эерэг үр нөлөө:</w:t>
      </w:r>
    </w:p>
    <w:p w:rsidR="00C55268" w:rsidRPr="007B74DF" w:rsidRDefault="00C55268" w:rsidP="00C55268">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 xml:space="preserve">Хуулийн төсөл батлагдсанаар Үндсэн хуулийн холбогдох заалтыг зөрчихгүй, эдийн засаг, нийгэм улс төрийн ямар нэгэн сөрөг үр дагавар үүсэхгүй бөгөөд парламентад итгэх иргэдийн итгэл дээшлэх ач холбогдолтой болно.  </w:t>
      </w:r>
    </w:p>
    <w:p w:rsidR="00C55268" w:rsidRPr="007B74DF" w:rsidRDefault="00C55268" w:rsidP="00C55268">
      <w:pPr>
        <w:spacing w:line="360" w:lineRule="auto"/>
        <w:jc w:val="right"/>
        <w:rPr>
          <w:rFonts w:ascii="Arial" w:eastAsia="Droid Sans" w:hAnsi="Arial" w:cs="Arial"/>
          <w:bCs/>
          <w:i/>
          <w:iCs/>
          <w:kern w:val="2"/>
          <w:szCs w:val="24"/>
          <w:lang w:val="mn-MN" w:eastAsia="zh-CN" w:bidi="hi-IN"/>
        </w:rPr>
      </w:pPr>
      <w:r w:rsidRPr="007B74DF">
        <w:rPr>
          <w:rFonts w:ascii="Arial" w:eastAsia="Droid Sans" w:hAnsi="Arial" w:cs="Arial"/>
          <w:bCs/>
          <w:i/>
          <w:iCs/>
          <w:kern w:val="2"/>
          <w:szCs w:val="24"/>
          <w:lang w:val="mn-MN" w:eastAsia="zh-CN" w:bidi="hi-IN"/>
        </w:rPr>
        <w:t>Эдийн засагт үзүүлэх эерэг үр нөлөө:</w:t>
      </w:r>
    </w:p>
    <w:p w:rsidR="00C55268" w:rsidRPr="007B74DF" w:rsidRDefault="00C55268" w:rsidP="00C55268">
      <w:pPr>
        <w:spacing w:line="360" w:lineRule="auto"/>
        <w:ind w:firstLine="36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 xml:space="preserve">Хуулийн төсөлд Улсын Их Хурлын гишүүнээс эргүүлэн татахдаа тухайн улс төрийн намын төлөөлөх төв байгууллагаас гишүүнийг эргүүлэн татахаар санал гаргах эрхийг тусгаж, улс төрийн хариуцлага хүлээлгэх үндэслэл, журмыг нь илүү тодорхой болгохоор заасан байх тул ямар нэгэн эдийн засгийн үр дагавар үүсэхээргүй байна. </w:t>
      </w:r>
    </w:p>
    <w:p w:rsidR="00C55268" w:rsidRPr="007B74DF" w:rsidRDefault="00C55268" w:rsidP="00C55268">
      <w:pPr>
        <w:spacing w:line="360" w:lineRule="auto"/>
        <w:ind w:left="5040" w:firstLine="720"/>
        <w:rPr>
          <w:rFonts w:ascii="Arial" w:eastAsia="Droid Sans" w:hAnsi="Arial" w:cs="Arial"/>
          <w:bCs/>
          <w:i/>
          <w:iCs/>
          <w:kern w:val="2"/>
          <w:szCs w:val="24"/>
          <w:lang w:val="mn-MN" w:eastAsia="zh-CN" w:bidi="hi-IN"/>
        </w:rPr>
      </w:pPr>
      <w:r w:rsidRPr="007B74DF">
        <w:rPr>
          <w:rFonts w:ascii="Arial" w:eastAsia="Droid Sans" w:hAnsi="Arial" w:cs="Arial"/>
          <w:bCs/>
          <w:i/>
          <w:iCs/>
          <w:kern w:val="2"/>
          <w:szCs w:val="24"/>
          <w:lang w:val="mn-MN" w:eastAsia="zh-CN" w:bidi="hi-IN"/>
        </w:rPr>
        <w:t>Улс төрд үзүүлэх эерэг үр нөлөө:</w:t>
      </w:r>
    </w:p>
    <w:p w:rsidR="00C55268" w:rsidRPr="007B74DF" w:rsidRDefault="00C55268" w:rsidP="00C55268">
      <w:pPr>
        <w:pStyle w:val="ListParagraph"/>
        <w:numPr>
          <w:ilvl w:val="0"/>
          <w:numId w:val="1"/>
        </w:numPr>
        <w:spacing w:line="360" w:lineRule="auto"/>
        <w:jc w:val="both"/>
        <w:rPr>
          <w:rFonts w:ascii="Arial" w:eastAsia="Droid Sans" w:hAnsi="Arial" w:cs="Arial"/>
          <w:b/>
          <w:kern w:val="2"/>
          <w:szCs w:val="24"/>
          <w:lang w:val="mn-MN" w:eastAsia="zh-CN" w:bidi="hi-IN"/>
        </w:rPr>
      </w:pPr>
      <w:r w:rsidRPr="007B74DF">
        <w:rPr>
          <w:rFonts w:ascii="Arial" w:eastAsia="Droid Sans" w:hAnsi="Arial" w:cs="Arial"/>
          <w:bCs/>
          <w:kern w:val="2"/>
          <w:szCs w:val="24"/>
          <w:lang w:val="mn-MN" w:eastAsia="zh-CN" w:bidi="hi-IN"/>
        </w:rPr>
        <w:t>Улсын Их Хурлын сонгуульд хувь тэнцүүлэн төлөөлөх аргаар сонгогдсон буюу улс төрийн намын төлөөлөх төв байгууллагын шийдвэрээр Улсын Их Хурлын сонгуулийн нэр дэвшигчийн жагсаалтад бичигдэж, Улсын Их Хурлын гишүүн болсон намын гишүүнийг  эргүүлэн татах зохицуулалтыг тодорхой болгосноор Монгол Улсын Улсын Их Хурлын гишүүд хариуцлага тооцох тогтолцоо сайжирч, нийгэмд хариуцлагын  талаар соёл хандлага эерэг үр дагаврыг үзүүлэхээр байна.</w:t>
      </w:r>
    </w:p>
    <w:p w:rsidR="00C55268" w:rsidRDefault="00C55268" w:rsidP="00C55268">
      <w:pPr>
        <w:spacing w:line="360" w:lineRule="auto"/>
        <w:ind w:left="360"/>
        <w:jc w:val="both"/>
        <w:rPr>
          <w:rFonts w:ascii="Arial" w:eastAsia="Droid Sans" w:hAnsi="Arial" w:cs="Arial"/>
          <w:b/>
          <w:kern w:val="2"/>
          <w:szCs w:val="24"/>
          <w:lang w:val="mn-MN" w:eastAsia="zh-CN" w:bidi="hi-IN"/>
        </w:rPr>
      </w:pPr>
    </w:p>
    <w:p w:rsidR="00C55268" w:rsidRPr="007B74DF" w:rsidRDefault="00C55268" w:rsidP="00C55268">
      <w:pPr>
        <w:spacing w:line="360" w:lineRule="auto"/>
        <w:ind w:left="360" w:firstLine="360"/>
        <w:jc w:val="both"/>
        <w:rPr>
          <w:rFonts w:ascii="Arial" w:eastAsia="Droid Sans" w:hAnsi="Arial" w:cs="Arial"/>
          <w:b/>
          <w:kern w:val="2"/>
          <w:szCs w:val="24"/>
          <w:lang w:val="mn-MN" w:eastAsia="zh-CN" w:bidi="hi-IN"/>
        </w:rPr>
      </w:pPr>
      <w:r w:rsidRPr="007B74DF">
        <w:rPr>
          <w:rFonts w:ascii="Arial" w:eastAsia="Droid Sans" w:hAnsi="Arial" w:cs="Arial"/>
          <w:b/>
          <w:kern w:val="2"/>
          <w:szCs w:val="24"/>
          <w:lang w:val="mn-MN" w:eastAsia="zh-CN" w:bidi="hi-IN"/>
        </w:rPr>
        <w:lastRenderedPageBreak/>
        <w:t>Шалгуур үзүүлэлт 2. Практикт хэрэгжих боломж:</w:t>
      </w:r>
    </w:p>
    <w:p w:rsidR="00C55268" w:rsidRPr="007B74DF" w:rsidRDefault="00C55268" w:rsidP="00C55268">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 xml:space="preserve">Хуулийн төслийн үзэл баримтлал, хуулийн төсөлд улс төрийн намын жагсаалтаар сонгогдсон Улсын Их Хурлын гишүүнийг эргүүлэн татах саналыг тухайн намын төлөөллийн төв байгууллага Улсын Их Хуралд гаргаж шийдвэрлүүлэхээр заасан нь практикт хэрэгжих боломжтой бөгөөд үүнтэй холбоотойгоор хууль санаачлагч нь тус хуулийн төслийг дагалдуулан Улс төрийн намын тухай хуулийн 7 дугаар зүйлд нэмэлт оруулах, Монголын Улсын Их Хурлын сонгуулийн тухай хуулийн 77 дугаар зүйлийн 1 дэх хэсэгт тус тус өөрчлөлт оруулах тухай хуулийн төслийг тус тус боловсруулсан бөгөөд энэ нь Улсын Их Хурлын бүрэн эрхэд халдаагүй, тухайн улс төрийн намын төлөөллийн төв байгууллагын саналыг үндэслэн шийдвэрлэхээр зохицуулсан нь хэрэгжих боломжтой байна. </w:t>
      </w:r>
    </w:p>
    <w:p w:rsidR="00C55268" w:rsidRPr="007B74DF" w:rsidRDefault="00C55268" w:rsidP="00C55268">
      <w:pPr>
        <w:spacing w:line="360" w:lineRule="auto"/>
        <w:ind w:firstLine="720"/>
        <w:jc w:val="both"/>
        <w:rPr>
          <w:rFonts w:ascii="Arial" w:eastAsia="Droid Sans" w:hAnsi="Arial" w:cs="Arial"/>
          <w:b/>
          <w:kern w:val="2"/>
          <w:szCs w:val="24"/>
          <w:lang w:val="mn-MN" w:eastAsia="zh-CN" w:bidi="hi-IN"/>
        </w:rPr>
      </w:pPr>
      <w:r w:rsidRPr="007B74DF">
        <w:rPr>
          <w:rFonts w:ascii="Arial" w:eastAsia="Droid Sans" w:hAnsi="Arial" w:cs="Arial"/>
          <w:b/>
          <w:kern w:val="2"/>
          <w:szCs w:val="24"/>
          <w:lang w:val="mn-MN" w:eastAsia="zh-CN" w:bidi="hi-IN"/>
        </w:rPr>
        <w:t>Шалгуур үзүүлэлт 3. Ойлгомжтой байдал:</w:t>
      </w:r>
    </w:p>
    <w:p w:rsidR="00C55268" w:rsidRPr="007B74DF" w:rsidRDefault="00C55268" w:rsidP="00C55268">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 xml:space="preserve">Аргачлалын 4.7 дахь хэсэгт “Ойлгомжтой байдлыг шалгах” гэсэн шалгах хэрэгслийн хүрээнд хуулийн төслийн зохицуулалт тухайн хуулийг хэрэгжүүлэх, хэрэглэх этгээдэд ойлгомжтой томьёологдсон эсэхийг шалгаж тогтоохоор тусгасан. </w:t>
      </w:r>
    </w:p>
    <w:p w:rsidR="00C55268" w:rsidRPr="007B74DF" w:rsidRDefault="00C55268" w:rsidP="00C55268">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Аргачлалын 4.7.1. тухайн хуулийн төсөлд хамаарах этгээдүүдээс санал авч, хуулийн төсөл, түүний зохицуулалтыг нэг мөр ойлгож, хэрэгжүүлэх боломжтой байгаа эсэх:</w:t>
      </w:r>
    </w:p>
    <w:p w:rsidR="00C55268" w:rsidRPr="007B74DF" w:rsidRDefault="00C55268" w:rsidP="00C55268">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 xml:space="preserve">Аргачлалын 4.7.2. хуулийн төслийг боловсруулахдаа Хууль тогтоомжийн тухай хууль, “Хууль тогтоомжийн төсөл боловсруулах аргачлал”-ыг баримталсан эсэх: </w:t>
      </w:r>
    </w:p>
    <w:p w:rsidR="00C55268" w:rsidRPr="007B74DF" w:rsidRDefault="00C55268" w:rsidP="00C55268">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 xml:space="preserve">Тухайн хууль, тогтоомж болон аргачлалын дагуу хуулийн төслийг боловсруулсан. </w:t>
      </w:r>
    </w:p>
    <w:p w:rsidR="00C55268" w:rsidRPr="007B74DF" w:rsidRDefault="00C55268" w:rsidP="00C55268">
      <w:pPr>
        <w:spacing w:line="360" w:lineRule="auto"/>
        <w:ind w:firstLine="720"/>
        <w:jc w:val="both"/>
        <w:rPr>
          <w:rFonts w:ascii="Arial" w:eastAsia="Droid Sans" w:hAnsi="Arial" w:cs="Arial"/>
          <w:b/>
          <w:kern w:val="2"/>
          <w:szCs w:val="24"/>
          <w:lang w:val="mn-MN" w:eastAsia="zh-CN" w:bidi="hi-IN"/>
        </w:rPr>
      </w:pPr>
      <w:r w:rsidRPr="007B74DF">
        <w:rPr>
          <w:rFonts w:ascii="Arial" w:eastAsia="Droid Sans" w:hAnsi="Arial" w:cs="Arial"/>
          <w:b/>
          <w:kern w:val="2"/>
          <w:szCs w:val="24"/>
          <w:lang w:val="mn-MN" w:eastAsia="zh-CN" w:bidi="hi-IN"/>
        </w:rPr>
        <w:t xml:space="preserve">Шалгуур үзүүлэлт 4. Зардал: </w:t>
      </w:r>
    </w:p>
    <w:p w:rsidR="00C55268" w:rsidRDefault="00C55268" w:rsidP="00C55268">
      <w:pPr>
        <w:suppressAutoHyphens/>
        <w:spacing w:after="0" w:line="360" w:lineRule="auto"/>
        <w:jc w:val="both"/>
        <w:rPr>
          <w:rFonts w:ascii="Arial" w:eastAsia="Droid Sans" w:hAnsi="Arial" w:cs="Arial"/>
          <w:bCs/>
          <w:kern w:val="2"/>
          <w:szCs w:val="24"/>
          <w:lang w:val="mn-MN" w:eastAsia="zh-CN" w:bidi="hi-IN"/>
        </w:rPr>
      </w:pPr>
      <w:r w:rsidRPr="007B74DF">
        <w:rPr>
          <w:rFonts w:ascii="Arial" w:eastAsia="Droid Sans" w:hAnsi="Arial" w:cs="Arial"/>
          <w:b/>
          <w:kern w:val="2"/>
          <w:szCs w:val="24"/>
          <w:lang w:val="mn-MN" w:eastAsia="zh-CN" w:bidi="hi-IN"/>
        </w:rPr>
        <w:tab/>
      </w:r>
      <w:r w:rsidRPr="007B74DF">
        <w:rPr>
          <w:rFonts w:ascii="Arial" w:eastAsia="Droid Sans" w:hAnsi="Arial" w:cs="Arial"/>
          <w:bCs/>
          <w:kern w:val="2"/>
          <w:szCs w:val="24"/>
          <w:lang w:val="mn-MN" w:eastAsia="zh-CN" w:bidi="hi-IN"/>
        </w:rPr>
        <w:t xml:space="preserve">Хуулийн төсөл батлагдсанаар түүнийг хэрэгжүүлэхтэй холбоотой төсвийн зардал, санхүүжүүлэх нэмэлт зардал зэрэг байхгүй бөгөөд жагсаалтаар сонгогдсон Улсын Их Хурлын гишүүнийг эргүүлэн татах шийдвэрийг Улсын Их Хурал шийдсэн </w:t>
      </w:r>
      <w:r w:rsidRPr="007B74DF">
        <w:rPr>
          <w:rFonts w:ascii="Arial" w:eastAsia="Droid Sans" w:hAnsi="Arial" w:cs="Arial"/>
          <w:bCs/>
          <w:kern w:val="2"/>
          <w:szCs w:val="24"/>
          <w:lang w:val="mn-MN" w:eastAsia="zh-CN" w:bidi="hi-IN"/>
        </w:rPr>
        <w:lastRenderedPageBreak/>
        <w:t>тохиолдолд Улсын Их Хурлын гишүүнийг нөхөн томилогдоход гарах зардлыг харах шаардлагатай.</w:t>
      </w:r>
      <w:r>
        <w:rPr>
          <w:rFonts w:ascii="Arial" w:eastAsia="Droid Sans" w:hAnsi="Arial" w:cs="Arial"/>
          <w:bCs/>
          <w:kern w:val="2"/>
          <w:szCs w:val="24"/>
          <w:lang w:val="mn-MN" w:eastAsia="zh-CN" w:bidi="hi-IN"/>
        </w:rPr>
        <w:t xml:space="preserve"> </w:t>
      </w:r>
    </w:p>
    <w:p w:rsidR="00C55268" w:rsidRDefault="00C55268" w:rsidP="00C55268">
      <w:pPr>
        <w:suppressAutoHyphens/>
        <w:spacing w:after="0" w:line="360" w:lineRule="auto"/>
        <w:jc w:val="both"/>
        <w:rPr>
          <w:rFonts w:ascii="Arial" w:eastAsia="Droid Sans" w:hAnsi="Arial" w:cs="Arial"/>
          <w:bCs/>
          <w:kern w:val="2"/>
          <w:szCs w:val="24"/>
          <w:lang w:val="mn-MN" w:eastAsia="zh-CN" w:bidi="hi-IN"/>
        </w:rPr>
      </w:pPr>
    </w:p>
    <w:p w:rsidR="00C55268" w:rsidRPr="007B74DF" w:rsidRDefault="00C55268" w:rsidP="00C55268">
      <w:pPr>
        <w:suppressAutoHyphens/>
        <w:spacing w:after="0" w:line="360" w:lineRule="auto"/>
        <w:ind w:firstLine="360"/>
        <w:jc w:val="both"/>
        <w:rPr>
          <w:rFonts w:ascii="Arial" w:hAnsi="Arial" w:cs="Arial"/>
          <w:b/>
          <w:bCs/>
          <w:szCs w:val="24"/>
          <w:lang w:val="mn-MN"/>
        </w:rPr>
      </w:pPr>
      <w:r w:rsidRPr="007B74DF">
        <w:rPr>
          <w:rFonts w:ascii="Arial" w:hAnsi="Arial" w:cs="Arial"/>
          <w:b/>
          <w:bCs/>
          <w:szCs w:val="24"/>
          <w:lang w:val="mn-MN"/>
        </w:rPr>
        <w:t xml:space="preserve">Хууль тогтоомжийг хэрэгжүүлэхтэй холбогдон гарах зардлын тооцоог хийх аргачлалын дагуу тооцсон байдал: </w:t>
      </w:r>
    </w:p>
    <w:p w:rsidR="00C55268" w:rsidRPr="007B74DF" w:rsidRDefault="00C55268" w:rsidP="00C55268">
      <w:pPr>
        <w:pStyle w:val="ListParagraph"/>
        <w:numPr>
          <w:ilvl w:val="0"/>
          <w:numId w:val="2"/>
        </w:numPr>
        <w:rPr>
          <w:rFonts w:ascii="Arial" w:hAnsi="Arial" w:cs="Arial"/>
          <w:szCs w:val="24"/>
          <w:lang w:val="mn-MN"/>
        </w:rPr>
      </w:pPr>
      <w:r w:rsidRPr="007B74DF">
        <w:rPr>
          <w:rFonts w:ascii="Arial" w:hAnsi="Arial" w:cs="Arial"/>
          <w:szCs w:val="24"/>
          <w:lang w:val="mn-MN"/>
        </w:rPr>
        <w:t>Хуулийн этгээдийн зардал</w:t>
      </w:r>
    </w:p>
    <w:tbl>
      <w:tblPr>
        <w:tblW w:w="9356" w:type="dxa"/>
        <w:tblInd w:w="-5" w:type="dxa"/>
        <w:tblLook w:val="04A0" w:firstRow="1" w:lastRow="0" w:firstColumn="1" w:lastColumn="0" w:noHBand="0" w:noVBand="1"/>
      </w:tblPr>
      <w:tblGrid>
        <w:gridCol w:w="2357"/>
        <w:gridCol w:w="1718"/>
        <w:gridCol w:w="3725"/>
        <w:gridCol w:w="1556"/>
      </w:tblGrid>
      <w:tr w:rsidR="00C55268" w:rsidRPr="007B74DF" w:rsidTr="00B35A02">
        <w:trPr>
          <w:trHeight w:val="552"/>
        </w:trPr>
        <w:tc>
          <w:tcPr>
            <w:tcW w:w="2410" w:type="dxa"/>
            <w:tcBorders>
              <w:top w:val="single" w:sz="4" w:space="0" w:color="auto"/>
              <w:left w:val="single" w:sz="4" w:space="0" w:color="auto"/>
              <w:bottom w:val="single" w:sz="4" w:space="0" w:color="auto"/>
              <w:right w:val="single" w:sz="4" w:space="0" w:color="auto"/>
            </w:tcBorders>
            <w:vAlign w:val="center"/>
            <w:hideMark/>
          </w:tcPr>
          <w:p w:rsidR="00C55268" w:rsidRPr="007B74DF" w:rsidRDefault="00C55268" w:rsidP="00B35A02">
            <w:pPr>
              <w:spacing w:after="0" w:line="240" w:lineRule="auto"/>
              <w:jc w:val="center"/>
              <w:rPr>
                <w:rFonts w:ascii="Arial" w:eastAsia="Times New Roman" w:hAnsi="Arial" w:cs="Arial"/>
                <w:color w:val="000000"/>
                <w:szCs w:val="24"/>
                <w:lang w:val="mn-MN" w:eastAsia="zh-CN" w:bidi="mn-Mong-CN"/>
              </w:rPr>
            </w:pPr>
            <w:r w:rsidRPr="007B74DF">
              <w:rPr>
                <w:rFonts w:ascii="Arial" w:eastAsia="Times New Roman" w:hAnsi="Arial" w:cs="Arial"/>
                <w:color w:val="000000"/>
                <w:szCs w:val="24"/>
                <w:lang w:val="mn-MN" w:eastAsia="zh-CN" w:bidi="mn-Mong-CN"/>
              </w:rPr>
              <w:t>Зардлын нэр</w:t>
            </w:r>
          </w:p>
        </w:tc>
        <w:tc>
          <w:tcPr>
            <w:tcW w:w="1559" w:type="dxa"/>
            <w:tcBorders>
              <w:top w:val="single" w:sz="4" w:space="0" w:color="auto"/>
              <w:left w:val="nil"/>
              <w:bottom w:val="single" w:sz="4" w:space="0" w:color="auto"/>
              <w:right w:val="single" w:sz="4" w:space="0" w:color="auto"/>
            </w:tcBorders>
            <w:vAlign w:val="center"/>
            <w:hideMark/>
          </w:tcPr>
          <w:p w:rsidR="00C55268" w:rsidRPr="007B74DF" w:rsidRDefault="00C55268" w:rsidP="00B35A02">
            <w:pPr>
              <w:spacing w:after="0" w:line="240" w:lineRule="auto"/>
              <w:jc w:val="center"/>
              <w:rPr>
                <w:rFonts w:ascii="Arial" w:eastAsia="Times New Roman" w:hAnsi="Arial" w:cs="Arial"/>
                <w:color w:val="000000"/>
                <w:szCs w:val="24"/>
                <w:lang w:val="mn-MN" w:eastAsia="zh-CN" w:bidi="mn-Mong-CN"/>
              </w:rPr>
            </w:pPr>
            <w:r w:rsidRPr="007B74DF">
              <w:rPr>
                <w:rFonts w:ascii="Arial" w:eastAsia="Times New Roman" w:hAnsi="Arial" w:cs="Arial"/>
                <w:color w:val="000000"/>
                <w:szCs w:val="24"/>
                <w:lang w:val="mn-MN" w:eastAsia="zh-CN" w:bidi="mn-Mong-CN"/>
              </w:rPr>
              <w:t>Үйл ажиллагааны чиглэл</w:t>
            </w:r>
          </w:p>
        </w:tc>
        <w:tc>
          <w:tcPr>
            <w:tcW w:w="3828" w:type="dxa"/>
            <w:tcBorders>
              <w:top w:val="single" w:sz="4" w:space="0" w:color="auto"/>
              <w:left w:val="nil"/>
              <w:bottom w:val="single" w:sz="4" w:space="0" w:color="auto"/>
              <w:right w:val="single" w:sz="4" w:space="0" w:color="auto"/>
            </w:tcBorders>
            <w:vAlign w:val="center"/>
            <w:hideMark/>
          </w:tcPr>
          <w:p w:rsidR="00C55268" w:rsidRPr="007B74DF" w:rsidRDefault="00C55268" w:rsidP="00B35A02">
            <w:pPr>
              <w:spacing w:after="0" w:line="240" w:lineRule="auto"/>
              <w:jc w:val="center"/>
              <w:rPr>
                <w:rFonts w:ascii="Arial" w:eastAsia="Times New Roman" w:hAnsi="Arial" w:cs="Arial"/>
                <w:color w:val="000000"/>
                <w:szCs w:val="24"/>
                <w:lang w:val="mn-MN" w:eastAsia="zh-CN" w:bidi="mn-Mong-CN"/>
              </w:rPr>
            </w:pPr>
            <w:r w:rsidRPr="007B74DF">
              <w:rPr>
                <w:rFonts w:ascii="Arial" w:eastAsia="Times New Roman" w:hAnsi="Arial" w:cs="Arial"/>
                <w:color w:val="000000"/>
                <w:szCs w:val="24"/>
                <w:lang w:val="mn-MN" w:eastAsia="zh-CN" w:bidi="mn-Mong-CN"/>
              </w:rPr>
              <w:t>Хуулийн өөрчлөлт хэрэгжсэний дараах зардлын өөрчлөлт</w:t>
            </w:r>
          </w:p>
        </w:tc>
        <w:tc>
          <w:tcPr>
            <w:tcW w:w="1559" w:type="dxa"/>
            <w:tcBorders>
              <w:top w:val="single" w:sz="4" w:space="0" w:color="auto"/>
              <w:left w:val="nil"/>
              <w:bottom w:val="single" w:sz="4" w:space="0" w:color="auto"/>
              <w:right w:val="single" w:sz="4" w:space="0" w:color="auto"/>
            </w:tcBorders>
            <w:vAlign w:val="center"/>
            <w:hideMark/>
          </w:tcPr>
          <w:p w:rsidR="00C55268" w:rsidRPr="007B74DF" w:rsidRDefault="00C55268" w:rsidP="00B35A02">
            <w:pPr>
              <w:spacing w:after="0" w:line="240" w:lineRule="auto"/>
              <w:jc w:val="center"/>
              <w:rPr>
                <w:rFonts w:ascii="Arial" w:eastAsia="Times New Roman" w:hAnsi="Arial" w:cs="Arial"/>
                <w:color w:val="000000"/>
                <w:szCs w:val="24"/>
                <w:lang w:val="mn-MN" w:eastAsia="zh-CN" w:bidi="mn-Mong-CN"/>
              </w:rPr>
            </w:pPr>
            <w:r w:rsidRPr="007B74DF">
              <w:rPr>
                <w:rFonts w:ascii="Arial" w:eastAsia="Times New Roman" w:hAnsi="Arial" w:cs="Arial"/>
                <w:color w:val="000000"/>
                <w:szCs w:val="24"/>
                <w:lang w:val="mn-MN" w:eastAsia="zh-CN" w:bidi="mn-Mong-CN"/>
              </w:rPr>
              <w:t>Тайлбар</w:t>
            </w:r>
          </w:p>
        </w:tc>
      </w:tr>
      <w:tr w:rsidR="00C55268" w:rsidRPr="007B74DF" w:rsidTr="00B35A02">
        <w:trPr>
          <w:trHeight w:val="552"/>
        </w:trPr>
        <w:tc>
          <w:tcPr>
            <w:tcW w:w="2410" w:type="dxa"/>
            <w:tcBorders>
              <w:top w:val="single" w:sz="4" w:space="0" w:color="auto"/>
              <w:left w:val="single" w:sz="4" w:space="0" w:color="auto"/>
              <w:bottom w:val="single" w:sz="4" w:space="0" w:color="auto"/>
              <w:right w:val="single" w:sz="4" w:space="0" w:color="auto"/>
            </w:tcBorders>
            <w:vAlign w:val="center"/>
          </w:tcPr>
          <w:p w:rsidR="00C55268" w:rsidRPr="007B74DF" w:rsidRDefault="00C55268" w:rsidP="00B35A02">
            <w:pPr>
              <w:spacing w:after="0" w:line="240" w:lineRule="auto"/>
              <w:jc w:val="center"/>
              <w:rPr>
                <w:rFonts w:ascii="Arial" w:eastAsia="Times New Roman" w:hAnsi="Arial" w:cs="Arial"/>
                <w:color w:val="000000"/>
                <w:szCs w:val="24"/>
                <w:lang w:val="mn-MN" w:eastAsia="zh-CN" w:bidi="mn-Mong-CN"/>
              </w:rPr>
            </w:pPr>
            <w:r w:rsidRPr="007B74DF">
              <w:rPr>
                <w:rFonts w:ascii="Arial" w:eastAsia="Times New Roman" w:hAnsi="Arial" w:cs="Arial"/>
                <w:color w:val="000000"/>
                <w:szCs w:val="24"/>
                <w:lang w:val="mn-MN" w:eastAsia="zh-CN" w:bidi="mn-Mong-CN"/>
              </w:rPr>
              <w:t xml:space="preserve">Нөхөн сонгууль явуулахад гарах зардал </w:t>
            </w:r>
          </w:p>
        </w:tc>
        <w:tc>
          <w:tcPr>
            <w:tcW w:w="1559" w:type="dxa"/>
            <w:tcBorders>
              <w:top w:val="single" w:sz="4" w:space="0" w:color="auto"/>
              <w:left w:val="nil"/>
              <w:bottom w:val="single" w:sz="4" w:space="0" w:color="auto"/>
              <w:right w:val="single" w:sz="4" w:space="0" w:color="auto"/>
            </w:tcBorders>
            <w:vAlign w:val="center"/>
          </w:tcPr>
          <w:p w:rsidR="00C55268" w:rsidRPr="007B74DF" w:rsidRDefault="00C55268" w:rsidP="00B35A02">
            <w:pPr>
              <w:spacing w:after="0" w:line="240" w:lineRule="auto"/>
              <w:jc w:val="center"/>
              <w:rPr>
                <w:rFonts w:ascii="Arial" w:eastAsia="Times New Roman" w:hAnsi="Arial" w:cs="Arial"/>
                <w:color w:val="000000"/>
                <w:szCs w:val="24"/>
                <w:lang w:val="mn-MN" w:eastAsia="zh-CN" w:bidi="mn-Mong-CN"/>
              </w:rPr>
            </w:pPr>
            <w:r w:rsidRPr="007B74DF">
              <w:rPr>
                <w:rFonts w:ascii="Arial" w:eastAsia="Times New Roman" w:hAnsi="Arial" w:cs="Arial"/>
                <w:color w:val="000000"/>
                <w:szCs w:val="24"/>
                <w:lang w:val="mn-MN" w:eastAsia="zh-CN" w:bidi="mn-Mong-CN"/>
              </w:rPr>
              <w:t xml:space="preserve">Сонгуулийн ерөнхий хороо </w:t>
            </w:r>
          </w:p>
        </w:tc>
        <w:tc>
          <w:tcPr>
            <w:tcW w:w="3828" w:type="dxa"/>
            <w:tcBorders>
              <w:top w:val="single" w:sz="4" w:space="0" w:color="auto"/>
              <w:left w:val="nil"/>
              <w:bottom w:val="single" w:sz="4" w:space="0" w:color="auto"/>
              <w:right w:val="single" w:sz="4" w:space="0" w:color="auto"/>
            </w:tcBorders>
            <w:vAlign w:val="center"/>
          </w:tcPr>
          <w:p w:rsidR="00C55268" w:rsidRPr="007B74DF" w:rsidRDefault="00C55268" w:rsidP="00B35A02">
            <w:pPr>
              <w:spacing w:after="0" w:line="240" w:lineRule="auto"/>
              <w:jc w:val="center"/>
              <w:rPr>
                <w:rFonts w:ascii="Arial" w:eastAsia="Times New Roman" w:hAnsi="Arial" w:cs="Arial"/>
                <w:color w:val="000000"/>
                <w:szCs w:val="24"/>
                <w:lang w:val="mn-MN" w:eastAsia="zh-CN" w:bidi="mn-Mong-CN"/>
              </w:rPr>
            </w:pPr>
            <w:r w:rsidRPr="007B74DF">
              <w:rPr>
                <w:rFonts w:ascii="Arial" w:eastAsia="Times New Roman" w:hAnsi="Arial" w:cs="Arial"/>
                <w:color w:val="000000"/>
                <w:szCs w:val="24"/>
                <w:lang w:val="mn-MN" w:eastAsia="zh-CN" w:bidi="mn-Mong-CN"/>
              </w:rPr>
              <w:t>77.1.Энэ хуулийн 4.3.2-т заасан жагсаалтаар нэр дэвшиж сонгогдсон Улсын Их Хурлын гишүүний орон гарсан бол тухайн нам, эвслийн төлөөллийн байгууллагаас санал болгосон нэр дэвшигчийг Улсын Их Хурлын гишүүнээр сонгогдсонд тооцсон тухай шийдвэрийг Сонгуулийн ерөнхий хороо орон гарснаас хойш 14 хоногийн дотор гаргаж, Улсын Их Хуралд өргөн мэдүүлнэ.”</w:t>
            </w:r>
          </w:p>
        </w:tc>
        <w:tc>
          <w:tcPr>
            <w:tcW w:w="1559" w:type="dxa"/>
            <w:tcBorders>
              <w:top w:val="single" w:sz="4" w:space="0" w:color="auto"/>
              <w:left w:val="nil"/>
              <w:bottom w:val="single" w:sz="4" w:space="0" w:color="auto"/>
              <w:right w:val="single" w:sz="4" w:space="0" w:color="auto"/>
            </w:tcBorders>
            <w:vAlign w:val="center"/>
          </w:tcPr>
          <w:p w:rsidR="00C55268" w:rsidRPr="007B74DF" w:rsidRDefault="00C55268" w:rsidP="00B35A02">
            <w:pPr>
              <w:spacing w:after="0" w:line="240" w:lineRule="auto"/>
              <w:jc w:val="center"/>
              <w:rPr>
                <w:rFonts w:ascii="Arial" w:eastAsia="Times New Roman" w:hAnsi="Arial" w:cs="Arial"/>
                <w:color w:val="000000"/>
                <w:szCs w:val="24"/>
                <w:lang w:val="mn-MN" w:eastAsia="zh-CN" w:bidi="mn-Mong-CN"/>
              </w:rPr>
            </w:pPr>
            <w:r w:rsidRPr="007B74DF">
              <w:rPr>
                <w:rFonts w:ascii="Arial" w:eastAsia="Times New Roman" w:hAnsi="Arial" w:cs="Arial"/>
                <w:color w:val="000000"/>
                <w:szCs w:val="24"/>
                <w:lang w:val="mn-MN" w:eastAsia="zh-CN" w:bidi="mn-Mong-CN"/>
              </w:rPr>
              <w:t>Нөхөн сонгууль явуулахгүй тулд нэмэлт зардал гарахгүй, улсын төсөвт үүсэх ачаалалгүй</w:t>
            </w:r>
          </w:p>
        </w:tc>
      </w:tr>
    </w:tbl>
    <w:p w:rsidR="00C55268" w:rsidRPr="007B74DF" w:rsidRDefault="00C55268" w:rsidP="00C55268">
      <w:pPr>
        <w:pStyle w:val="ListParagraph"/>
        <w:rPr>
          <w:rFonts w:ascii="Arial" w:hAnsi="Arial" w:cs="Arial"/>
          <w:szCs w:val="24"/>
          <w:lang w:val="mn-MN"/>
        </w:rPr>
      </w:pPr>
    </w:p>
    <w:p w:rsidR="00C55268" w:rsidRPr="007B74DF" w:rsidRDefault="00C55268" w:rsidP="00C55268">
      <w:pPr>
        <w:pStyle w:val="ListParagraph"/>
        <w:rPr>
          <w:rFonts w:ascii="Arial" w:hAnsi="Arial" w:cs="Arial"/>
          <w:szCs w:val="24"/>
          <w:lang w:val="mn-MN"/>
        </w:rPr>
      </w:pPr>
    </w:p>
    <w:p w:rsidR="00C55268" w:rsidRPr="007B74DF" w:rsidRDefault="00C55268" w:rsidP="00C55268">
      <w:pPr>
        <w:pStyle w:val="ListParagraph"/>
        <w:numPr>
          <w:ilvl w:val="0"/>
          <w:numId w:val="2"/>
        </w:numPr>
        <w:rPr>
          <w:rFonts w:ascii="Arial" w:hAnsi="Arial" w:cs="Arial"/>
          <w:szCs w:val="24"/>
          <w:lang w:val="mn-MN"/>
        </w:rPr>
      </w:pPr>
      <w:r w:rsidRPr="007B74DF">
        <w:rPr>
          <w:rFonts w:ascii="Arial" w:hAnsi="Arial" w:cs="Arial"/>
          <w:szCs w:val="24"/>
          <w:lang w:val="mn-MN"/>
        </w:rPr>
        <w:t>Иргэний үүсэх зардал</w:t>
      </w:r>
    </w:p>
    <w:p w:rsidR="00C55268" w:rsidRPr="007B74DF" w:rsidRDefault="00C55268" w:rsidP="00C55268">
      <w:pPr>
        <w:ind w:firstLine="360"/>
        <w:rPr>
          <w:rFonts w:ascii="Arial" w:hAnsi="Arial" w:cs="Arial"/>
          <w:szCs w:val="24"/>
          <w:lang w:val="mn-MN"/>
        </w:rPr>
      </w:pPr>
      <w:r w:rsidRPr="007B74DF">
        <w:rPr>
          <w:rFonts w:ascii="Arial" w:hAnsi="Arial" w:cs="Arial"/>
          <w:szCs w:val="24"/>
          <w:lang w:val="mn-MN"/>
        </w:rPr>
        <w:t xml:space="preserve">Иргэнд нэмэлт зардал үүсэхгүй. </w:t>
      </w:r>
    </w:p>
    <w:p w:rsidR="00C55268" w:rsidRPr="007B74DF" w:rsidRDefault="00C55268" w:rsidP="00C55268">
      <w:pPr>
        <w:pStyle w:val="ListParagraph"/>
        <w:numPr>
          <w:ilvl w:val="0"/>
          <w:numId w:val="2"/>
        </w:numPr>
        <w:rPr>
          <w:rFonts w:ascii="Arial" w:hAnsi="Arial" w:cs="Arial"/>
          <w:szCs w:val="24"/>
          <w:lang w:val="mn-MN"/>
        </w:rPr>
      </w:pPr>
      <w:r w:rsidRPr="007B74DF">
        <w:rPr>
          <w:rFonts w:ascii="Arial" w:hAnsi="Arial" w:cs="Arial"/>
          <w:szCs w:val="24"/>
          <w:lang w:val="mn-MN"/>
        </w:rPr>
        <w:t>Төрийн байгууллагын зардал</w:t>
      </w:r>
    </w:p>
    <w:p w:rsidR="00C55268" w:rsidRPr="007B74DF" w:rsidRDefault="00C55268" w:rsidP="00C55268">
      <w:pPr>
        <w:pStyle w:val="ListParagraph"/>
        <w:rPr>
          <w:rFonts w:ascii="Arial" w:hAnsi="Arial" w:cs="Arial"/>
          <w:szCs w:val="24"/>
          <w:lang w:val="mn-MN"/>
        </w:rPr>
      </w:pPr>
    </w:p>
    <w:p w:rsidR="00C55268" w:rsidRPr="007B74DF" w:rsidRDefault="00C55268" w:rsidP="00C55268">
      <w:pPr>
        <w:pStyle w:val="ListParagraph"/>
        <w:rPr>
          <w:rFonts w:ascii="Arial" w:hAnsi="Arial" w:cs="Arial"/>
          <w:szCs w:val="24"/>
          <w:lang w:val="mn-MN"/>
        </w:rPr>
      </w:pPr>
      <w:r w:rsidRPr="007B74DF">
        <w:rPr>
          <w:rFonts w:ascii="Arial" w:hAnsi="Arial" w:cs="Arial"/>
          <w:szCs w:val="24"/>
          <w:lang w:val="mn-MN"/>
        </w:rPr>
        <w:t>Монгол улсын 2026 оны нэгдсэн төсвийн гүйцэтгэлийн танилцуулгын зардалд өөрчлөлт орохгүй.</w:t>
      </w:r>
    </w:p>
    <w:p w:rsidR="00C55268" w:rsidRPr="007B74DF" w:rsidRDefault="00C55268" w:rsidP="00C55268">
      <w:pPr>
        <w:pStyle w:val="ListParagraph"/>
        <w:rPr>
          <w:rFonts w:ascii="Arial" w:hAnsi="Arial" w:cs="Arial"/>
          <w:szCs w:val="24"/>
          <w:lang w:val="mn-MN"/>
        </w:rPr>
      </w:pPr>
    </w:p>
    <w:p w:rsidR="00C55268" w:rsidRPr="007B74DF" w:rsidRDefault="00C55268" w:rsidP="00C55268">
      <w:pPr>
        <w:spacing w:line="360" w:lineRule="auto"/>
        <w:ind w:firstLine="720"/>
        <w:jc w:val="both"/>
        <w:rPr>
          <w:rFonts w:ascii="Arial" w:hAnsi="Arial" w:cs="Arial"/>
          <w:b/>
          <w:bCs/>
          <w:szCs w:val="24"/>
          <w:lang w:val="mn-MN"/>
        </w:rPr>
      </w:pPr>
      <w:r w:rsidRPr="007B74DF">
        <w:rPr>
          <w:rFonts w:ascii="Arial" w:hAnsi="Arial" w:cs="Arial"/>
          <w:b/>
          <w:bCs/>
          <w:szCs w:val="24"/>
          <w:lang w:val="mn-MN"/>
        </w:rPr>
        <w:t xml:space="preserve">Дүгнэлт: </w:t>
      </w:r>
    </w:p>
    <w:p w:rsidR="00C55268" w:rsidRPr="007B74DF" w:rsidRDefault="00C55268" w:rsidP="00C55268">
      <w:pPr>
        <w:spacing w:line="360" w:lineRule="auto"/>
        <w:ind w:firstLine="720"/>
        <w:jc w:val="both"/>
        <w:rPr>
          <w:rFonts w:ascii="Arial" w:hAnsi="Arial" w:cs="Arial"/>
          <w:szCs w:val="24"/>
          <w:lang w:val="mn-MN"/>
        </w:rPr>
      </w:pPr>
      <w:r w:rsidRPr="007B74DF">
        <w:rPr>
          <w:rFonts w:ascii="Arial" w:hAnsi="Arial" w:cs="Arial"/>
          <w:szCs w:val="24"/>
          <w:lang w:val="mn-MN"/>
        </w:rPr>
        <w:t xml:space="preserve">Хуулийн төсөл батлагдсанаар нийгэм, соёл, эдийн засаг, улс төрд үзүүлэх сөрөг нөлөөлөл байхгүй бөгөөд жагсаалтаар сонгогдсон Улсын Их Хурлын гишүүнийг эргүүлэн татах санал гаргах улс төрийн намын эрх, үүрэг болох бөгөөд улс төрийн хариуцлага тооцох шинэ соёл, хандлага бүрдэж бий болохоор байна. </w:t>
      </w:r>
    </w:p>
    <w:p w:rsidR="00C55268" w:rsidRPr="007B74DF" w:rsidRDefault="00C55268" w:rsidP="00C55268">
      <w:pPr>
        <w:spacing w:line="360" w:lineRule="auto"/>
        <w:ind w:firstLine="720"/>
        <w:jc w:val="both"/>
        <w:rPr>
          <w:rFonts w:ascii="Arial" w:hAnsi="Arial" w:cs="Arial"/>
          <w:szCs w:val="24"/>
          <w:lang w:val="mn-MN"/>
        </w:rPr>
      </w:pPr>
      <w:r w:rsidRPr="007B74DF">
        <w:rPr>
          <w:rFonts w:ascii="Arial" w:hAnsi="Arial" w:cs="Arial"/>
          <w:szCs w:val="24"/>
          <w:lang w:val="mn-MN"/>
        </w:rPr>
        <w:lastRenderedPageBreak/>
        <w:t xml:space="preserve">Нөгөө талаас Улсын Их Хурлаас 2023 оны 05 дугаар сарын 31-ний өдөр баталсан Монгол Улсын Үндсэн хуульд оруулсан өөрчлөлтөөр Үндсэн хуулийн Хорин нэгдүгээр зүйлийн 1 дэх хэсгийг “Улсын Их Хурал нэг танхимтай, нэг зуун хорин зургаан гишүүнтэй байна. Улсын Их Хурлын далан найман гишүүнийг олныг төлөөлөх, дөчин найман гишүүнийг хувь тэнцүүлэн төлөөлөх аргаар сонгоно” гэж өөрчлөн найруулсан. </w:t>
      </w:r>
    </w:p>
    <w:p w:rsidR="00C55268" w:rsidRPr="007B74DF" w:rsidRDefault="00C55268" w:rsidP="00C55268">
      <w:pPr>
        <w:spacing w:line="360" w:lineRule="auto"/>
        <w:ind w:firstLine="720"/>
        <w:jc w:val="both"/>
        <w:rPr>
          <w:rFonts w:ascii="Arial" w:hAnsi="Arial" w:cs="Arial"/>
          <w:szCs w:val="24"/>
          <w:lang w:val="mn-MN"/>
        </w:rPr>
      </w:pPr>
      <w:r w:rsidRPr="007B74DF">
        <w:rPr>
          <w:rFonts w:ascii="Arial" w:hAnsi="Arial" w:cs="Arial"/>
          <w:szCs w:val="24"/>
          <w:lang w:val="mn-MN"/>
        </w:rPr>
        <w:t>Улсын Их Хурлын бие даасан байдал, хариуцлагатай байдлыг дээшлүүлэх зорилгоор хувь тэнцүүлэх аргаар сонгогдсон Улсын Их Хурлын гишүүний халдашгүй байдал, бүрэн эрхийг түдгэлзүүлэх, эргүүлэн татах эсэх асуудлыг хэлэлцэн шийдвэрлэх үндэслэл, журмын зохицуулалт боловсронгуй болно.</w:t>
      </w:r>
    </w:p>
    <w:p w:rsidR="00C55268" w:rsidRPr="007B74DF" w:rsidRDefault="00C55268" w:rsidP="00C55268">
      <w:pPr>
        <w:spacing w:line="360" w:lineRule="auto"/>
        <w:ind w:firstLine="720"/>
        <w:jc w:val="both"/>
        <w:rPr>
          <w:rFonts w:ascii="Arial" w:eastAsia="Droid Sans" w:hAnsi="Arial" w:cs="Arial"/>
          <w:b/>
          <w:kern w:val="2"/>
          <w:szCs w:val="24"/>
          <w:lang w:val="mn-MN" w:eastAsia="zh-CN" w:bidi="hi-IN"/>
        </w:rPr>
      </w:pPr>
      <w:r w:rsidRPr="007B74DF">
        <w:rPr>
          <w:rFonts w:ascii="Arial" w:hAnsi="Arial" w:cs="Arial"/>
          <w:szCs w:val="24"/>
          <w:lang w:val="mn-MN"/>
        </w:rPr>
        <w:t>Хуулийн төсөл батлагдсанаар нэмэлт зардал гарахгүй бөгөөд хуулийн зохицуулалтаас үзвэл хувь тэнцүүлэх аргаар сонгогдсон гишүүнийг эргүүлэн татах шийдвэр гарсан тохиолдолд Монгол Улсын Их Хурлын сонгуулийн тухай хуульд  “Улсын Их Хурлын гишүүний орон гарсан бол тухайн нам, эвслийн төлөөллийн байгууллагаас санал болгосон нэр дэвшигчийг Улсын Их Хурлын гишүүнээр сонгогдсонд тооцсон тухай шийдвэрийг Сонгуулийн ерөнхий хороо орон гарснаас хойш 14 хоногийн дотор гаргаж, Улсын Их Хуралд өргөн мэдүүлнэ.” гэж өөрчлөлт оруулахаар тусгасан нь эдийн засгийн ямар нэгэн ачаалал үүсгэхгүй юм.</w:t>
      </w:r>
    </w:p>
    <w:p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w:altName w:val="Times New Roman"/>
    <w:panose1 w:val="020B0604020202020204"/>
    <w:charset w:val="01"/>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E5103D"/>
    <w:multiLevelType w:val="hybridMultilevel"/>
    <w:tmpl w:val="3F8AF4E0"/>
    <w:lvl w:ilvl="0" w:tplc="00EA53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12351B"/>
    <w:multiLevelType w:val="hybridMultilevel"/>
    <w:tmpl w:val="80DCD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981351">
    <w:abstractNumId w:val="0"/>
  </w:num>
  <w:num w:numId="2" w16cid:durableId="2112041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68"/>
    <w:rsid w:val="003E6615"/>
    <w:rsid w:val="004F6A04"/>
    <w:rsid w:val="00950B97"/>
    <w:rsid w:val="00B435B3"/>
    <w:rsid w:val="00C55268"/>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FEF6F9E-E459-A944-BB88-934AB616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268"/>
    <w:pPr>
      <w:spacing w:after="160" w:line="259" w:lineRule="auto"/>
    </w:pPr>
    <w:rPr>
      <w:rFonts w:ascii="Times New Roman" w:hAnsi="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1142</Words>
  <Characters>6514</Characters>
  <Application>Microsoft Office Word</Application>
  <DocSecurity>0</DocSecurity>
  <Lines>54</Lines>
  <Paragraphs>15</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2026-03-03T07:43:00Z</dcterms:created>
  <dcterms:modified xsi:type="dcterms:W3CDTF">2026-03-03T07:43:00Z</dcterms:modified>
</cp:coreProperties>
</file>