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FBDE" w14:textId="77777777" w:rsidR="0036033A" w:rsidRPr="00CE1546" w:rsidRDefault="0036033A" w:rsidP="00CE1546">
      <w:pPr>
        <w:spacing w:before="2000" w:line="276" w:lineRule="auto"/>
        <w:rPr>
          <w:rFonts w:ascii="Arial" w:hAnsi="Arial" w:cs="Arial"/>
          <w:sz w:val="24"/>
          <w:szCs w:val="24"/>
          <w:lang w:val="mn-MN"/>
        </w:rPr>
      </w:pPr>
    </w:p>
    <w:p w14:paraId="0A40BBA1" w14:textId="77777777" w:rsidR="001554FB" w:rsidRPr="00CE1546" w:rsidRDefault="001554FB" w:rsidP="00CE1546">
      <w:pPr>
        <w:spacing w:after="600" w:line="276" w:lineRule="auto"/>
        <w:jc w:val="center"/>
        <w:rPr>
          <w:rFonts w:ascii="Arial" w:hAnsi="Arial" w:cs="Arial"/>
          <w:b/>
          <w:bCs/>
          <w:sz w:val="24"/>
          <w:szCs w:val="24"/>
          <w:lang w:val="mn-MN"/>
        </w:rPr>
      </w:pPr>
    </w:p>
    <w:p w14:paraId="4D0255AA" w14:textId="77777777" w:rsidR="001554FB" w:rsidRPr="00CE1546" w:rsidRDefault="001554FB" w:rsidP="00CE1546">
      <w:pPr>
        <w:spacing w:after="600" w:line="276" w:lineRule="auto"/>
        <w:jc w:val="center"/>
        <w:rPr>
          <w:rFonts w:ascii="Arial" w:hAnsi="Arial" w:cs="Arial"/>
          <w:b/>
          <w:bCs/>
          <w:sz w:val="24"/>
          <w:szCs w:val="24"/>
          <w:lang w:val="mn-MN"/>
        </w:rPr>
      </w:pPr>
    </w:p>
    <w:p w14:paraId="467E3AA5" w14:textId="77777777" w:rsidR="001554FB" w:rsidRPr="00CE1546" w:rsidRDefault="001554FB" w:rsidP="00CE1546">
      <w:pPr>
        <w:spacing w:after="600" w:line="276" w:lineRule="auto"/>
        <w:jc w:val="center"/>
        <w:rPr>
          <w:rFonts w:ascii="Arial" w:hAnsi="Arial" w:cs="Arial"/>
          <w:b/>
          <w:bCs/>
          <w:sz w:val="24"/>
          <w:szCs w:val="24"/>
          <w:lang w:val="mn-MN"/>
        </w:rPr>
      </w:pPr>
    </w:p>
    <w:p w14:paraId="5D0C2A41" w14:textId="77777777" w:rsidR="001554FB" w:rsidRPr="00CE1546" w:rsidRDefault="001554FB" w:rsidP="00CE1546">
      <w:pPr>
        <w:spacing w:after="600" w:line="276" w:lineRule="auto"/>
        <w:jc w:val="center"/>
        <w:rPr>
          <w:rFonts w:ascii="Arial" w:hAnsi="Arial" w:cs="Arial"/>
          <w:b/>
          <w:bCs/>
          <w:sz w:val="24"/>
          <w:szCs w:val="24"/>
          <w:lang w:val="mn-MN"/>
        </w:rPr>
      </w:pPr>
    </w:p>
    <w:p w14:paraId="2A23D30F" w14:textId="739CAFAB" w:rsidR="001554FB" w:rsidRPr="00CE1546" w:rsidRDefault="00E05F6D" w:rsidP="00CE1546">
      <w:pPr>
        <w:spacing w:after="600" w:line="276" w:lineRule="auto"/>
        <w:jc w:val="center"/>
        <w:rPr>
          <w:rFonts w:ascii="Arial" w:hAnsi="Arial" w:cs="Arial"/>
          <w:b/>
          <w:bCs/>
          <w:sz w:val="24"/>
          <w:szCs w:val="24"/>
          <w:lang w:val="mn-MN"/>
        </w:rPr>
      </w:pPr>
      <w:r w:rsidRPr="00CE1546">
        <w:rPr>
          <w:rFonts w:ascii="Arial" w:hAnsi="Arial" w:cs="Arial"/>
          <w:b/>
          <w:bCs/>
          <w:sz w:val="24"/>
          <w:szCs w:val="24"/>
          <w:lang w:val="mn-MN"/>
        </w:rPr>
        <w:t>ХУУЛЬ ТОГТООМЖИЙН ХЭРЭГЖИЛТИЙН ҮР ДАГАВАРТ</w:t>
      </w:r>
      <w:r w:rsidR="001554FB" w:rsidRPr="00CE1546">
        <w:rPr>
          <w:rFonts w:ascii="Arial" w:hAnsi="Arial" w:cs="Arial"/>
          <w:b/>
          <w:bCs/>
          <w:sz w:val="24"/>
          <w:szCs w:val="24"/>
          <w:lang w:val="mn-MN"/>
        </w:rPr>
        <w:t xml:space="preserve"> </w:t>
      </w:r>
    </w:p>
    <w:p w14:paraId="365FD4B8" w14:textId="3B64B640" w:rsidR="0036033A" w:rsidRPr="00CE1546" w:rsidRDefault="001554FB" w:rsidP="00CE1546">
      <w:pPr>
        <w:spacing w:after="600" w:line="276" w:lineRule="auto"/>
        <w:jc w:val="center"/>
        <w:rPr>
          <w:rFonts w:ascii="Arial" w:hAnsi="Arial" w:cs="Arial"/>
          <w:b/>
          <w:bCs/>
          <w:sz w:val="24"/>
          <w:szCs w:val="24"/>
          <w:lang w:val="mn-MN"/>
        </w:rPr>
      </w:pPr>
      <w:r w:rsidRPr="00CE1546">
        <w:rPr>
          <w:rFonts w:ascii="Arial" w:hAnsi="Arial" w:cs="Arial"/>
          <w:b/>
          <w:bCs/>
          <w:sz w:val="24"/>
          <w:szCs w:val="24"/>
          <w:lang w:val="mn-MN"/>
        </w:rPr>
        <w:t>ХИЙСЭН</w:t>
      </w:r>
      <w:r w:rsidR="00E05F6D" w:rsidRPr="00CE1546">
        <w:rPr>
          <w:rFonts w:ascii="Arial" w:hAnsi="Arial" w:cs="Arial"/>
          <w:b/>
          <w:bCs/>
          <w:sz w:val="24"/>
          <w:szCs w:val="24"/>
          <w:lang w:val="mn-MN"/>
        </w:rPr>
        <w:t xml:space="preserve"> ҮНЭЛГЭЭНИЙ ТАЙЛАН</w:t>
      </w:r>
    </w:p>
    <w:p w14:paraId="1D93EE4D" w14:textId="77777777" w:rsidR="00E05F6D" w:rsidRPr="00CE1546" w:rsidRDefault="00E05F6D" w:rsidP="00CE1546">
      <w:pPr>
        <w:spacing w:after="600" w:line="276" w:lineRule="auto"/>
        <w:jc w:val="center"/>
        <w:rPr>
          <w:rFonts w:ascii="Arial" w:hAnsi="Arial" w:cs="Arial"/>
          <w:sz w:val="24"/>
          <w:szCs w:val="24"/>
          <w:lang w:val="mn-MN"/>
        </w:rPr>
      </w:pPr>
    </w:p>
    <w:p w14:paraId="4FBA18AD" w14:textId="77777777" w:rsidR="00E05F6D" w:rsidRPr="00CE1546" w:rsidRDefault="00E05F6D" w:rsidP="00CE1546">
      <w:pPr>
        <w:spacing w:after="80" w:line="276" w:lineRule="auto"/>
        <w:jc w:val="center"/>
        <w:rPr>
          <w:rFonts w:ascii="Arial" w:hAnsi="Arial" w:cs="Arial"/>
          <w:sz w:val="24"/>
          <w:szCs w:val="24"/>
          <w:lang w:val="mn-MN"/>
        </w:rPr>
      </w:pPr>
    </w:p>
    <w:p w14:paraId="1E4DB96C" w14:textId="77777777" w:rsidR="00E05F6D" w:rsidRPr="00CE1546" w:rsidRDefault="00E05F6D" w:rsidP="00CE1546">
      <w:pPr>
        <w:spacing w:after="80" w:line="276" w:lineRule="auto"/>
        <w:jc w:val="center"/>
        <w:rPr>
          <w:rFonts w:ascii="Arial" w:hAnsi="Arial" w:cs="Arial"/>
          <w:sz w:val="24"/>
          <w:szCs w:val="24"/>
          <w:lang w:val="mn-MN"/>
        </w:rPr>
      </w:pPr>
    </w:p>
    <w:p w14:paraId="74A1D232" w14:textId="77777777" w:rsidR="00E05F6D" w:rsidRPr="00CE1546" w:rsidRDefault="00E05F6D" w:rsidP="00CE1546">
      <w:pPr>
        <w:spacing w:after="80" w:line="276" w:lineRule="auto"/>
        <w:jc w:val="center"/>
        <w:rPr>
          <w:rFonts w:ascii="Arial" w:hAnsi="Arial" w:cs="Arial"/>
          <w:sz w:val="24"/>
          <w:szCs w:val="24"/>
          <w:lang w:val="mn-MN"/>
        </w:rPr>
      </w:pPr>
    </w:p>
    <w:p w14:paraId="34DFD554" w14:textId="77777777" w:rsidR="00E05F6D" w:rsidRPr="00CE1546" w:rsidRDefault="00E05F6D" w:rsidP="00CE1546">
      <w:pPr>
        <w:spacing w:after="80" w:line="276" w:lineRule="auto"/>
        <w:jc w:val="center"/>
        <w:rPr>
          <w:rFonts w:ascii="Arial" w:hAnsi="Arial" w:cs="Arial"/>
          <w:sz w:val="24"/>
          <w:szCs w:val="24"/>
          <w:lang w:val="mn-MN"/>
        </w:rPr>
      </w:pPr>
    </w:p>
    <w:p w14:paraId="6725B6AE" w14:textId="77777777" w:rsidR="00E05F6D" w:rsidRPr="00CE1546" w:rsidRDefault="00E05F6D" w:rsidP="00CE1546">
      <w:pPr>
        <w:spacing w:after="80" w:line="276" w:lineRule="auto"/>
        <w:jc w:val="center"/>
        <w:rPr>
          <w:rFonts w:ascii="Arial" w:hAnsi="Arial" w:cs="Arial"/>
          <w:sz w:val="24"/>
          <w:szCs w:val="24"/>
          <w:lang w:val="mn-MN"/>
        </w:rPr>
      </w:pPr>
    </w:p>
    <w:p w14:paraId="5F99A987" w14:textId="77777777" w:rsidR="00E05F6D" w:rsidRPr="00CE1546" w:rsidRDefault="00E05F6D" w:rsidP="00CE1546">
      <w:pPr>
        <w:spacing w:after="80" w:line="276" w:lineRule="auto"/>
        <w:jc w:val="center"/>
        <w:rPr>
          <w:rFonts w:ascii="Arial" w:hAnsi="Arial" w:cs="Arial"/>
          <w:sz w:val="24"/>
          <w:szCs w:val="24"/>
          <w:lang w:val="mn-MN"/>
        </w:rPr>
      </w:pPr>
    </w:p>
    <w:p w14:paraId="7A7B4367" w14:textId="77777777" w:rsidR="00E05F6D" w:rsidRPr="00CE1546" w:rsidRDefault="00E05F6D" w:rsidP="00CE1546">
      <w:pPr>
        <w:spacing w:after="80" w:line="276" w:lineRule="auto"/>
        <w:jc w:val="center"/>
        <w:rPr>
          <w:rFonts w:ascii="Arial" w:hAnsi="Arial" w:cs="Arial"/>
          <w:sz w:val="24"/>
          <w:szCs w:val="24"/>
          <w:lang w:val="mn-MN"/>
        </w:rPr>
      </w:pPr>
    </w:p>
    <w:p w14:paraId="56C40167" w14:textId="77777777" w:rsidR="00E05F6D" w:rsidRPr="00CE1546" w:rsidRDefault="00E05F6D" w:rsidP="00CE1546">
      <w:pPr>
        <w:spacing w:after="80" w:line="276" w:lineRule="auto"/>
        <w:jc w:val="center"/>
        <w:rPr>
          <w:rFonts w:ascii="Arial" w:hAnsi="Arial" w:cs="Arial"/>
          <w:sz w:val="24"/>
          <w:szCs w:val="24"/>
          <w:lang w:val="mn-MN"/>
        </w:rPr>
      </w:pPr>
    </w:p>
    <w:p w14:paraId="3B959AFC" w14:textId="77777777" w:rsidR="00E05F6D" w:rsidRPr="00CE1546" w:rsidRDefault="00E05F6D" w:rsidP="00CE1546">
      <w:pPr>
        <w:spacing w:after="80" w:line="276" w:lineRule="auto"/>
        <w:jc w:val="center"/>
        <w:rPr>
          <w:rFonts w:ascii="Arial" w:hAnsi="Arial" w:cs="Arial"/>
          <w:sz w:val="24"/>
          <w:szCs w:val="24"/>
          <w:lang w:val="mn-MN"/>
        </w:rPr>
      </w:pPr>
    </w:p>
    <w:p w14:paraId="7AEEBAB5" w14:textId="77777777" w:rsidR="00E05F6D" w:rsidRPr="00CE1546" w:rsidRDefault="00E05F6D" w:rsidP="00CE1546">
      <w:pPr>
        <w:spacing w:after="80" w:line="276" w:lineRule="auto"/>
        <w:rPr>
          <w:rFonts w:ascii="Arial" w:hAnsi="Arial" w:cs="Arial"/>
          <w:sz w:val="24"/>
          <w:szCs w:val="24"/>
          <w:lang w:val="mn-MN"/>
        </w:rPr>
      </w:pPr>
    </w:p>
    <w:p w14:paraId="7460C0F1" w14:textId="77777777" w:rsidR="00E05F6D" w:rsidRPr="00CE1546" w:rsidRDefault="00E05F6D" w:rsidP="00CE1546">
      <w:pPr>
        <w:spacing w:after="80" w:line="276" w:lineRule="auto"/>
        <w:jc w:val="center"/>
        <w:rPr>
          <w:rFonts w:ascii="Arial" w:hAnsi="Arial" w:cs="Arial"/>
          <w:sz w:val="24"/>
          <w:szCs w:val="24"/>
          <w:lang w:val="mn-MN"/>
        </w:rPr>
      </w:pPr>
    </w:p>
    <w:p w14:paraId="34BD30F5" w14:textId="77777777" w:rsidR="00E05F6D" w:rsidRPr="00CE1546" w:rsidRDefault="00E05F6D" w:rsidP="00CE1546">
      <w:pPr>
        <w:spacing w:after="80" w:line="276" w:lineRule="auto"/>
        <w:jc w:val="center"/>
        <w:rPr>
          <w:rFonts w:ascii="Arial" w:hAnsi="Arial" w:cs="Arial"/>
          <w:sz w:val="24"/>
          <w:szCs w:val="24"/>
          <w:lang w:val="mn-MN"/>
        </w:rPr>
      </w:pPr>
    </w:p>
    <w:p w14:paraId="2C7ACAD0" w14:textId="590C0783" w:rsidR="0036033A" w:rsidRPr="00CE1546" w:rsidRDefault="00A55FC6" w:rsidP="00CE1546">
      <w:pPr>
        <w:spacing w:after="80" w:line="276" w:lineRule="auto"/>
        <w:jc w:val="center"/>
        <w:rPr>
          <w:rFonts w:ascii="Arial" w:hAnsi="Arial" w:cs="Arial"/>
          <w:sz w:val="24"/>
          <w:szCs w:val="24"/>
          <w:lang w:val="mn-MN"/>
        </w:rPr>
      </w:pPr>
      <w:r w:rsidRPr="00CE1546">
        <w:rPr>
          <w:rFonts w:ascii="Arial" w:hAnsi="Arial" w:cs="Arial"/>
          <w:sz w:val="24"/>
          <w:szCs w:val="24"/>
          <w:lang w:val="mn-MN"/>
        </w:rPr>
        <w:t>Улаанбаатар хот</w:t>
      </w:r>
    </w:p>
    <w:p w14:paraId="49A54BA5" w14:textId="40579635" w:rsidR="0036033A" w:rsidRPr="00CE1546" w:rsidRDefault="00A55FC6" w:rsidP="00CE1546">
      <w:pPr>
        <w:spacing w:after="200" w:line="276" w:lineRule="auto"/>
        <w:jc w:val="center"/>
        <w:rPr>
          <w:rFonts w:ascii="Arial" w:hAnsi="Arial" w:cs="Arial"/>
          <w:sz w:val="24"/>
          <w:szCs w:val="24"/>
          <w:lang w:val="mn-MN"/>
        </w:rPr>
      </w:pPr>
      <w:r w:rsidRPr="00CE1546">
        <w:rPr>
          <w:rFonts w:ascii="Arial" w:hAnsi="Arial" w:cs="Arial"/>
          <w:sz w:val="24"/>
          <w:szCs w:val="24"/>
          <w:lang w:val="mn-MN"/>
        </w:rPr>
        <w:t>2026 он</w:t>
      </w:r>
    </w:p>
    <w:p w14:paraId="6553DA92" w14:textId="77777777" w:rsidR="0036033A" w:rsidRPr="00CE1546" w:rsidRDefault="00A55FC6" w:rsidP="00CE1546">
      <w:pPr>
        <w:pStyle w:val="Heading1"/>
        <w:spacing w:line="276" w:lineRule="auto"/>
      </w:pPr>
      <w:r w:rsidRPr="00CE1546">
        <w:lastRenderedPageBreak/>
        <w:t>НЭГ. НИЙТЛЭГ ҮНДЭСЛЭЛ</w:t>
      </w:r>
    </w:p>
    <w:p w14:paraId="38180EC6" w14:textId="32282C39" w:rsidR="006776DC"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 xml:space="preserve">Монгол Улсын Их Хурлын тухай хуулийн гишүүний бүрэн эрх хугацаанаас өмнө дуусгавар болох, эгүүлэн татахтай холбоотой зохицуулалтын хэрэгжилтийн бодит байдалд дүн шинжилгээ хийж, гарч байгаа хүндрэл бэрхшээлтэй асуудал, нийгэмд үзүүлж байгаа эерэг, сөрөг нөлөөллийг илрүүлэх, цаашид тус хуулийг үр дүнтэй хэрэгжүүлэх боломжит хувилбарыг тодорхойлох зорилгоор Засгийн газрын 2016 оны 59 дүгээр тогтоолоор баталсан </w:t>
      </w:r>
      <w:r w:rsidRPr="00CE1546">
        <w:rPr>
          <w:rFonts w:ascii="Arial" w:hAnsi="Arial" w:cs="Arial"/>
          <w:i/>
          <w:iCs/>
          <w:sz w:val="24"/>
          <w:szCs w:val="24"/>
          <w:lang w:val="mn-MN"/>
        </w:rPr>
        <w:t>“Хууль тогтоомжийн хэрэгжилтийн үр дагаварт үнэлгээ хийх аргачлал”</w:t>
      </w:r>
      <w:r w:rsidRPr="00CE1546">
        <w:rPr>
          <w:rFonts w:ascii="Arial" w:hAnsi="Arial" w:cs="Arial"/>
          <w:sz w:val="24"/>
          <w:szCs w:val="24"/>
          <w:lang w:val="mn-MN"/>
        </w:rPr>
        <w:t xml:space="preserve"> (цаашид “Аргачлал” гэх)-ын дагуу үнэлгээг хийж гүйцэтгэлээ.</w:t>
      </w:r>
    </w:p>
    <w:p w14:paraId="3F552E98" w14:textId="77777777" w:rsidR="0036033A" w:rsidRPr="00CE1546" w:rsidRDefault="00A55FC6" w:rsidP="00CE1546">
      <w:pPr>
        <w:spacing w:after="40" w:line="276" w:lineRule="auto"/>
        <w:ind w:firstLine="400"/>
        <w:jc w:val="both"/>
        <w:rPr>
          <w:rFonts w:ascii="Arial" w:hAnsi="Arial" w:cs="Arial"/>
          <w:sz w:val="24"/>
          <w:szCs w:val="24"/>
          <w:lang w:val="mn-MN"/>
        </w:rPr>
      </w:pPr>
      <w:r w:rsidRPr="00CE1546">
        <w:rPr>
          <w:rFonts w:ascii="Arial" w:hAnsi="Arial" w:cs="Arial"/>
          <w:sz w:val="24"/>
          <w:szCs w:val="24"/>
          <w:lang w:val="mn-MN"/>
        </w:rPr>
        <w:t>Үнэлгээг дараах үе шаттайгаар хийж гүйцэтгэлээ:</w:t>
      </w:r>
    </w:p>
    <w:p w14:paraId="41E95A5B" w14:textId="690D6DFC" w:rsidR="0036033A" w:rsidRPr="00CE1546" w:rsidRDefault="00A55FC6" w:rsidP="00CE1546">
      <w:pPr>
        <w:pStyle w:val="ListParagraph"/>
        <w:numPr>
          <w:ilvl w:val="0"/>
          <w:numId w:val="2"/>
        </w:numPr>
        <w:spacing w:after="40" w:line="276" w:lineRule="auto"/>
        <w:jc w:val="both"/>
        <w:rPr>
          <w:rFonts w:ascii="Arial" w:hAnsi="Arial" w:cs="Arial"/>
          <w:sz w:val="24"/>
          <w:szCs w:val="24"/>
          <w:lang w:val="mn-MN"/>
        </w:rPr>
      </w:pPr>
      <w:r w:rsidRPr="00CE1546">
        <w:rPr>
          <w:rFonts w:ascii="Arial" w:hAnsi="Arial" w:cs="Arial"/>
          <w:sz w:val="24"/>
          <w:szCs w:val="24"/>
          <w:lang w:val="mn-MN"/>
        </w:rPr>
        <w:t>Төлөвлөх үе шат</w:t>
      </w:r>
    </w:p>
    <w:p w14:paraId="303C266F" w14:textId="3A33A464" w:rsidR="0036033A" w:rsidRPr="00CE1546" w:rsidRDefault="00A55FC6" w:rsidP="00CE1546">
      <w:pPr>
        <w:pStyle w:val="ListParagraph"/>
        <w:numPr>
          <w:ilvl w:val="0"/>
          <w:numId w:val="2"/>
        </w:numPr>
        <w:spacing w:after="40" w:line="276" w:lineRule="auto"/>
        <w:jc w:val="both"/>
        <w:rPr>
          <w:rFonts w:ascii="Arial" w:hAnsi="Arial" w:cs="Arial"/>
          <w:sz w:val="24"/>
          <w:szCs w:val="24"/>
          <w:lang w:val="mn-MN"/>
        </w:rPr>
      </w:pPr>
      <w:r w:rsidRPr="00CE1546">
        <w:rPr>
          <w:rFonts w:ascii="Arial" w:hAnsi="Arial" w:cs="Arial"/>
          <w:sz w:val="24"/>
          <w:szCs w:val="24"/>
          <w:lang w:val="mn-MN"/>
        </w:rPr>
        <w:t>Хэрэгжүүлэх үе шат</w:t>
      </w:r>
    </w:p>
    <w:p w14:paraId="0E9B2DD8" w14:textId="4953427B" w:rsidR="0036033A" w:rsidRPr="00CE1546" w:rsidRDefault="00A55FC6" w:rsidP="00CE1546">
      <w:pPr>
        <w:pStyle w:val="ListParagraph"/>
        <w:numPr>
          <w:ilvl w:val="0"/>
          <w:numId w:val="2"/>
        </w:numPr>
        <w:spacing w:after="120" w:line="276" w:lineRule="auto"/>
        <w:jc w:val="both"/>
        <w:rPr>
          <w:rFonts w:ascii="Arial" w:hAnsi="Arial" w:cs="Arial"/>
          <w:sz w:val="24"/>
          <w:szCs w:val="24"/>
          <w:lang w:val="mn-MN"/>
        </w:rPr>
      </w:pPr>
      <w:r w:rsidRPr="00CE1546">
        <w:rPr>
          <w:rFonts w:ascii="Arial" w:hAnsi="Arial" w:cs="Arial"/>
          <w:sz w:val="24"/>
          <w:szCs w:val="24"/>
          <w:lang w:val="mn-MN"/>
        </w:rPr>
        <w:t>Үнэлэх үе шат</w:t>
      </w:r>
    </w:p>
    <w:p w14:paraId="723A6FD0" w14:textId="77777777" w:rsidR="0036033A" w:rsidRPr="00CE1546" w:rsidRDefault="00A55FC6" w:rsidP="00CE1546">
      <w:pPr>
        <w:pStyle w:val="Heading1"/>
        <w:spacing w:line="276" w:lineRule="auto"/>
      </w:pPr>
      <w:r w:rsidRPr="00CE1546">
        <w:t>ХОЁР. ТӨЛӨВЛӨХ ҮЕ ШАТ</w:t>
      </w:r>
    </w:p>
    <w:p w14:paraId="46E06F2E" w14:textId="69266F97" w:rsidR="0036033A" w:rsidRPr="00CE1546" w:rsidRDefault="006776DC" w:rsidP="00CE1546">
      <w:pPr>
        <w:pStyle w:val="Heading2"/>
        <w:spacing w:line="276" w:lineRule="auto"/>
      </w:pPr>
      <w:r w:rsidRPr="00CE1546">
        <w:tab/>
        <w:t>2.1.Үнэлгээ хийх шалтгааныг тодорхойлох</w:t>
      </w:r>
    </w:p>
    <w:p w14:paraId="2B1611DA" w14:textId="1A2A521C" w:rsidR="0036033A"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Аргачлалын 3.2-т заасны дагуу үнэлгээ хийх болсон шалтгааныг дараах байдлаар тодорхойлов.</w:t>
      </w:r>
    </w:p>
    <w:p w14:paraId="08B79F62" w14:textId="109C7A5D" w:rsidR="0036033A"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Нэгдүгээрт,</w:t>
      </w:r>
      <w:r w:rsidRPr="00CE1546">
        <w:rPr>
          <w:rFonts w:ascii="Arial" w:hAnsi="Arial" w:cs="Arial"/>
          <w:b/>
          <w:bCs/>
          <w:sz w:val="24"/>
          <w:szCs w:val="24"/>
          <w:lang w:val="mn-MN"/>
        </w:rPr>
        <w:t xml:space="preserve"> </w:t>
      </w:r>
      <w:r w:rsidRPr="00CE1546">
        <w:rPr>
          <w:rFonts w:ascii="Arial" w:hAnsi="Arial" w:cs="Arial"/>
          <w:sz w:val="24"/>
          <w:szCs w:val="24"/>
          <w:lang w:val="mn-MN"/>
        </w:rPr>
        <w:t xml:space="preserve">хуулийн зохицуулалт бодит байдалтай нийцээгүй (Аргачлалын 3.2.2). Монгол Улсын Үндсэн хуульд 2019 онд оруулсан нэмэлт, өөрчлөлтөөр </w:t>
      </w:r>
      <w:r w:rsidR="008D54D7" w:rsidRPr="00CE1546">
        <w:rPr>
          <w:rFonts w:ascii="Arial" w:hAnsi="Arial" w:cs="Arial"/>
          <w:sz w:val="24"/>
          <w:szCs w:val="24"/>
          <w:lang w:val="mn-MN"/>
        </w:rPr>
        <w:t>29</w:t>
      </w:r>
      <w:r w:rsidRPr="00CE1546">
        <w:rPr>
          <w:rFonts w:ascii="Arial" w:hAnsi="Arial" w:cs="Arial"/>
          <w:sz w:val="24"/>
          <w:szCs w:val="24"/>
          <w:lang w:val="mn-MN"/>
        </w:rPr>
        <w:t xml:space="preserve"> зүйлийн 3 дахь хэсэгт “Улсын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гэж нэмсэн. </w:t>
      </w:r>
      <w:r w:rsidR="00C33CCD" w:rsidRPr="00CE1546">
        <w:rPr>
          <w:rFonts w:ascii="Arial" w:hAnsi="Arial" w:cs="Arial"/>
          <w:sz w:val="24"/>
          <w:szCs w:val="24"/>
          <w:lang w:val="mn-MN"/>
        </w:rPr>
        <w:t>Мөн 2023 онд Үндсэн хуульд оруулсан нэмэлт, өөрчлөлтөөр Улсын Их Хурлын гишүүний тоог 126 болгож, тэдгээрийг сонгуулийн холимог системээр сонгох болсон боловч Улсын Их Хурлын гишүүний ёс зүйтэй холбоотой асуудлыг</w:t>
      </w:r>
      <w:r w:rsidR="00B15688" w:rsidRPr="00CE1546">
        <w:rPr>
          <w:rFonts w:ascii="Arial" w:hAnsi="Arial" w:cs="Arial"/>
          <w:sz w:val="24"/>
          <w:szCs w:val="24"/>
          <w:lang w:val="mn-MN"/>
        </w:rPr>
        <w:t xml:space="preserve"> </w:t>
      </w:r>
      <w:r w:rsidR="00F6448B" w:rsidRPr="00CE1546">
        <w:rPr>
          <w:rFonts w:ascii="Arial" w:hAnsi="Arial" w:cs="Arial"/>
          <w:sz w:val="24"/>
          <w:szCs w:val="24"/>
          <w:lang w:val="mn-MN"/>
        </w:rPr>
        <w:t xml:space="preserve">Монгол </w:t>
      </w:r>
      <w:r w:rsidR="00B15688" w:rsidRPr="00CE1546">
        <w:rPr>
          <w:rFonts w:ascii="Arial" w:hAnsi="Arial" w:cs="Arial"/>
          <w:sz w:val="24"/>
          <w:szCs w:val="24"/>
          <w:lang w:val="mn-MN"/>
        </w:rPr>
        <w:t xml:space="preserve">Улсын Их Хурлын тухай хуулиар бус </w:t>
      </w:r>
      <w:r w:rsidR="00C33CCD" w:rsidRPr="00CE1546">
        <w:rPr>
          <w:rFonts w:ascii="Arial" w:hAnsi="Arial" w:cs="Arial"/>
          <w:sz w:val="24"/>
          <w:szCs w:val="24"/>
          <w:lang w:val="mn-MN"/>
        </w:rPr>
        <w:t>Улсын Их Хурлын 2021 оны 105 дугаар тогтоолоор баталсан дүрмээр зохицуулсан хэвээр байна. Энэ дүрэмд “эгүүлэн татах” асуудлыг тусгаагүй</w:t>
      </w:r>
      <w:r w:rsidR="007A4A5D" w:rsidRPr="00CE1546">
        <w:rPr>
          <w:rFonts w:ascii="Arial" w:hAnsi="Arial" w:cs="Arial"/>
          <w:sz w:val="24"/>
          <w:szCs w:val="24"/>
          <w:lang w:val="mn-MN"/>
        </w:rPr>
        <w:t xml:space="preserve">, </w:t>
      </w:r>
      <w:r w:rsidR="00C33CCD" w:rsidRPr="00CE1546">
        <w:rPr>
          <w:rFonts w:ascii="Arial" w:hAnsi="Arial" w:cs="Arial"/>
          <w:sz w:val="24"/>
          <w:szCs w:val="24"/>
          <w:lang w:val="mn-MN"/>
        </w:rPr>
        <w:t xml:space="preserve">ёс зүйн асуудлаар эгүүлэн татах нь маргаантай асуудал боловч өнөөдөр олон нийтээс энэ шалтгаанаар эгүүлэн татах шаардлагатай гэж үзэх болов. </w:t>
      </w:r>
    </w:p>
    <w:p w14:paraId="076A1526" w14:textId="3A1D8B71" w:rsidR="0036033A"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b/>
          <w:bCs/>
          <w:sz w:val="24"/>
          <w:szCs w:val="24"/>
          <w:lang w:val="mn-MN"/>
        </w:rPr>
        <w:tab/>
      </w:r>
      <w:r w:rsidRPr="00CE1546">
        <w:rPr>
          <w:rFonts w:ascii="Arial" w:hAnsi="Arial" w:cs="Arial"/>
          <w:sz w:val="24"/>
          <w:szCs w:val="24"/>
          <w:lang w:val="mn-MN"/>
        </w:rPr>
        <w:t>Хоёрдугаарт,</w:t>
      </w:r>
      <w:r w:rsidRPr="00CE1546">
        <w:rPr>
          <w:rFonts w:ascii="Arial" w:hAnsi="Arial" w:cs="Arial"/>
          <w:b/>
          <w:bCs/>
          <w:sz w:val="24"/>
          <w:szCs w:val="24"/>
          <w:lang w:val="mn-MN"/>
        </w:rPr>
        <w:t xml:space="preserve"> </w:t>
      </w:r>
      <w:r w:rsidRPr="00CE1546">
        <w:rPr>
          <w:rFonts w:ascii="Arial" w:hAnsi="Arial" w:cs="Arial"/>
          <w:sz w:val="24"/>
          <w:szCs w:val="24"/>
          <w:lang w:val="mn-MN"/>
        </w:rPr>
        <w:t xml:space="preserve">Монгол Улсын Их Хурлын тухай хуулийн 9.1.4 дэх заалтад Үндсэн хуулийн цэцийн дүгнэлтийг Улсын Их Хурал “хүлээн зөвшөөрсөн” гэсэн нэмэлт нөхцөл тавьсан нь Үндсэн хуулийн </w:t>
      </w:r>
      <w:r w:rsidR="003D4ED0" w:rsidRPr="00CE1546">
        <w:rPr>
          <w:rFonts w:ascii="Arial" w:hAnsi="Arial" w:cs="Arial"/>
          <w:sz w:val="24"/>
          <w:szCs w:val="24"/>
          <w:lang w:val="mn-MN"/>
        </w:rPr>
        <w:t xml:space="preserve">67 </w:t>
      </w:r>
      <w:r w:rsidR="000F47B8" w:rsidRPr="00CE1546">
        <w:rPr>
          <w:rFonts w:ascii="Arial" w:hAnsi="Arial" w:cs="Arial"/>
          <w:sz w:val="24"/>
          <w:szCs w:val="24"/>
          <w:lang w:val="mn-MN"/>
        </w:rPr>
        <w:t xml:space="preserve">дугаар </w:t>
      </w:r>
      <w:r w:rsidRPr="00CE1546">
        <w:rPr>
          <w:rFonts w:ascii="Arial" w:hAnsi="Arial" w:cs="Arial"/>
          <w:sz w:val="24"/>
          <w:szCs w:val="24"/>
          <w:lang w:val="mn-MN"/>
        </w:rPr>
        <w:t>зүйлийн “Үндсэн хуулийн цэцийн шийдвэр гармагцаа хүчин төгөлдөр болно” гэсэн заалттай шууд зөрчилдөж байна. Энэ нь Аргачлалын 3.2.1-д заасан зөрчилтэй зохицуулалт үүссэн нөхцөлд хамаарна.</w:t>
      </w:r>
    </w:p>
    <w:p w14:paraId="0BB9FC2B" w14:textId="2DDA55E5" w:rsidR="0036033A"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b/>
          <w:bCs/>
          <w:sz w:val="24"/>
          <w:szCs w:val="24"/>
          <w:lang w:val="mn-MN"/>
        </w:rPr>
        <w:tab/>
      </w:r>
      <w:r w:rsidRPr="00CE1546">
        <w:rPr>
          <w:rFonts w:ascii="Arial" w:hAnsi="Arial" w:cs="Arial"/>
          <w:sz w:val="24"/>
          <w:szCs w:val="24"/>
          <w:lang w:val="mn-MN"/>
        </w:rPr>
        <w:t>Гуравдугаарт,</w:t>
      </w:r>
      <w:r w:rsidRPr="00CE1546">
        <w:rPr>
          <w:rFonts w:ascii="Arial" w:hAnsi="Arial" w:cs="Arial"/>
          <w:b/>
          <w:bCs/>
          <w:sz w:val="24"/>
          <w:szCs w:val="24"/>
          <w:lang w:val="mn-MN"/>
        </w:rPr>
        <w:t xml:space="preserve"> </w:t>
      </w:r>
      <w:r w:rsidRPr="00CE1546">
        <w:rPr>
          <w:rFonts w:ascii="Arial" w:hAnsi="Arial" w:cs="Arial"/>
          <w:sz w:val="24"/>
          <w:szCs w:val="24"/>
          <w:lang w:val="mn-MN"/>
        </w:rPr>
        <w:t xml:space="preserve">зайлшгүй зохицуулах ёстой харилцааг хамарч зохицуулаагүй (Аргачлалын 3.2.2). </w:t>
      </w:r>
      <w:r w:rsidR="00C33CCD" w:rsidRPr="00CE1546">
        <w:rPr>
          <w:rFonts w:ascii="Arial" w:hAnsi="Arial" w:cs="Arial"/>
          <w:sz w:val="24"/>
          <w:szCs w:val="24"/>
          <w:lang w:val="mn-MN"/>
        </w:rPr>
        <w:t xml:space="preserve">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гаргасан Үндсэн хуулийн цэцийн дүгнэлтийг “хүлээн зөвшөөрсөн бол түүнийг эгүүлэн татах эсэх асуудлыг Улсын Их Хурал хэлэлцэн шийдвэрлэнэ” </w:t>
      </w:r>
      <w:r w:rsidR="00C33CCD" w:rsidRPr="00CE1546">
        <w:rPr>
          <w:rFonts w:ascii="Arial" w:hAnsi="Arial" w:cs="Arial"/>
          <w:sz w:val="24"/>
          <w:szCs w:val="24"/>
          <w:lang w:val="mn-MN"/>
        </w:rPr>
        <w:lastRenderedPageBreak/>
        <w:t xml:space="preserve">гэжээ. Гэтэл Улсын Их Хурлын гишүүн Үндсэн хууль зөрчсөн тухай асуудлаар гаргасан Үндсэн хуулийн цэцийн шийдвэрийг Үндсэн хуулийн </w:t>
      </w:r>
      <w:r w:rsidR="00652FE6" w:rsidRPr="00CE1546">
        <w:rPr>
          <w:rFonts w:ascii="Arial" w:hAnsi="Arial" w:cs="Arial"/>
          <w:sz w:val="24"/>
          <w:szCs w:val="24"/>
          <w:lang w:val="mn-MN"/>
        </w:rPr>
        <w:t>66</w:t>
      </w:r>
      <w:r w:rsidR="00C33CCD" w:rsidRPr="00CE1546">
        <w:rPr>
          <w:rFonts w:ascii="Arial" w:hAnsi="Arial" w:cs="Arial"/>
          <w:sz w:val="24"/>
          <w:szCs w:val="24"/>
          <w:lang w:val="mn-MN"/>
        </w:rPr>
        <w:t xml:space="preserve"> </w:t>
      </w:r>
      <w:r w:rsidR="000F47B8" w:rsidRPr="00CE1546">
        <w:rPr>
          <w:rFonts w:ascii="Arial" w:hAnsi="Arial" w:cs="Arial"/>
          <w:sz w:val="24"/>
          <w:szCs w:val="24"/>
          <w:lang w:val="mn-MN"/>
        </w:rPr>
        <w:t xml:space="preserve">дугаар </w:t>
      </w:r>
      <w:r w:rsidR="00C33CCD" w:rsidRPr="00CE1546">
        <w:rPr>
          <w:rFonts w:ascii="Arial" w:hAnsi="Arial" w:cs="Arial"/>
          <w:sz w:val="24"/>
          <w:szCs w:val="24"/>
          <w:lang w:val="mn-MN"/>
        </w:rPr>
        <w:t xml:space="preserve">зүйлийн 3 дахь хэсэгт зааснаар Улсын Их Хурал “хүлээн зөвшөөрөх”, “хэлэлцэн шийдвэрлэх” эрхгүй байгаа бөгөөд </w:t>
      </w:r>
      <w:r w:rsidR="00652FE6" w:rsidRPr="00CE1546">
        <w:rPr>
          <w:rFonts w:ascii="Arial" w:hAnsi="Arial" w:cs="Arial"/>
          <w:sz w:val="24"/>
          <w:szCs w:val="24"/>
          <w:lang w:val="mn-MN"/>
        </w:rPr>
        <w:t>67</w:t>
      </w:r>
      <w:r w:rsidR="00C33CCD" w:rsidRPr="00CE1546">
        <w:rPr>
          <w:rFonts w:ascii="Arial" w:hAnsi="Arial" w:cs="Arial"/>
          <w:sz w:val="24"/>
          <w:szCs w:val="24"/>
          <w:lang w:val="mn-MN"/>
        </w:rPr>
        <w:t xml:space="preserve"> зүйлд зааснаар Үндсэн хуулийн цэцийн шийдвэр гармагцаа хүчин төгөлдөр болж Улсын Их Хурлын гишүүнийг эгүүлэн татахаар байна. </w:t>
      </w:r>
    </w:p>
    <w:p w14:paraId="790BBB49" w14:textId="1FDE575F" w:rsidR="0036033A"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Дөрөвдүгээрт,</w:t>
      </w:r>
      <w:r w:rsidRPr="00CE1546">
        <w:rPr>
          <w:rFonts w:ascii="Arial" w:hAnsi="Arial" w:cs="Arial"/>
          <w:b/>
          <w:bCs/>
          <w:sz w:val="24"/>
          <w:szCs w:val="24"/>
          <w:lang w:val="mn-MN"/>
        </w:rPr>
        <w:t xml:space="preserve"> </w:t>
      </w:r>
      <w:r w:rsidRPr="00CE1546">
        <w:rPr>
          <w:rFonts w:ascii="Arial" w:hAnsi="Arial" w:cs="Arial"/>
          <w:sz w:val="24"/>
          <w:szCs w:val="24"/>
          <w:lang w:val="mn-MN"/>
        </w:rPr>
        <w:t xml:space="preserve">Эрүүгийн хэрэг хянан шийдвэрлэх тухай хуульд Үндсэн хуулийн </w:t>
      </w:r>
      <w:r w:rsidR="00652FE6" w:rsidRPr="00CE1546">
        <w:rPr>
          <w:rFonts w:ascii="Arial" w:hAnsi="Arial" w:cs="Arial"/>
          <w:sz w:val="24"/>
          <w:szCs w:val="24"/>
          <w:lang w:val="mn-MN"/>
        </w:rPr>
        <w:t>29</w:t>
      </w:r>
      <w:r w:rsidRPr="00CE1546">
        <w:rPr>
          <w:rFonts w:ascii="Arial" w:hAnsi="Arial" w:cs="Arial"/>
          <w:sz w:val="24"/>
          <w:szCs w:val="24"/>
          <w:lang w:val="mn-MN"/>
        </w:rPr>
        <w:t xml:space="preserve"> </w:t>
      </w:r>
      <w:r w:rsidR="000F47B8" w:rsidRPr="00CE1546">
        <w:rPr>
          <w:rFonts w:ascii="Arial" w:hAnsi="Arial" w:cs="Arial"/>
          <w:sz w:val="24"/>
          <w:szCs w:val="24"/>
          <w:lang w:val="mn-MN"/>
        </w:rPr>
        <w:t xml:space="preserve">дүгээр </w:t>
      </w:r>
      <w:r w:rsidRPr="00CE1546">
        <w:rPr>
          <w:rFonts w:ascii="Arial" w:hAnsi="Arial" w:cs="Arial"/>
          <w:sz w:val="24"/>
          <w:szCs w:val="24"/>
          <w:lang w:val="mn-MN"/>
        </w:rPr>
        <w:t xml:space="preserve">зүйлийн 3 дахь хэсэгт заасан “Уул гишүүн гэмт хэрэг үйлдсэн гэж шүүх тогтоовол Улсын Их Хурал түүнийг гишүүнээс нь эгүүлэн татна” гэсэн заалтыг хэрхэн хэрэгжүүлэх журам тодорхойгүй байна. </w:t>
      </w:r>
      <w:r w:rsidR="007B4D02" w:rsidRPr="00CE1546">
        <w:rPr>
          <w:rFonts w:ascii="Arial" w:hAnsi="Arial" w:cs="Arial"/>
          <w:sz w:val="24"/>
          <w:szCs w:val="24"/>
          <w:lang w:val="mn-MN"/>
        </w:rPr>
        <w:t>Өөрөөр хэлбэл ш</w:t>
      </w:r>
      <w:r w:rsidRPr="00CE1546">
        <w:rPr>
          <w:rFonts w:ascii="Arial" w:hAnsi="Arial" w:cs="Arial"/>
          <w:sz w:val="24"/>
          <w:szCs w:val="24"/>
          <w:lang w:val="mn-MN"/>
        </w:rPr>
        <w:t>үүхийн шийдвэрийг Улсын Их Хурлын даргад хүргүүлэх механизм байхгүй.</w:t>
      </w:r>
    </w:p>
    <w:p w14:paraId="521CCC2A" w14:textId="04E4D18D" w:rsidR="0036033A"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b/>
          <w:bCs/>
          <w:sz w:val="24"/>
          <w:szCs w:val="24"/>
          <w:lang w:val="mn-MN"/>
        </w:rPr>
        <w:tab/>
      </w:r>
      <w:r w:rsidRPr="00CE1546">
        <w:rPr>
          <w:rFonts w:ascii="Arial" w:hAnsi="Arial" w:cs="Arial"/>
          <w:sz w:val="24"/>
          <w:szCs w:val="24"/>
          <w:lang w:val="mn-MN"/>
        </w:rPr>
        <w:t>Тавдугаарт,</w:t>
      </w:r>
      <w:r w:rsidR="00B15688" w:rsidRPr="00CE1546">
        <w:rPr>
          <w:rFonts w:ascii="Arial" w:hAnsi="Arial" w:cs="Arial"/>
          <w:b/>
          <w:bCs/>
          <w:sz w:val="24"/>
          <w:szCs w:val="24"/>
          <w:lang w:val="mn-MN"/>
        </w:rPr>
        <w:t xml:space="preserve"> </w:t>
      </w:r>
      <w:r w:rsidRPr="00CE1546">
        <w:rPr>
          <w:rFonts w:ascii="Arial" w:hAnsi="Arial" w:cs="Arial"/>
          <w:sz w:val="24"/>
          <w:szCs w:val="24"/>
          <w:lang w:val="mn-MN"/>
        </w:rPr>
        <w:t xml:space="preserve">Улсын Их Хурлын гишүүний ёс зүйн хариуцлагын тогтолцоо дутагдалтай. </w:t>
      </w:r>
      <w:r w:rsidR="00C33CCD" w:rsidRPr="00CE1546">
        <w:rPr>
          <w:rFonts w:ascii="Arial" w:hAnsi="Arial" w:cs="Arial"/>
          <w:sz w:val="24"/>
          <w:szCs w:val="24"/>
          <w:lang w:val="mn-MN"/>
        </w:rPr>
        <w:t xml:space="preserve">Төрийн албан хаагчийн ёс зүйн тухай хуулийн 16 дугаар зүйлийн 16.2 дахь хэсэгт “Төрийн өндөр, түүнтэй адилтгах албан тушаалтныг ёс зүйн зөрчилтэй нь холбогдуулан огцруулах, эгүүлэн татах асуудлыг холбогдох хуульд заасны дагуу шийдвэрлэнэ” гэж заасан бөгөөд </w:t>
      </w:r>
      <w:r w:rsidR="00F6448B" w:rsidRPr="00CE1546">
        <w:rPr>
          <w:rFonts w:ascii="Arial" w:hAnsi="Arial" w:cs="Arial"/>
          <w:sz w:val="24"/>
          <w:szCs w:val="24"/>
          <w:lang w:val="mn-MN"/>
        </w:rPr>
        <w:t xml:space="preserve">Монгол </w:t>
      </w:r>
      <w:r w:rsidR="00780A96" w:rsidRPr="00CE1546">
        <w:rPr>
          <w:rFonts w:ascii="Arial" w:hAnsi="Arial" w:cs="Arial"/>
          <w:sz w:val="24"/>
          <w:szCs w:val="24"/>
          <w:lang w:val="mn-MN"/>
        </w:rPr>
        <w:t xml:space="preserve">Улсын Их Хурлын тухай хуульд </w:t>
      </w:r>
      <w:r w:rsidR="00C33CCD" w:rsidRPr="00CE1546">
        <w:rPr>
          <w:rFonts w:ascii="Arial" w:hAnsi="Arial" w:cs="Arial"/>
          <w:sz w:val="24"/>
          <w:szCs w:val="24"/>
          <w:lang w:val="mn-MN"/>
        </w:rPr>
        <w:t xml:space="preserve">Улсын Их Хурлын гишүүний ёс зүйтэй холбоотой </w:t>
      </w:r>
      <w:r w:rsidR="00780A96" w:rsidRPr="00CE1546">
        <w:rPr>
          <w:rFonts w:ascii="Arial" w:hAnsi="Arial" w:cs="Arial"/>
          <w:sz w:val="24"/>
          <w:szCs w:val="24"/>
          <w:lang w:val="mn-MN"/>
        </w:rPr>
        <w:t>асуудлаар “эгүүлэн татах”</w:t>
      </w:r>
      <w:r w:rsidR="00066F7F" w:rsidRPr="00CE1546">
        <w:rPr>
          <w:rFonts w:ascii="Arial" w:hAnsi="Arial" w:cs="Arial"/>
          <w:sz w:val="24"/>
          <w:szCs w:val="24"/>
          <w:lang w:val="mn-MN"/>
        </w:rPr>
        <w:t xml:space="preserve"> харилцааг </w:t>
      </w:r>
      <w:r w:rsidR="00C33CCD" w:rsidRPr="00CE1546">
        <w:rPr>
          <w:rFonts w:ascii="Arial" w:hAnsi="Arial" w:cs="Arial"/>
          <w:sz w:val="24"/>
          <w:szCs w:val="24"/>
          <w:lang w:val="mn-MN"/>
        </w:rPr>
        <w:t>тусгаагүй</w:t>
      </w:r>
      <w:r w:rsidR="00376EF5" w:rsidRPr="00CE1546">
        <w:rPr>
          <w:rFonts w:ascii="Arial" w:hAnsi="Arial" w:cs="Arial"/>
          <w:sz w:val="24"/>
          <w:szCs w:val="24"/>
          <w:lang w:val="mn-MN"/>
        </w:rPr>
        <w:t xml:space="preserve"> бөгөөд </w:t>
      </w:r>
      <w:r w:rsidR="00C33CCD" w:rsidRPr="00CE1546">
        <w:rPr>
          <w:rFonts w:ascii="Arial" w:hAnsi="Arial" w:cs="Arial"/>
          <w:sz w:val="24"/>
          <w:szCs w:val="24"/>
          <w:lang w:val="mn-MN"/>
        </w:rPr>
        <w:t>олон нийтээс энэ шалтгаанаар эгүүлэн татах шаардлагатай гэж үзэх болов</w:t>
      </w:r>
      <w:r w:rsidRPr="00CE1546">
        <w:rPr>
          <w:rFonts w:ascii="Arial" w:hAnsi="Arial" w:cs="Arial"/>
          <w:sz w:val="24"/>
          <w:szCs w:val="24"/>
          <w:lang w:val="mn-MN"/>
        </w:rPr>
        <w:t>.</w:t>
      </w:r>
    </w:p>
    <w:p w14:paraId="35D14FC9" w14:textId="3C41EE12" w:rsidR="0036033A"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Зургаадугаарт,</w:t>
      </w:r>
      <w:r w:rsidRPr="00CE1546">
        <w:rPr>
          <w:rFonts w:ascii="Arial" w:hAnsi="Arial" w:cs="Arial"/>
          <w:b/>
          <w:bCs/>
          <w:sz w:val="24"/>
          <w:szCs w:val="24"/>
          <w:lang w:val="mn-MN"/>
        </w:rPr>
        <w:t xml:space="preserve"> </w:t>
      </w:r>
      <w:r w:rsidRPr="00CE1546">
        <w:rPr>
          <w:rFonts w:ascii="Arial" w:hAnsi="Arial" w:cs="Arial"/>
          <w:sz w:val="24"/>
          <w:szCs w:val="24"/>
          <w:lang w:val="mn-MN"/>
        </w:rPr>
        <w:t>Хууль тогтоомжийн тухай хуулийн 51 дүгээр зүйлийн 51.3-т зааснаар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w:t>
      </w:r>
      <w:r w:rsidR="00C33CCD" w:rsidRPr="00CE1546">
        <w:rPr>
          <w:rFonts w:ascii="Arial" w:hAnsi="Arial" w:cs="Arial"/>
          <w:sz w:val="24"/>
          <w:szCs w:val="24"/>
          <w:lang w:val="mn-MN"/>
        </w:rPr>
        <w:t xml:space="preserve"> гэж заажээ.</w:t>
      </w:r>
    </w:p>
    <w:p w14:paraId="39EE9468" w14:textId="77777777" w:rsidR="0036033A" w:rsidRPr="00CE1546" w:rsidRDefault="00A55FC6" w:rsidP="00CE1546">
      <w:pPr>
        <w:pStyle w:val="Heading2"/>
        <w:spacing w:line="276" w:lineRule="auto"/>
        <w:ind w:firstLine="720"/>
      </w:pPr>
      <w:r w:rsidRPr="00CE1546">
        <w:t>2.2. Үнэлгээ хийх хүрээг тогтоох</w:t>
      </w:r>
    </w:p>
    <w:p w14:paraId="10C03113" w14:textId="7420E0CF" w:rsidR="0036033A"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 xml:space="preserve">Дээрх шалтгаан, нөхцөл байдлыг үндэслэн </w:t>
      </w:r>
      <w:r w:rsidR="00F6448B" w:rsidRPr="00CE1546">
        <w:rPr>
          <w:rFonts w:ascii="Arial" w:hAnsi="Arial" w:cs="Arial"/>
          <w:sz w:val="24"/>
          <w:szCs w:val="24"/>
          <w:lang w:val="mn-MN"/>
        </w:rPr>
        <w:t xml:space="preserve">Монгол Улсын Их Хурлын тухай хуулийн </w:t>
      </w:r>
      <w:r w:rsidRPr="00CE1546">
        <w:rPr>
          <w:rFonts w:ascii="Arial" w:hAnsi="Arial" w:cs="Arial"/>
          <w:sz w:val="24"/>
          <w:szCs w:val="24"/>
          <w:lang w:val="mn-MN"/>
        </w:rPr>
        <w:t>дараах зүйл, заалтуудад үнэлгээ хийхээр хүрээг тогтоолоо.</w:t>
      </w:r>
    </w:p>
    <w:tbl>
      <w:tblPr>
        <w:tblStyle w:val="TableGrid"/>
        <w:tblW w:w="9026" w:type="dxa"/>
        <w:tblLook w:val="0000" w:firstRow="0" w:lastRow="0" w:firstColumn="0" w:lastColumn="0" w:noHBand="0" w:noVBand="0"/>
      </w:tblPr>
      <w:tblGrid>
        <w:gridCol w:w="700"/>
        <w:gridCol w:w="2800"/>
        <w:gridCol w:w="5526"/>
      </w:tblGrid>
      <w:tr w:rsidR="0036033A" w:rsidRPr="00CE1546" w14:paraId="6C06D1F5" w14:textId="77777777" w:rsidTr="00E05F6D">
        <w:tc>
          <w:tcPr>
            <w:tcW w:w="700" w:type="dxa"/>
          </w:tcPr>
          <w:p w14:paraId="382770D5"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b/>
                <w:bCs/>
                <w:sz w:val="24"/>
                <w:szCs w:val="24"/>
                <w:lang w:val="mn-MN"/>
              </w:rPr>
              <w:t>Д/д</w:t>
            </w:r>
          </w:p>
        </w:tc>
        <w:tc>
          <w:tcPr>
            <w:tcW w:w="2800" w:type="dxa"/>
          </w:tcPr>
          <w:p w14:paraId="5C20676E"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b/>
                <w:bCs/>
                <w:sz w:val="24"/>
                <w:szCs w:val="24"/>
                <w:lang w:val="mn-MN"/>
              </w:rPr>
              <w:t>Хуулийн холбогдох хэсэг</w:t>
            </w:r>
          </w:p>
        </w:tc>
        <w:tc>
          <w:tcPr>
            <w:tcW w:w="5526" w:type="dxa"/>
          </w:tcPr>
          <w:p w14:paraId="622CCECF"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b/>
                <w:bCs/>
                <w:sz w:val="24"/>
                <w:szCs w:val="24"/>
                <w:lang w:val="mn-MN"/>
              </w:rPr>
              <w:t>Агуулга</w:t>
            </w:r>
          </w:p>
        </w:tc>
      </w:tr>
      <w:tr w:rsidR="0036033A" w:rsidRPr="00CE1546" w14:paraId="1969DE4C" w14:textId="77777777" w:rsidTr="00E05F6D">
        <w:tc>
          <w:tcPr>
            <w:tcW w:w="700" w:type="dxa"/>
          </w:tcPr>
          <w:p w14:paraId="5CB1A062"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1</w:t>
            </w:r>
          </w:p>
        </w:tc>
        <w:tc>
          <w:tcPr>
            <w:tcW w:w="2800" w:type="dxa"/>
          </w:tcPr>
          <w:p w14:paraId="2562BD86"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7 дугаар зүйлийн 7.2</w:t>
            </w:r>
          </w:p>
        </w:tc>
        <w:tc>
          <w:tcPr>
            <w:tcW w:w="5526" w:type="dxa"/>
          </w:tcPr>
          <w:p w14:paraId="580D8310" w14:textId="098343C5"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 xml:space="preserve">Гишүүний </w:t>
            </w:r>
            <w:r w:rsidR="00501398" w:rsidRPr="00CE1546">
              <w:rPr>
                <w:rFonts w:ascii="Arial" w:hAnsi="Arial" w:cs="Arial"/>
                <w:sz w:val="24"/>
                <w:szCs w:val="24"/>
                <w:lang w:val="mn-MN"/>
              </w:rPr>
              <w:t xml:space="preserve">тангарагт </w:t>
            </w:r>
            <w:r w:rsidRPr="00CE1546">
              <w:rPr>
                <w:rFonts w:ascii="Arial" w:hAnsi="Arial" w:cs="Arial"/>
                <w:sz w:val="24"/>
                <w:szCs w:val="24"/>
                <w:lang w:val="mn-MN"/>
              </w:rPr>
              <w:t>ёс зүйн хэм хэмжэ</w:t>
            </w:r>
            <w:r w:rsidR="00501398" w:rsidRPr="00CE1546">
              <w:rPr>
                <w:rFonts w:ascii="Arial" w:hAnsi="Arial" w:cs="Arial"/>
                <w:sz w:val="24"/>
                <w:szCs w:val="24"/>
                <w:lang w:val="mn-MN"/>
              </w:rPr>
              <w:t>эний талаар тусгасан эсэх</w:t>
            </w:r>
          </w:p>
        </w:tc>
      </w:tr>
      <w:tr w:rsidR="0036033A" w:rsidRPr="00CE1546" w14:paraId="698F8DAC" w14:textId="77777777" w:rsidTr="00E05F6D">
        <w:tc>
          <w:tcPr>
            <w:tcW w:w="700" w:type="dxa"/>
          </w:tcPr>
          <w:p w14:paraId="0D81C927"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2</w:t>
            </w:r>
          </w:p>
        </w:tc>
        <w:tc>
          <w:tcPr>
            <w:tcW w:w="2800" w:type="dxa"/>
          </w:tcPr>
          <w:p w14:paraId="470E91D8"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9 дүгээр зүйлийн 9.1.4</w:t>
            </w:r>
          </w:p>
        </w:tc>
        <w:tc>
          <w:tcPr>
            <w:tcW w:w="5526" w:type="dxa"/>
          </w:tcPr>
          <w:p w14:paraId="14FDD98C"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Үндсэн хуулийн цэцийн дүгнэлтээр эгүүлэн татах үндэслэл</w:t>
            </w:r>
          </w:p>
        </w:tc>
      </w:tr>
      <w:tr w:rsidR="0036033A" w:rsidRPr="00CE1546" w14:paraId="44CA3AD5" w14:textId="77777777" w:rsidTr="00E05F6D">
        <w:tc>
          <w:tcPr>
            <w:tcW w:w="700" w:type="dxa"/>
          </w:tcPr>
          <w:p w14:paraId="433AFA11"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3</w:t>
            </w:r>
          </w:p>
        </w:tc>
        <w:tc>
          <w:tcPr>
            <w:tcW w:w="2800" w:type="dxa"/>
          </w:tcPr>
          <w:p w14:paraId="48983E4F"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9 дүгээр зүйлийн 9.1.5</w:t>
            </w:r>
          </w:p>
        </w:tc>
        <w:tc>
          <w:tcPr>
            <w:tcW w:w="5526" w:type="dxa"/>
          </w:tcPr>
          <w:p w14:paraId="139B3844"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Гэмт хэрэг үйлдсэнийг шүүх тогтоосон тохиолдолд эгүүлэн татах журам</w:t>
            </w:r>
          </w:p>
        </w:tc>
      </w:tr>
      <w:tr w:rsidR="0036033A" w:rsidRPr="00CE1546" w14:paraId="1D16CD9D" w14:textId="77777777" w:rsidTr="00E05F6D">
        <w:tc>
          <w:tcPr>
            <w:tcW w:w="700" w:type="dxa"/>
          </w:tcPr>
          <w:p w14:paraId="1D3FC4B7"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4</w:t>
            </w:r>
          </w:p>
        </w:tc>
        <w:tc>
          <w:tcPr>
            <w:tcW w:w="2800" w:type="dxa"/>
          </w:tcPr>
          <w:p w14:paraId="326A50F6"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9 дүгээр зүйлийн 9.3</w:t>
            </w:r>
          </w:p>
        </w:tc>
        <w:tc>
          <w:tcPr>
            <w:tcW w:w="5526" w:type="dxa"/>
          </w:tcPr>
          <w:p w14:paraId="33B0B4DA"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Үндсэн хууль зөрчсөн гэж цэцийн дүгнэлт гаргасан тохиолдлын зохицуулалт</w:t>
            </w:r>
          </w:p>
        </w:tc>
      </w:tr>
      <w:tr w:rsidR="0036033A" w:rsidRPr="00CE1546" w14:paraId="1B774525" w14:textId="77777777" w:rsidTr="00E05F6D">
        <w:tc>
          <w:tcPr>
            <w:tcW w:w="700" w:type="dxa"/>
          </w:tcPr>
          <w:p w14:paraId="0EDABF47"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5</w:t>
            </w:r>
          </w:p>
        </w:tc>
        <w:tc>
          <w:tcPr>
            <w:tcW w:w="2800" w:type="dxa"/>
          </w:tcPr>
          <w:p w14:paraId="78E8C5F4"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9 дүгээр зүйлийн 9.4</w:t>
            </w:r>
          </w:p>
        </w:tc>
        <w:tc>
          <w:tcPr>
            <w:tcW w:w="5526" w:type="dxa"/>
          </w:tcPr>
          <w:p w14:paraId="14FF2691"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Гишүүнийг чөлөөлөх, эгүүлэн татах ажиллагааны журам</w:t>
            </w:r>
          </w:p>
        </w:tc>
      </w:tr>
    </w:tbl>
    <w:p w14:paraId="145CA5F6" w14:textId="77777777" w:rsidR="0036033A" w:rsidRPr="00CE1546" w:rsidRDefault="00A55FC6" w:rsidP="00CE1546">
      <w:pPr>
        <w:pStyle w:val="Heading2"/>
        <w:spacing w:line="276" w:lineRule="auto"/>
        <w:ind w:firstLine="720"/>
      </w:pPr>
      <w:r w:rsidRPr="00CE1546">
        <w:t>2.3. Шалгуур үзүүлэлтийг сонгож тогтоох</w:t>
      </w:r>
    </w:p>
    <w:p w14:paraId="4B700ABA" w14:textId="6DE17400" w:rsidR="00501398"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Аргачлалын 3.4-д заасны дагуу дараах шалгуур үзүүлэлтүүдийг сонгон тогтоов.</w:t>
      </w:r>
    </w:p>
    <w:tbl>
      <w:tblPr>
        <w:tblStyle w:val="TableGrid"/>
        <w:tblW w:w="9026" w:type="dxa"/>
        <w:tblLook w:val="0000" w:firstRow="0" w:lastRow="0" w:firstColumn="0" w:lastColumn="0" w:noHBand="0" w:noVBand="0"/>
      </w:tblPr>
      <w:tblGrid>
        <w:gridCol w:w="700"/>
        <w:gridCol w:w="2600"/>
        <w:gridCol w:w="5726"/>
      </w:tblGrid>
      <w:tr w:rsidR="0036033A" w:rsidRPr="00CE1546" w14:paraId="0F43F77B" w14:textId="77777777" w:rsidTr="00E05F6D">
        <w:tc>
          <w:tcPr>
            <w:tcW w:w="700" w:type="dxa"/>
          </w:tcPr>
          <w:p w14:paraId="56679E44" w14:textId="04ACE3B4" w:rsidR="0036033A" w:rsidRPr="00CE1546" w:rsidRDefault="003660C6" w:rsidP="00CE1546">
            <w:pPr>
              <w:spacing w:line="276" w:lineRule="auto"/>
              <w:rPr>
                <w:rFonts w:ascii="Arial" w:hAnsi="Arial" w:cs="Arial"/>
                <w:sz w:val="24"/>
                <w:szCs w:val="24"/>
                <w:lang w:val="mn-MN"/>
              </w:rPr>
            </w:pPr>
            <w:r w:rsidRPr="00CE1546">
              <w:rPr>
                <w:rFonts w:ascii="Arial" w:hAnsi="Arial" w:cs="Arial"/>
                <w:b/>
                <w:bCs/>
                <w:sz w:val="24"/>
                <w:szCs w:val="24"/>
                <w:lang w:val="mn-MN"/>
              </w:rPr>
              <w:t>№</w:t>
            </w:r>
          </w:p>
        </w:tc>
        <w:tc>
          <w:tcPr>
            <w:tcW w:w="2600" w:type="dxa"/>
          </w:tcPr>
          <w:p w14:paraId="602F88E4"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b/>
                <w:bCs/>
                <w:sz w:val="24"/>
                <w:szCs w:val="24"/>
                <w:lang w:val="mn-MN"/>
              </w:rPr>
              <w:t>Шалгуур үзүүлэлт</w:t>
            </w:r>
          </w:p>
        </w:tc>
        <w:tc>
          <w:tcPr>
            <w:tcW w:w="5726" w:type="dxa"/>
          </w:tcPr>
          <w:p w14:paraId="1AA38C24"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b/>
                <w:bCs/>
                <w:sz w:val="24"/>
                <w:szCs w:val="24"/>
                <w:lang w:val="mn-MN"/>
              </w:rPr>
              <w:t>Тодорхойлолт</w:t>
            </w:r>
          </w:p>
        </w:tc>
      </w:tr>
      <w:tr w:rsidR="0036033A" w:rsidRPr="00CE1546" w14:paraId="1974E805" w14:textId="77777777" w:rsidTr="00E05F6D">
        <w:tc>
          <w:tcPr>
            <w:tcW w:w="700" w:type="dxa"/>
          </w:tcPr>
          <w:p w14:paraId="3D79D837"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lastRenderedPageBreak/>
              <w:t>1</w:t>
            </w:r>
          </w:p>
        </w:tc>
        <w:tc>
          <w:tcPr>
            <w:tcW w:w="2600" w:type="dxa"/>
          </w:tcPr>
          <w:p w14:paraId="0668881B"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Зорилгод хүрсэн түвшин (3.4.1)</w:t>
            </w:r>
          </w:p>
        </w:tc>
        <w:tc>
          <w:tcPr>
            <w:tcW w:w="5726" w:type="dxa"/>
          </w:tcPr>
          <w:p w14:paraId="733A2A47" w14:textId="6811A01A"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 xml:space="preserve">Хуулийн 9 дүгээр зүйлийн </w:t>
            </w:r>
            <w:r w:rsidR="008308A0" w:rsidRPr="00CE1546">
              <w:rPr>
                <w:rFonts w:ascii="Arial" w:hAnsi="Arial" w:cs="Arial"/>
                <w:sz w:val="24"/>
                <w:szCs w:val="24"/>
                <w:lang w:val="mn-MN"/>
              </w:rPr>
              <w:t xml:space="preserve">холбогдох </w:t>
            </w:r>
            <w:r w:rsidRPr="00CE1546">
              <w:rPr>
                <w:rFonts w:ascii="Arial" w:hAnsi="Arial" w:cs="Arial"/>
                <w:sz w:val="24"/>
                <w:szCs w:val="24"/>
                <w:lang w:val="mn-MN"/>
              </w:rPr>
              <w:t>зохицуулалт Үндсэн хуулийн зорилго, зарчимд нийцэж хэрэгжиж байгаа эсэх, ялангуяа эгүүлэн татах үндэслэл Үндсэн хуульд нийцсэн эсэх</w:t>
            </w:r>
          </w:p>
        </w:tc>
      </w:tr>
      <w:tr w:rsidR="0036033A" w:rsidRPr="00CE1546" w14:paraId="523D0440" w14:textId="77777777" w:rsidTr="00E05F6D">
        <w:tc>
          <w:tcPr>
            <w:tcW w:w="700" w:type="dxa"/>
          </w:tcPr>
          <w:p w14:paraId="34F5D5F8"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2</w:t>
            </w:r>
          </w:p>
        </w:tc>
        <w:tc>
          <w:tcPr>
            <w:tcW w:w="2600" w:type="dxa"/>
          </w:tcPr>
          <w:p w14:paraId="561E4FE0"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Хүлээн зөвшөөрөгдсөн байдал (3.4.4)</w:t>
            </w:r>
          </w:p>
        </w:tc>
        <w:tc>
          <w:tcPr>
            <w:tcW w:w="5726" w:type="dxa"/>
          </w:tcPr>
          <w:p w14:paraId="63EB3AD6"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Иргэд, олон нийт гишүүний хариуцлагын тогтолцоог хэрхэн хүлээн авч байгаа, парламентын үйл ажиллагаанд итгэх итгэлийн түвшин</w:t>
            </w:r>
          </w:p>
        </w:tc>
      </w:tr>
      <w:tr w:rsidR="0036033A" w:rsidRPr="00CE1546" w14:paraId="11312830" w14:textId="77777777" w:rsidTr="00E05F6D">
        <w:tc>
          <w:tcPr>
            <w:tcW w:w="700" w:type="dxa"/>
          </w:tcPr>
          <w:p w14:paraId="09D8E34B"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3</w:t>
            </w:r>
          </w:p>
        </w:tc>
        <w:tc>
          <w:tcPr>
            <w:tcW w:w="2600" w:type="dxa"/>
          </w:tcPr>
          <w:p w14:paraId="60947821"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Практикт нийцэж байгаа байдал (3.4.5)</w:t>
            </w:r>
          </w:p>
        </w:tc>
        <w:tc>
          <w:tcPr>
            <w:tcW w:w="5726" w:type="dxa"/>
          </w:tcPr>
          <w:p w14:paraId="3AD1798F"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Гишүүнийг эгүүлэн татах үндэслэл, журам практикт хэрхэн хэрэгжиж байгаа, хүндрэл бэрхшээл байгаа эсэх</w:t>
            </w:r>
          </w:p>
        </w:tc>
      </w:tr>
      <w:tr w:rsidR="0036033A" w:rsidRPr="00CE1546" w14:paraId="4874DB23" w14:textId="77777777" w:rsidTr="00E05F6D">
        <w:tc>
          <w:tcPr>
            <w:tcW w:w="700" w:type="dxa"/>
          </w:tcPr>
          <w:p w14:paraId="25DF669F"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4</w:t>
            </w:r>
          </w:p>
        </w:tc>
        <w:tc>
          <w:tcPr>
            <w:tcW w:w="2600" w:type="dxa"/>
          </w:tcPr>
          <w:p w14:paraId="0670A98C"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Бусад үр дагавар (3.4.6)</w:t>
            </w:r>
          </w:p>
        </w:tc>
        <w:tc>
          <w:tcPr>
            <w:tcW w:w="5726" w:type="dxa"/>
          </w:tcPr>
          <w:p w14:paraId="2B2513C9" w14:textId="59B8E47C"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 xml:space="preserve">Хуулийн зохицуулалтын </w:t>
            </w:r>
            <w:r w:rsidR="00113104" w:rsidRPr="00CE1546">
              <w:rPr>
                <w:rFonts w:ascii="Arial" w:hAnsi="Arial" w:cs="Arial"/>
                <w:sz w:val="24"/>
                <w:szCs w:val="24"/>
                <w:lang w:val="mn-MN"/>
              </w:rPr>
              <w:t>хийдэл, зөрчлөөс үүдсэн</w:t>
            </w:r>
            <w:r w:rsidRPr="00CE1546">
              <w:rPr>
                <w:rFonts w:ascii="Arial" w:hAnsi="Arial" w:cs="Arial"/>
                <w:sz w:val="24"/>
                <w:szCs w:val="24"/>
                <w:lang w:val="mn-MN"/>
              </w:rPr>
              <w:t xml:space="preserve"> нэмэлт сөрөг үр дагавар, Үндсэн хуульт ёсонд үзүүлэх нөлөөлөл</w:t>
            </w:r>
          </w:p>
        </w:tc>
      </w:tr>
    </w:tbl>
    <w:p w14:paraId="4607B4BE" w14:textId="77777777" w:rsidR="0036033A" w:rsidRPr="00CE1546" w:rsidRDefault="00A55FC6" w:rsidP="00CE1546">
      <w:pPr>
        <w:pStyle w:val="Heading2"/>
        <w:spacing w:line="276" w:lineRule="auto"/>
        <w:ind w:firstLine="720"/>
      </w:pPr>
      <w:r w:rsidRPr="00CE1546">
        <w:t>2.4. Харьцуулах хэлбэрийг сонгох</w:t>
      </w:r>
    </w:p>
    <w:p w14:paraId="2665926E" w14:textId="77777777" w:rsidR="00782FE5" w:rsidRPr="00CE1546" w:rsidRDefault="006776DC"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Аргачлалын 3.5-д заасны дагуу дараах харьцуулах хэлбэрийг сонгов.</w:t>
      </w:r>
    </w:p>
    <w:p w14:paraId="11E5BE20" w14:textId="31D1446C"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 xml:space="preserve">Монгол Улсын Үндсэн хуулиар тогтоосон шаардлага, зарчмыг (байх ёстой) одоо хүчин төгөлдөр үйлчилж байгаа Монгол Улсын Их Хурлын тухай хуулийн зохицуулалттай (одоо байгаа) харьцуулна. Ялангуяа Үндсэн хуулийн </w:t>
      </w:r>
      <w:r w:rsidR="00652FE6" w:rsidRPr="00CE1546">
        <w:rPr>
          <w:rFonts w:ascii="Arial" w:hAnsi="Arial" w:cs="Arial"/>
          <w:sz w:val="24"/>
          <w:szCs w:val="24"/>
          <w:lang w:val="mn-MN"/>
        </w:rPr>
        <w:t xml:space="preserve">29 </w:t>
      </w:r>
      <w:r w:rsidRPr="00CE1546">
        <w:rPr>
          <w:rFonts w:ascii="Arial" w:hAnsi="Arial" w:cs="Arial"/>
          <w:sz w:val="24"/>
          <w:szCs w:val="24"/>
          <w:lang w:val="mn-MN"/>
        </w:rPr>
        <w:t xml:space="preserve">зүйлийн 3 дахь хэсэг, </w:t>
      </w:r>
      <w:r w:rsidR="000F47B8" w:rsidRPr="00CE1546">
        <w:rPr>
          <w:rFonts w:ascii="Arial" w:hAnsi="Arial" w:cs="Arial"/>
          <w:sz w:val="24"/>
          <w:szCs w:val="24"/>
          <w:lang w:val="mn-MN"/>
        </w:rPr>
        <w:t>66 дугаар</w:t>
      </w:r>
      <w:r w:rsidRPr="00CE1546">
        <w:rPr>
          <w:rFonts w:ascii="Arial" w:hAnsi="Arial" w:cs="Arial"/>
          <w:sz w:val="24"/>
          <w:szCs w:val="24"/>
          <w:lang w:val="mn-MN"/>
        </w:rPr>
        <w:t xml:space="preserve"> зүйлийн 2 дахь хэсгийн 3, 4-т заасан үндэслэлүүдийг хуулийн 9 дүгээр зүйлд хэрхэн тусгасан байдлыг үнэлнэ.</w:t>
      </w:r>
    </w:p>
    <w:p w14:paraId="35BB9510" w14:textId="30D72A0B"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color w:val="000000" w:themeColor="text1"/>
          <w:sz w:val="24"/>
          <w:szCs w:val="24"/>
          <w:lang w:val="mn-MN"/>
        </w:rPr>
        <w:tab/>
      </w:r>
      <w:r w:rsidR="001F47D1" w:rsidRPr="00CE1546">
        <w:rPr>
          <w:rFonts w:ascii="Arial" w:hAnsi="Arial" w:cs="Arial"/>
          <w:color w:val="000000" w:themeColor="text1"/>
          <w:sz w:val="24"/>
          <w:szCs w:val="24"/>
          <w:lang w:val="mn-MN"/>
        </w:rPr>
        <w:t xml:space="preserve">Байх ёстой хийгээд одоо байгаа байдлын (Soll und Sein) зөрүүг тодорхойлж, энэ зөрүүг ойртуулах арга замыг хайх явдал бодлогын судалгааны гол арга зүй бөгөөд </w:t>
      </w:r>
      <w:r w:rsidR="008907ED" w:rsidRPr="00CE1546">
        <w:rPr>
          <w:rFonts w:ascii="Arial" w:hAnsi="Arial" w:cs="Arial"/>
          <w:color w:val="000000" w:themeColor="text1"/>
          <w:sz w:val="24"/>
          <w:szCs w:val="24"/>
          <w:lang w:val="mn-MN"/>
        </w:rPr>
        <w:t>э</w:t>
      </w:r>
      <w:r w:rsidRPr="00CE1546">
        <w:rPr>
          <w:rFonts w:ascii="Arial" w:hAnsi="Arial" w:cs="Arial"/>
          <w:color w:val="000000" w:themeColor="text1"/>
          <w:sz w:val="24"/>
          <w:szCs w:val="24"/>
          <w:lang w:val="mn-MN"/>
        </w:rPr>
        <w:t xml:space="preserve">нэхүү </w:t>
      </w:r>
      <w:r w:rsidRPr="00CE1546">
        <w:rPr>
          <w:rFonts w:ascii="Arial" w:hAnsi="Arial" w:cs="Arial"/>
          <w:sz w:val="24"/>
          <w:szCs w:val="24"/>
          <w:lang w:val="mn-MN"/>
        </w:rPr>
        <w:t>харьцуулах хэлбэрийг сонгосон нь Үндсэн хуульд 2019 онд оруулсан нэмэлт, өөрчлөлтөөр шинэ шаардлага бий болсон бөгөөд хуулийн одоогийн зохицуулалт тэдгээр шаардлагад нийцэж байгаа эсэхийг тогтооход тохиромжтой юм.</w:t>
      </w:r>
    </w:p>
    <w:p w14:paraId="78524C91" w14:textId="1BD3D7BD" w:rsidR="0036033A" w:rsidRPr="00CE1546" w:rsidRDefault="00A55FC6" w:rsidP="00CE1546">
      <w:pPr>
        <w:pStyle w:val="Heading2"/>
        <w:spacing w:line="276" w:lineRule="auto"/>
        <w:ind w:firstLine="720"/>
      </w:pPr>
      <w:r w:rsidRPr="00CE1546">
        <w:t>2.5.Шалгуур үзүүлэлтийг томьёолох</w:t>
      </w:r>
    </w:p>
    <w:p w14:paraId="08505B01" w14:textId="5E51E8CE"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Аргачлалын 3.6-д заасны дагуу шалгуур үзүүлэлт бүрийг дараах байдлаар томьёолов.</w:t>
      </w:r>
    </w:p>
    <w:tbl>
      <w:tblPr>
        <w:tblStyle w:val="TableGrid"/>
        <w:tblW w:w="9351" w:type="dxa"/>
        <w:tblLook w:val="0000" w:firstRow="0" w:lastRow="0" w:firstColumn="0" w:lastColumn="0" w:noHBand="0" w:noVBand="0"/>
      </w:tblPr>
      <w:tblGrid>
        <w:gridCol w:w="2200"/>
        <w:gridCol w:w="3413"/>
        <w:gridCol w:w="3738"/>
      </w:tblGrid>
      <w:tr w:rsidR="0036033A" w:rsidRPr="00CE1546" w14:paraId="14A6A918" w14:textId="77777777" w:rsidTr="00113104">
        <w:tc>
          <w:tcPr>
            <w:tcW w:w="2200" w:type="dxa"/>
          </w:tcPr>
          <w:p w14:paraId="0DBFE073"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b/>
                <w:bCs/>
                <w:sz w:val="24"/>
                <w:szCs w:val="24"/>
                <w:lang w:val="mn-MN"/>
              </w:rPr>
              <w:t>Үнэлгээний хүрээ</w:t>
            </w:r>
          </w:p>
        </w:tc>
        <w:tc>
          <w:tcPr>
            <w:tcW w:w="3413" w:type="dxa"/>
          </w:tcPr>
          <w:p w14:paraId="15126044"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b/>
                <w:bCs/>
                <w:sz w:val="24"/>
                <w:szCs w:val="24"/>
                <w:lang w:val="mn-MN"/>
              </w:rPr>
              <w:t>Шалгуур үзүүлэлтийн томьёолол</w:t>
            </w:r>
          </w:p>
        </w:tc>
        <w:tc>
          <w:tcPr>
            <w:tcW w:w="3738" w:type="dxa"/>
          </w:tcPr>
          <w:p w14:paraId="7D03C4ED"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b/>
                <w:bCs/>
                <w:sz w:val="24"/>
                <w:szCs w:val="24"/>
                <w:lang w:val="mn-MN"/>
              </w:rPr>
              <w:t>Харьцуулах хэлбэр</w:t>
            </w:r>
          </w:p>
        </w:tc>
      </w:tr>
      <w:tr w:rsidR="0036033A" w:rsidRPr="00CE1546" w14:paraId="372CF8A8" w14:textId="77777777" w:rsidTr="00113104">
        <w:tc>
          <w:tcPr>
            <w:tcW w:w="2200" w:type="dxa"/>
          </w:tcPr>
          <w:p w14:paraId="58B1ADE5" w14:textId="77777777"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9.1.4 (Цэцийн дүгнэлтээр эгүүлэн татах)</w:t>
            </w:r>
          </w:p>
        </w:tc>
        <w:tc>
          <w:tcPr>
            <w:tcW w:w="3413" w:type="dxa"/>
          </w:tcPr>
          <w:p w14:paraId="33692287" w14:textId="62E5600A" w:rsidR="0036033A"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 xml:space="preserve">Хуулийн 9.1.4-ийн </w:t>
            </w:r>
            <w:r w:rsidR="00782FE5" w:rsidRPr="00CE1546">
              <w:rPr>
                <w:rFonts w:ascii="Arial" w:hAnsi="Arial" w:cs="Arial"/>
                <w:sz w:val="24"/>
                <w:szCs w:val="24"/>
                <w:lang w:val="mn-MN"/>
              </w:rPr>
              <w:t>“</w:t>
            </w:r>
            <w:r w:rsidRPr="00CE1546">
              <w:rPr>
                <w:rFonts w:ascii="Arial" w:hAnsi="Arial" w:cs="Arial"/>
                <w:sz w:val="24"/>
                <w:szCs w:val="24"/>
                <w:lang w:val="mn-MN"/>
              </w:rPr>
              <w:t>хүлээн зөвшөөрсөн</w:t>
            </w:r>
            <w:r w:rsidR="00782FE5" w:rsidRPr="00CE1546">
              <w:rPr>
                <w:rFonts w:ascii="Arial" w:hAnsi="Arial" w:cs="Arial"/>
                <w:sz w:val="24"/>
                <w:szCs w:val="24"/>
                <w:lang w:val="mn-MN"/>
              </w:rPr>
              <w:t>”</w:t>
            </w:r>
            <w:r w:rsidRPr="00CE1546">
              <w:rPr>
                <w:rFonts w:ascii="Arial" w:hAnsi="Arial" w:cs="Arial"/>
                <w:sz w:val="24"/>
                <w:szCs w:val="24"/>
                <w:lang w:val="mn-MN"/>
              </w:rPr>
              <w:t xml:space="preserve"> гэсэн нөхцөл Үндсэн хуулийн 67 дугаар зүйлд нийц</w:t>
            </w:r>
            <w:r w:rsidR="009C6D74" w:rsidRPr="00CE1546">
              <w:rPr>
                <w:rFonts w:ascii="Arial" w:hAnsi="Arial" w:cs="Arial"/>
                <w:sz w:val="24"/>
                <w:szCs w:val="24"/>
                <w:lang w:val="mn-MN"/>
              </w:rPr>
              <w:t>сэн эсэх</w:t>
            </w:r>
          </w:p>
        </w:tc>
        <w:tc>
          <w:tcPr>
            <w:tcW w:w="3738" w:type="dxa"/>
          </w:tcPr>
          <w:p w14:paraId="05B77FAF" w14:textId="40CECBAD" w:rsidR="009C6D74" w:rsidRPr="00CE1546" w:rsidRDefault="00A55FC6" w:rsidP="00CE1546">
            <w:pPr>
              <w:spacing w:line="276" w:lineRule="auto"/>
              <w:rPr>
                <w:rFonts w:ascii="Arial" w:hAnsi="Arial" w:cs="Arial"/>
                <w:sz w:val="24"/>
                <w:szCs w:val="24"/>
                <w:lang w:val="mn-MN"/>
              </w:rPr>
            </w:pPr>
            <w:r w:rsidRPr="00CE1546">
              <w:rPr>
                <w:rFonts w:ascii="Arial" w:hAnsi="Arial" w:cs="Arial"/>
                <w:sz w:val="24"/>
                <w:szCs w:val="24"/>
                <w:lang w:val="mn-MN"/>
              </w:rPr>
              <w:t xml:space="preserve">Байх ёстой </w:t>
            </w:r>
            <w:r w:rsidR="009C6D74" w:rsidRPr="00CE1546">
              <w:rPr>
                <w:rFonts w:ascii="Arial" w:hAnsi="Arial" w:cs="Arial"/>
                <w:sz w:val="24"/>
                <w:szCs w:val="24"/>
                <w:lang w:val="mn-MN"/>
              </w:rPr>
              <w:t>- Үндсэн хуулийн</w:t>
            </w:r>
            <w:r w:rsidRPr="00CE1546">
              <w:rPr>
                <w:rFonts w:ascii="Arial" w:hAnsi="Arial" w:cs="Arial"/>
                <w:sz w:val="24"/>
                <w:szCs w:val="24"/>
                <w:lang w:val="mn-MN"/>
              </w:rPr>
              <w:t xml:space="preserve"> 67-р зүйл</w:t>
            </w:r>
          </w:p>
          <w:p w14:paraId="635E63F1" w14:textId="538C5815" w:rsidR="0036033A" w:rsidRPr="00CE1546" w:rsidRDefault="009C6D74" w:rsidP="00CE1546">
            <w:pPr>
              <w:spacing w:line="276" w:lineRule="auto"/>
              <w:rPr>
                <w:rFonts w:ascii="Arial" w:hAnsi="Arial" w:cs="Arial"/>
                <w:sz w:val="24"/>
                <w:szCs w:val="24"/>
                <w:lang w:val="mn-MN"/>
              </w:rPr>
            </w:pPr>
            <w:r w:rsidRPr="00CE1546">
              <w:rPr>
                <w:rFonts w:ascii="Arial" w:hAnsi="Arial" w:cs="Arial"/>
                <w:sz w:val="24"/>
                <w:szCs w:val="24"/>
                <w:lang w:val="mn-MN"/>
              </w:rPr>
              <w:t>Одоо байгаа – УИХ-ын тухай хуулийн 9.1.4 заалт</w:t>
            </w:r>
          </w:p>
        </w:tc>
      </w:tr>
      <w:tr w:rsidR="007E7E63" w:rsidRPr="00CE1546" w14:paraId="71483368" w14:textId="77777777" w:rsidTr="00113104">
        <w:tc>
          <w:tcPr>
            <w:tcW w:w="2200" w:type="dxa"/>
          </w:tcPr>
          <w:p w14:paraId="1C4AA2CE" w14:textId="38ECF743"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9.1.5 (Шүүхийн шийдвэр)</w:t>
            </w:r>
          </w:p>
        </w:tc>
        <w:tc>
          <w:tcPr>
            <w:tcW w:w="3413" w:type="dxa"/>
          </w:tcPr>
          <w:p w14:paraId="76547FCA" w14:textId="75D696EF"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Шүүхийн шийдвэрийг УИХ-д хүргүүлэх журам хэрэгжихүйц тодорхой эсэх</w:t>
            </w:r>
          </w:p>
        </w:tc>
        <w:tc>
          <w:tcPr>
            <w:tcW w:w="3738" w:type="dxa"/>
          </w:tcPr>
          <w:p w14:paraId="4469479C" w14:textId="77777777"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Байх ёстой - Үндсэн хуулийн 29.3, 50.2</w:t>
            </w:r>
          </w:p>
          <w:p w14:paraId="22B7691D" w14:textId="2692F35F"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 xml:space="preserve">Одоо байгаа – </w:t>
            </w:r>
            <w:r w:rsidR="008459A9" w:rsidRPr="00CE1546">
              <w:rPr>
                <w:rFonts w:ascii="Arial" w:hAnsi="Arial" w:cs="Arial"/>
                <w:sz w:val="24"/>
                <w:szCs w:val="24"/>
                <w:lang w:val="mn-MN"/>
              </w:rPr>
              <w:t xml:space="preserve">ИХ-ын тухай хуулийн 9.1.5 болон </w:t>
            </w:r>
            <w:proofErr w:type="spellStart"/>
            <w:r w:rsidRPr="00CE1546">
              <w:rPr>
                <w:rFonts w:ascii="Arial" w:hAnsi="Arial" w:cs="Arial"/>
                <w:sz w:val="24"/>
                <w:szCs w:val="24"/>
                <w:lang w:val="mn-MN"/>
              </w:rPr>
              <w:t>ЭХХШТХ</w:t>
            </w:r>
            <w:proofErr w:type="spellEnd"/>
          </w:p>
        </w:tc>
      </w:tr>
      <w:tr w:rsidR="007E7E63" w:rsidRPr="00CE1546" w14:paraId="2A806BE4" w14:textId="77777777" w:rsidTr="00113104">
        <w:tc>
          <w:tcPr>
            <w:tcW w:w="2200" w:type="dxa"/>
          </w:tcPr>
          <w:p w14:paraId="534C1248" w14:textId="4A17EB75"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lastRenderedPageBreak/>
              <w:t>9.3 (Үндсэн хууль зөрчсөн тохиолдол)</w:t>
            </w:r>
          </w:p>
        </w:tc>
        <w:tc>
          <w:tcPr>
            <w:tcW w:w="3413" w:type="dxa"/>
          </w:tcPr>
          <w:p w14:paraId="28663869" w14:textId="3D02F383"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 xml:space="preserve">Гишүүн </w:t>
            </w:r>
            <w:r w:rsidR="008459A9" w:rsidRPr="00CE1546">
              <w:rPr>
                <w:rFonts w:ascii="Arial" w:hAnsi="Arial" w:cs="Arial"/>
                <w:sz w:val="24"/>
                <w:szCs w:val="24"/>
                <w:lang w:val="mn-MN"/>
              </w:rPr>
              <w:t>Үндсэн хууль</w:t>
            </w:r>
            <w:r w:rsidRPr="00CE1546">
              <w:rPr>
                <w:rFonts w:ascii="Arial" w:hAnsi="Arial" w:cs="Arial"/>
                <w:sz w:val="24"/>
                <w:szCs w:val="24"/>
                <w:lang w:val="mn-MN"/>
              </w:rPr>
              <w:t xml:space="preserve"> зөрчсөн гэж цэц дүгнэсэн тохиолдол 9-р зүйлд бүрэн тусгагдсан эсэх</w:t>
            </w:r>
          </w:p>
        </w:tc>
        <w:tc>
          <w:tcPr>
            <w:tcW w:w="3738" w:type="dxa"/>
          </w:tcPr>
          <w:p w14:paraId="76CA55FA" w14:textId="54DABAB2"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Байх ёстой - Үндсэн хуулийн 66.2.3 заалт</w:t>
            </w:r>
          </w:p>
          <w:p w14:paraId="748EEF54" w14:textId="03DE1EFE"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Одоо байгаа – УИХ-ын тухай хуулийн 9.3 заалт</w:t>
            </w:r>
          </w:p>
        </w:tc>
      </w:tr>
      <w:tr w:rsidR="007E7E63" w:rsidRPr="00CE1546" w14:paraId="541F60A6" w14:textId="77777777" w:rsidTr="00113104">
        <w:tc>
          <w:tcPr>
            <w:tcW w:w="2200" w:type="dxa"/>
          </w:tcPr>
          <w:p w14:paraId="4A896881" w14:textId="77777777"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Ёс зүйн хариуцлага</w:t>
            </w:r>
          </w:p>
        </w:tc>
        <w:tc>
          <w:tcPr>
            <w:tcW w:w="3413" w:type="dxa"/>
          </w:tcPr>
          <w:p w14:paraId="147B0996" w14:textId="2E80CC10"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Гишүүнийг ёс зүйн зөрчлөөр эгүүлэн татах эсэх</w:t>
            </w:r>
          </w:p>
        </w:tc>
        <w:tc>
          <w:tcPr>
            <w:tcW w:w="3738" w:type="dxa"/>
          </w:tcPr>
          <w:p w14:paraId="5777482F" w14:textId="039BD2CC"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Байх ёстой - Үндсэн хуулийн 29.3</w:t>
            </w:r>
          </w:p>
          <w:p w14:paraId="4F2B8879" w14:textId="46FACC70" w:rsidR="007E7E63" w:rsidRPr="00CE1546" w:rsidRDefault="007E7E63" w:rsidP="00CE1546">
            <w:pPr>
              <w:spacing w:line="276" w:lineRule="auto"/>
              <w:rPr>
                <w:rFonts w:ascii="Arial" w:hAnsi="Arial" w:cs="Arial"/>
                <w:sz w:val="24"/>
                <w:szCs w:val="24"/>
                <w:lang w:val="mn-MN"/>
              </w:rPr>
            </w:pPr>
            <w:r w:rsidRPr="00CE1546">
              <w:rPr>
                <w:rFonts w:ascii="Arial" w:hAnsi="Arial" w:cs="Arial"/>
                <w:sz w:val="24"/>
                <w:szCs w:val="24"/>
                <w:lang w:val="mn-MN"/>
              </w:rPr>
              <w:t xml:space="preserve">Одоо байгаа – </w:t>
            </w:r>
            <w:r w:rsidR="008459A9" w:rsidRPr="00CE1546">
              <w:rPr>
                <w:rFonts w:ascii="Arial" w:hAnsi="Arial" w:cs="Arial"/>
                <w:sz w:val="24"/>
                <w:szCs w:val="24"/>
                <w:lang w:val="mn-MN"/>
              </w:rPr>
              <w:t xml:space="preserve">Монгол Улсын Их Хурлын тухай хууль болон УИХ-ын гишүүний </w:t>
            </w:r>
            <w:r w:rsidRPr="00CE1546">
              <w:rPr>
                <w:rFonts w:ascii="Arial" w:hAnsi="Arial" w:cs="Arial"/>
                <w:sz w:val="24"/>
                <w:szCs w:val="24"/>
                <w:lang w:val="mn-MN"/>
              </w:rPr>
              <w:t>Ёс зүйн дүрэм</w:t>
            </w:r>
          </w:p>
        </w:tc>
      </w:tr>
    </w:tbl>
    <w:p w14:paraId="52CBA036" w14:textId="77777777" w:rsidR="0036033A" w:rsidRPr="00CE1546" w:rsidRDefault="00A55FC6" w:rsidP="00CE1546">
      <w:pPr>
        <w:pStyle w:val="Heading2"/>
        <w:spacing w:line="276" w:lineRule="auto"/>
        <w:ind w:firstLine="720"/>
      </w:pPr>
      <w:r w:rsidRPr="00CE1546">
        <w:t>2.6. Мэдээлэл цуглуулах аргыг сонгох</w:t>
      </w:r>
    </w:p>
    <w:p w14:paraId="68CE24A3" w14:textId="57688D05"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 xml:space="preserve">Аргачлалын 3.7-д заасны дагуу </w:t>
      </w:r>
      <w:r w:rsidR="008459A9" w:rsidRPr="00CE1546">
        <w:rPr>
          <w:rFonts w:ascii="Arial" w:hAnsi="Arial" w:cs="Arial"/>
          <w:sz w:val="24"/>
          <w:szCs w:val="24"/>
          <w:lang w:val="mn-MN"/>
        </w:rPr>
        <w:t>“</w:t>
      </w:r>
      <w:r w:rsidRPr="00CE1546">
        <w:rPr>
          <w:rFonts w:ascii="Arial" w:hAnsi="Arial" w:cs="Arial"/>
          <w:sz w:val="24"/>
          <w:szCs w:val="24"/>
          <w:lang w:val="mn-MN"/>
        </w:rPr>
        <w:t>бэлэн байгаа мэдээллийг цуглуулах</w:t>
      </w:r>
      <w:r w:rsidR="008459A9" w:rsidRPr="00CE1546">
        <w:rPr>
          <w:rFonts w:ascii="Arial" w:hAnsi="Arial" w:cs="Arial"/>
          <w:sz w:val="24"/>
          <w:szCs w:val="24"/>
          <w:lang w:val="mn-MN"/>
        </w:rPr>
        <w:t>”</w:t>
      </w:r>
      <w:r w:rsidRPr="00CE1546">
        <w:rPr>
          <w:rFonts w:ascii="Arial" w:hAnsi="Arial" w:cs="Arial"/>
          <w:sz w:val="24"/>
          <w:szCs w:val="24"/>
          <w:lang w:val="mn-MN"/>
        </w:rPr>
        <w:t xml:space="preserve"> (3.7.3.1) аргыг голчлон сонголоо.</w:t>
      </w:r>
    </w:p>
    <w:p w14:paraId="47606611" w14:textId="77777777" w:rsidR="0036033A" w:rsidRPr="00CE1546" w:rsidRDefault="00A55FC6" w:rsidP="00CE1546">
      <w:pPr>
        <w:pStyle w:val="Heading1"/>
        <w:spacing w:line="276" w:lineRule="auto"/>
      </w:pPr>
      <w:r w:rsidRPr="00CE1546">
        <w:t>ГУРАВ. ХЭРЭГЖҮҮЛЭХ ҮЕ ШАТ</w:t>
      </w:r>
    </w:p>
    <w:p w14:paraId="583886BF" w14:textId="21AA9DB1"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Бэлэн байгаа мэдээллийг цуглуулах аргаар холбогдох материалуудыг цуглуулан дүн шинжилгээ хийлээ. Үүнд:</w:t>
      </w:r>
    </w:p>
    <w:p w14:paraId="0B962ECC" w14:textId="77777777" w:rsidR="0036033A" w:rsidRPr="00CE1546" w:rsidRDefault="00A55FC6" w:rsidP="00CE1546">
      <w:pPr>
        <w:spacing w:before="80" w:after="120" w:line="276" w:lineRule="auto"/>
        <w:jc w:val="both"/>
        <w:rPr>
          <w:rFonts w:ascii="Arial" w:hAnsi="Arial" w:cs="Arial"/>
          <w:sz w:val="24"/>
          <w:szCs w:val="24"/>
          <w:lang w:val="mn-MN"/>
        </w:rPr>
      </w:pPr>
      <w:r w:rsidRPr="00CE1546">
        <w:rPr>
          <w:rFonts w:ascii="Arial" w:hAnsi="Arial" w:cs="Arial"/>
          <w:b/>
          <w:bCs/>
          <w:sz w:val="24"/>
          <w:szCs w:val="24"/>
          <w:lang w:val="mn-MN"/>
        </w:rPr>
        <w:t>Монгол Улсын хууль:</w:t>
      </w:r>
    </w:p>
    <w:p w14:paraId="1B8E00AF" w14:textId="3EBBE49D" w:rsidR="0036033A" w:rsidRPr="00CE1546" w:rsidRDefault="00A55FC6" w:rsidP="00CE1546">
      <w:pPr>
        <w:pStyle w:val="ListParagraph"/>
        <w:numPr>
          <w:ilvl w:val="0"/>
          <w:numId w:val="3"/>
        </w:numPr>
        <w:spacing w:after="40" w:line="276" w:lineRule="auto"/>
        <w:jc w:val="both"/>
        <w:rPr>
          <w:rFonts w:ascii="Arial" w:hAnsi="Arial" w:cs="Arial"/>
          <w:sz w:val="24"/>
          <w:szCs w:val="24"/>
          <w:lang w:val="mn-MN"/>
        </w:rPr>
      </w:pPr>
      <w:r w:rsidRPr="00CE1546">
        <w:rPr>
          <w:rFonts w:ascii="Arial" w:hAnsi="Arial" w:cs="Arial"/>
          <w:sz w:val="24"/>
          <w:szCs w:val="24"/>
          <w:lang w:val="mn-MN"/>
        </w:rPr>
        <w:t xml:space="preserve">Монгол Улсын Үндсэн хууль (1992, </w:t>
      </w:r>
      <w:r w:rsidR="00096F92" w:rsidRPr="00CE1546">
        <w:rPr>
          <w:rFonts w:ascii="Arial" w:hAnsi="Arial" w:cs="Arial"/>
          <w:sz w:val="24"/>
          <w:szCs w:val="24"/>
          <w:lang w:val="mn-MN"/>
        </w:rPr>
        <w:t>2019, 2022, 2023</w:t>
      </w:r>
      <w:r w:rsidRPr="00CE1546">
        <w:rPr>
          <w:rFonts w:ascii="Arial" w:hAnsi="Arial" w:cs="Arial"/>
          <w:sz w:val="24"/>
          <w:szCs w:val="24"/>
          <w:lang w:val="mn-MN"/>
        </w:rPr>
        <w:t xml:space="preserve"> оны нэмэлт, өөрчлөлтийн хамт)</w:t>
      </w:r>
    </w:p>
    <w:p w14:paraId="31BCF25F" w14:textId="7245C9A1" w:rsidR="0036033A" w:rsidRPr="00CE1546" w:rsidRDefault="00A55FC6" w:rsidP="00CE1546">
      <w:pPr>
        <w:pStyle w:val="ListParagraph"/>
        <w:numPr>
          <w:ilvl w:val="0"/>
          <w:numId w:val="3"/>
        </w:numPr>
        <w:spacing w:after="40" w:line="276" w:lineRule="auto"/>
        <w:jc w:val="both"/>
        <w:rPr>
          <w:rFonts w:ascii="Arial" w:hAnsi="Arial" w:cs="Arial"/>
          <w:sz w:val="24"/>
          <w:szCs w:val="24"/>
          <w:lang w:val="mn-MN"/>
        </w:rPr>
      </w:pPr>
      <w:r w:rsidRPr="00CE1546">
        <w:rPr>
          <w:rFonts w:ascii="Arial" w:hAnsi="Arial" w:cs="Arial"/>
          <w:sz w:val="24"/>
          <w:szCs w:val="24"/>
          <w:lang w:val="mn-MN"/>
        </w:rPr>
        <w:t>Монгол Улсын Их Хурлын тухай хууль (202</w:t>
      </w:r>
      <w:r w:rsidR="00096F92" w:rsidRPr="00CE1546">
        <w:rPr>
          <w:rFonts w:ascii="Arial" w:hAnsi="Arial" w:cs="Arial"/>
          <w:sz w:val="24"/>
          <w:szCs w:val="24"/>
          <w:lang w:val="mn-MN"/>
        </w:rPr>
        <w:t>4</w:t>
      </w:r>
      <w:r w:rsidRPr="00CE1546">
        <w:rPr>
          <w:rFonts w:ascii="Arial" w:hAnsi="Arial" w:cs="Arial"/>
          <w:sz w:val="24"/>
          <w:szCs w:val="24"/>
          <w:lang w:val="mn-MN"/>
        </w:rPr>
        <w:t xml:space="preserve"> оны шинэчилсэн найруулга)</w:t>
      </w:r>
    </w:p>
    <w:p w14:paraId="38AAF437" w14:textId="1C06E42C" w:rsidR="0036033A" w:rsidRPr="00CE1546" w:rsidRDefault="00A55FC6" w:rsidP="00CE1546">
      <w:pPr>
        <w:pStyle w:val="ListParagraph"/>
        <w:numPr>
          <w:ilvl w:val="0"/>
          <w:numId w:val="3"/>
        </w:numPr>
        <w:spacing w:after="40" w:line="276" w:lineRule="auto"/>
        <w:jc w:val="both"/>
        <w:rPr>
          <w:rFonts w:ascii="Arial" w:hAnsi="Arial" w:cs="Arial"/>
          <w:sz w:val="24"/>
          <w:szCs w:val="24"/>
          <w:lang w:val="mn-MN"/>
        </w:rPr>
      </w:pPr>
      <w:r w:rsidRPr="00CE1546">
        <w:rPr>
          <w:rFonts w:ascii="Arial" w:hAnsi="Arial" w:cs="Arial"/>
          <w:sz w:val="24"/>
          <w:szCs w:val="24"/>
          <w:lang w:val="mn-MN"/>
        </w:rPr>
        <w:t>Хууль тогтоомжийн тухай хууль</w:t>
      </w:r>
      <w:r w:rsidR="008459A9" w:rsidRPr="00CE1546">
        <w:rPr>
          <w:rFonts w:ascii="Arial" w:hAnsi="Arial" w:cs="Arial"/>
          <w:sz w:val="24"/>
          <w:szCs w:val="24"/>
          <w:lang w:val="mn-MN"/>
        </w:rPr>
        <w:t xml:space="preserve"> (</w:t>
      </w:r>
      <w:r w:rsidR="00F823D5" w:rsidRPr="00CE1546">
        <w:rPr>
          <w:rFonts w:ascii="Arial" w:hAnsi="Arial" w:cs="Arial"/>
          <w:sz w:val="24"/>
          <w:szCs w:val="24"/>
          <w:lang w:val="mn-MN"/>
        </w:rPr>
        <w:t>2015</w:t>
      </w:r>
      <w:r w:rsidR="008459A9" w:rsidRPr="00CE1546">
        <w:rPr>
          <w:rFonts w:ascii="Arial" w:hAnsi="Arial" w:cs="Arial"/>
          <w:sz w:val="24"/>
          <w:szCs w:val="24"/>
          <w:lang w:val="mn-MN"/>
        </w:rPr>
        <w:t>)</w:t>
      </w:r>
    </w:p>
    <w:p w14:paraId="1167A352" w14:textId="7369D2BF" w:rsidR="0036033A" w:rsidRPr="00CE1546" w:rsidRDefault="00A55FC6" w:rsidP="00CE1546">
      <w:pPr>
        <w:pStyle w:val="ListParagraph"/>
        <w:numPr>
          <w:ilvl w:val="0"/>
          <w:numId w:val="3"/>
        </w:numPr>
        <w:spacing w:after="40" w:line="276" w:lineRule="auto"/>
        <w:jc w:val="both"/>
        <w:rPr>
          <w:rFonts w:ascii="Arial" w:hAnsi="Arial" w:cs="Arial"/>
          <w:sz w:val="24"/>
          <w:szCs w:val="24"/>
          <w:lang w:val="mn-MN"/>
        </w:rPr>
      </w:pPr>
      <w:r w:rsidRPr="00CE1546">
        <w:rPr>
          <w:rFonts w:ascii="Arial" w:hAnsi="Arial" w:cs="Arial"/>
          <w:sz w:val="24"/>
          <w:szCs w:val="24"/>
          <w:lang w:val="mn-MN"/>
        </w:rPr>
        <w:t>Үндсэн хуулийн цэцэд маргаан хянан шийдвэрлэх ажиллагааны тухай хууль</w:t>
      </w:r>
      <w:r w:rsidR="00F823D5" w:rsidRPr="00CE1546">
        <w:rPr>
          <w:rFonts w:ascii="Arial" w:hAnsi="Arial" w:cs="Arial"/>
          <w:sz w:val="24"/>
          <w:szCs w:val="24"/>
          <w:lang w:val="mn-MN"/>
        </w:rPr>
        <w:t xml:space="preserve"> (1997)</w:t>
      </w:r>
    </w:p>
    <w:p w14:paraId="4FF14340" w14:textId="611F3752" w:rsidR="0036033A" w:rsidRPr="00CE1546" w:rsidRDefault="00A55FC6" w:rsidP="00CE1546">
      <w:pPr>
        <w:pStyle w:val="ListParagraph"/>
        <w:numPr>
          <w:ilvl w:val="0"/>
          <w:numId w:val="3"/>
        </w:numPr>
        <w:spacing w:after="40" w:line="276" w:lineRule="auto"/>
        <w:jc w:val="both"/>
        <w:rPr>
          <w:rFonts w:ascii="Arial" w:hAnsi="Arial" w:cs="Arial"/>
          <w:sz w:val="24"/>
          <w:szCs w:val="24"/>
          <w:lang w:val="mn-MN"/>
        </w:rPr>
      </w:pPr>
      <w:r w:rsidRPr="00CE1546">
        <w:rPr>
          <w:rFonts w:ascii="Arial" w:hAnsi="Arial" w:cs="Arial"/>
          <w:sz w:val="24"/>
          <w:szCs w:val="24"/>
          <w:lang w:val="mn-MN"/>
        </w:rPr>
        <w:t>Эрүүгийн хэрэг хянан шийдвэрлэх тухай хууль</w:t>
      </w:r>
      <w:r w:rsidR="00F823D5" w:rsidRPr="00CE1546">
        <w:rPr>
          <w:rFonts w:ascii="Arial" w:hAnsi="Arial" w:cs="Arial"/>
          <w:sz w:val="24"/>
          <w:szCs w:val="24"/>
          <w:lang w:val="mn-MN"/>
        </w:rPr>
        <w:t xml:space="preserve"> (2017)</w:t>
      </w:r>
    </w:p>
    <w:p w14:paraId="75ADCC82" w14:textId="77777777" w:rsidR="0036033A" w:rsidRPr="00CE1546" w:rsidRDefault="00A55FC6" w:rsidP="00CE1546">
      <w:pPr>
        <w:pStyle w:val="ListParagraph"/>
        <w:numPr>
          <w:ilvl w:val="0"/>
          <w:numId w:val="3"/>
        </w:numPr>
        <w:spacing w:after="40" w:line="276" w:lineRule="auto"/>
        <w:jc w:val="both"/>
        <w:rPr>
          <w:rFonts w:ascii="Arial" w:hAnsi="Arial" w:cs="Arial"/>
          <w:sz w:val="24"/>
          <w:szCs w:val="24"/>
          <w:lang w:val="mn-MN"/>
        </w:rPr>
      </w:pPr>
      <w:r w:rsidRPr="00CE1546">
        <w:rPr>
          <w:rFonts w:ascii="Arial" w:hAnsi="Arial" w:cs="Arial"/>
          <w:sz w:val="24"/>
          <w:szCs w:val="24"/>
          <w:lang w:val="mn-MN"/>
        </w:rPr>
        <w:t>Төрийн албан хаагчийн ёс зүйн тухай хууль (2023)</w:t>
      </w:r>
    </w:p>
    <w:p w14:paraId="2E63098F" w14:textId="71537802" w:rsidR="0036033A" w:rsidRPr="00CE1546" w:rsidRDefault="00A55FC6" w:rsidP="00CE1546">
      <w:pPr>
        <w:spacing w:before="80" w:after="120" w:line="276" w:lineRule="auto"/>
        <w:jc w:val="both"/>
        <w:rPr>
          <w:rFonts w:ascii="Arial" w:hAnsi="Arial" w:cs="Arial"/>
          <w:sz w:val="24"/>
          <w:szCs w:val="24"/>
          <w:lang w:val="mn-MN"/>
        </w:rPr>
      </w:pPr>
      <w:r w:rsidRPr="00CE1546">
        <w:rPr>
          <w:rFonts w:ascii="Arial" w:hAnsi="Arial" w:cs="Arial"/>
          <w:b/>
          <w:bCs/>
          <w:sz w:val="24"/>
          <w:szCs w:val="24"/>
          <w:lang w:val="mn-MN"/>
        </w:rPr>
        <w:t>Улсын Их Хурлын тогтоол:</w:t>
      </w:r>
    </w:p>
    <w:p w14:paraId="287277E3" w14:textId="77777777" w:rsidR="0036033A" w:rsidRPr="00CE1546" w:rsidRDefault="00A55FC6" w:rsidP="00CE1546">
      <w:pPr>
        <w:pStyle w:val="ListParagraph"/>
        <w:numPr>
          <w:ilvl w:val="0"/>
          <w:numId w:val="3"/>
        </w:numPr>
        <w:spacing w:after="40" w:line="276" w:lineRule="auto"/>
        <w:jc w:val="both"/>
        <w:rPr>
          <w:rFonts w:ascii="Arial" w:hAnsi="Arial" w:cs="Arial"/>
          <w:sz w:val="24"/>
          <w:szCs w:val="24"/>
          <w:lang w:val="mn-MN"/>
        </w:rPr>
      </w:pPr>
      <w:r w:rsidRPr="00CE1546">
        <w:rPr>
          <w:rFonts w:ascii="Arial" w:hAnsi="Arial" w:cs="Arial"/>
          <w:sz w:val="24"/>
          <w:szCs w:val="24"/>
          <w:lang w:val="mn-MN"/>
        </w:rPr>
        <w:t>Монгол Улсын Их Хурлын гишүүний ёс зүйн дүрэм (2021 оны 105 дугаар тогтоолын хавсралт)</w:t>
      </w:r>
    </w:p>
    <w:p w14:paraId="125A91D6" w14:textId="33B6EE1D" w:rsidR="00D77593" w:rsidRPr="00CE1546" w:rsidRDefault="00D77593" w:rsidP="00CE1546">
      <w:pPr>
        <w:pStyle w:val="ListParagraph"/>
        <w:numPr>
          <w:ilvl w:val="0"/>
          <w:numId w:val="3"/>
        </w:numPr>
        <w:spacing w:after="40" w:line="276" w:lineRule="auto"/>
        <w:jc w:val="both"/>
        <w:rPr>
          <w:rFonts w:ascii="Arial" w:hAnsi="Arial" w:cs="Arial"/>
          <w:sz w:val="24"/>
          <w:szCs w:val="24"/>
          <w:lang w:val="mn-MN"/>
        </w:rPr>
      </w:pPr>
      <w:r w:rsidRPr="00CE1546">
        <w:rPr>
          <w:rFonts w:ascii="Arial" w:hAnsi="Arial" w:cs="Arial"/>
          <w:sz w:val="24"/>
          <w:szCs w:val="24"/>
          <w:lang w:val="mn-MN"/>
        </w:rPr>
        <w:t>Монгол Улсын Үндэсний аюулгүй байдлын үзэл баримтлал (2010 оны 48 дугаар тогтоолын хавсралт)</w:t>
      </w:r>
    </w:p>
    <w:p w14:paraId="4A6DF723" w14:textId="77777777" w:rsidR="0036033A" w:rsidRPr="00CE1546" w:rsidRDefault="00A55FC6" w:rsidP="00CE1546">
      <w:pPr>
        <w:spacing w:before="80" w:after="120" w:line="276" w:lineRule="auto"/>
        <w:jc w:val="both"/>
        <w:rPr>
          <w:rFonts w:ascii="Arial" w:hAnsi="Arial" w:cs="Arial"/>
          <w:sz w:val="24"/>
          <w:szCs w:val="24"/>
          <w:lang w:val="mn-MN"/>
        </w:rPr>
      </w:pPr>
      <w:r w:rsidRPr="00CE1546">
        <w:rPr>
          <w:rFonts w:ascii="Arial" w:hAnsi="Arial" w:cs="Arial"/>
          <w:b/>
          <w:bCs/>
          <w:sz w:val="24"/>
          <w:szCs w:val="24"/>
          <w:lang w:val="mn-MN"/>
        </w:rPr>
        <w:t>Бусад:</w:t>
      </w:r>
    </w:p>
    <w:p w14:paraId="08BA62FA" w14:textId="51E00BCD" w:rsidR="0036033A" w:rsidRPr="00CE1546" w:rsidRDefault="00A55FC6" w:rsidP="00CE1546">
      <w:pPr>
        <w:pStyle w:val="ListParagraph"/>
        <w:numPr>
          <w:ilvl w:val="0"/>
          <w:numId w:val="3"/>
        </w:numPr>
        <w:spacing w:after="120" w:line="276" w:lineRule="auto"/>
        <w:jc w:val="both"/>
        <w:rPr>
          <w:rFonts w:ascii="Arial" w:hAnsi="Arial" w:cs="Arial"/>
          <w:sz w:val="24"/>
          <w:szCs w:val="24"/>
          <w:lang w:val="mn-MN"/>
        </w:rPr>
      </w:pPr>
      <w:r w:rsidRPr="00CE1546">
        <w:rPr>
          <w:rFonts w:ascii="Arial" w:hAnsi="Arial" w:cs="Arial"/>
          <w:sz w:val="24"/>
          <w:szCs w:val="24"/>
          <w:lang w:val="mn-MN"/>
        </w:rPr>
        <w:t>Улсын Их Хурлын Ёс зүйн дэд хорооны шийдвэрүүд</w:t>
      </w:r>
      <w:r w:rsidR="00096F92" w:rsidRPr="00CE1546">
        <w:rPr>
          <w:rFonts w:ascii="Arial" w:hAnsi="Arial" w:cs="Arial"/>
          <w:sz w:val="24"/>
          <w:szCs w:val="24"/>
          <w:lang w:val="mn-MN"/>
        </w:rPr>
        <w:t xml:space="preserve">ийн тухай олон нийтийн мэдээллийн хэрэгслийн тойм мэдээлэл </w:t>
      </w:r>
      <w:r w:rsidRPr="00CE1546">
        <w:rPr>
          <w:rFonts w:ascii="Arial" w:hAnsi="Arial" w:cs="Arial"/>
          <w:sz w:val="24"/>
          <w:szCs w:val="24"/>
          <w:lang w:val="mn-MN"/>
        </w:rPr>
        <w:t>(2024-2025)</w:t>
      </w:r>
    </w:p>
    <w:p w14:paraId="574509D8" w14:textId="17E459EC" w:rsidR="00782FE5" w:rsidRPr="00CE1546" w:rsidRDefault="00782FE5" w:rsidP="00CE1546">
      <w:pPr>
        <w:pStyle w:val="ListParagraph"/>
        <w:numPr>
          <w:ilvl w:val="0"/>
          <w:numId w:val="3"/>
        </w:numPr>
        <w:spacing w:after="120" w:line="276" w:lineRule="auto"/>
        <w:jc w:val="both"/>
        <w:rPr>
          <w:rFonts w:ascii="Arial" w:hAnsi="Arial" w:cs="Arial"/>
          <w:sz w:val="24"/>
          <w:szCs w:val="24"/>
          <w:lang w:val="mn-MN"/>
        </w:rPr>
      </w:pPr>
      <w:r w:rsidRPr="00CE1546">
        <w:rPr>
          <w:rFonts w:ascii="Arial" w:hAnsi="Arial" w:cs="Arial"/>
          <w:sz w:val="24"/>
          <w:szCs w:val="24"/>
          <w:lang w:val="mn-MN"/>
        </w:rPr>
        <w:t>Монгол Улсын Их Хурлын ээлжит чуулганы нэгдсэн хуралдааны ирцийн мэдээ</w:t>
      </w:r>
    </w:p>
    <w:p w14:paraId="02A898FD" w14:textId="77777777" w:rsidR="0036033A" w:rsidRPr="00CE1546" w:rsidRDefault="00A55FC6" w:rsidP="00CE1546">
      <w:pPr>
        <w:pStyle w:val="Heading1"/>
        <w:spacing w:line="276" w:lineRule="auto"/>
      </w:pPr>
      <w:r w:rsidRPr="00CE1546">
        <w:t>ДӨРӨВ. ҮНЭЛЭХ ҮЕ ШАТ</w:t>
      </w:r>
    </w:p>
    <w:p w14:paraId="1901E6C6" w14:textId="34C5EC3C"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Аргачлалын 5.3-т заасны дагуу тогтоосон шалгуур үзүүлэлт болон харьцуулах хэлбэрийг ашиглан дараах байдлаар үнэлэв.</w:t>
      </w:r>
    </w:p>
    <w:p w14:paraId="78FEEAA2" w14:textId="0BD995F2" w:rsidR="0036033A" w:rsidRPr="00CE1546" w:rsidRDefault="00A55FC6" w:rsidP="00CE1546">
      <w:pPr>
        <w:pStyle w:val="Heading2"/>
        <w:spacing w:line="276" w:lineRule="auto"/>
        <w:ind w:firstLine="720"/>
      </w:pPr>
      <w:r w:rsidRPr="00CE1546">
        <w:lastRenderedPageBreak/>
        <w:t>4.1.Зорилгод хүрсэн түвшин</w:t>
      </w:r>
    </w:p>
    <w:p w14:paraId="4FBA734B" w14:textId="16574335" w:rsidR="00782FE5"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Монгол Улсын Их Хурлын тухай хуулийн 9 дүгээр зүйлийн одоогийн зохицуулалтыг Үндсэн хуулийн зорилго, зарчимтай харьцуулан шалгахад дараах зөрүү, дутагдал илэрлээ.</w:t>
      </w:r>
    </w:p>
    <w:p w14:paraId="6C7A5109" w14:textId="2368C2EA" w:rsidR="00782FE5"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 xml:space="preserve">Хуулийн 9.1.4 дэх заалтад Үндсэн хуулийн цэц гишүүнийг эгүүлэн татах үндэслэлтэй гэж дүгнэлт гаргасныг Улсын Их Хурал </w:t>
      </w:r>
      <w:r w:rsidR="00096F92" w:rsidRPr="00CE1546">
        <w:rPr>
          <w:rFonts w:ascii="Arial" w:hAnsi="Arial" w:cs="Arial"/>
          <w:sz w:val="24"/>
          <w:szCs w:val="24"/>
          <w:lang w:val="mn-MN"/>
        </w:rPr>
        <w:t>“</w:t>
      </w:r>
      <w:r w:rsidRPr="00CE1546">
        <w:rPr>
          <w:rFonts w:ascii="Arial" w:hAnsi="Arial" w:cs="Arial"/>
          <w:sz w:val="24"/>
          <w:szCs w:val="24"/>
          <w:lang w:val="mn-MN"/>
        </w:rPr>
        <w:t>хүлээн зөвшөөрсөн</w:t>
      </w:r>
      <w:r w:rsidR="00096F92" w:rsidRPr="00CE1546">
        <w:rPr>
          <w:rFonts w:ascii="Arial" w:hAnsi="Arial" w:cs="Arial"/>
          <w:sz w:val="24"/>
          <w:szCs w:val="24"/>
          <w:lang w:val="mn-MN"/>
        </w:rPr>
        <w:t>”</w:t>
      </w:r>
      <w:r w:rsidRPr="00CE1546">
        <w:rPr>
          <w:rFonts w:ascii="Arial" w:hAnsi="Arial" w:cs="Arial"/>
          <w:sz w:val="24"/>
          <w:szCs w:val="24"/>
          <w:lang w:val="mn-MN"/>
        </w:rPr>
        <w:t xml:space="preserve"> гэсэн нэмэлт нөхцөл тавьсан нь Үндсэн хуулийн </w:t>
      </w:r>
      <w:r w:rsidR="00652FE6" w:rsidRPr="00CE1546">
        <w:rPr>
          <w:rFonts w:ascii="Arial" w:hAnsi="Arial" w:cs="Arial"/>
          <w:sz w:val="24"/>
          <w:szCs w:val="24"/>
          <w:lang w:val="mn-MN"/>
        </w:rPr>
        <w:t>67</w:t>
      </w:r>
      <w:r w:rsidRPr="00CE1546">
        <w:rPr>
          <w:rFonts w:ascii="Arial" w:hAnsi="Arial" w:cs="Arial"/>
          <w:sz w:val="24"/>
          <w:szCs w:val="24"/>
          <w:lang w:val="mn-MN"/>
        </w:rPr>
        <w:t xml:space="preserve"> </w:t>
      </w:r>
      <w:r w:rsidR="000F47B8" w:rsidRPr="00CE1546">
        <w:rPr>
          <w:rFonts w:ascii="Arial" w:hAnsi="Arial" w:cs="Arial"/>
          <w:sz w:val="24"/>
          <w:szCs w:val="24"/>
          <w:lang w:val="mn-MN"/>
        </w:rPr>
        <w:t xml:space="preserve">дугаар </w:t>
      </w:r>
      <w:r w:rsidRPr="00CE1546">
        <w:rPr>
          <w:rFonts w:ascii="Arial" w:hAnsi="Arial" w:cs="Arial"/>
          <w:sz w:val="24"/>
          <w:szCs w:val="24"/>
          <w:lang w:val="mn-MN"/>
        </w:rPr>
        <w:t xml:space="preserve">зүйлийн </w:t>
      </w:r>
      <w:r w:rsidR="00096F92" w:rsidRPr="00CE1546">
        <w:rPr>
          <w:rFonts w:ascii="Arial" w:hAnsi="Arial" w:cs="Arial"/>
          <w:sz w:val="24"/>
          <w:szCs w:val="24"/>
          <w:lang w:val="mn-MN"/>
        </w:rPr>
        <w:t>“</w:t>
      </w:r>
      <w:r w:rsidRPr="00CE1546">
        <w:rPr>
          <w:rFonts w:ascii="Arial" w:hAnsi="Arial" w:cs="Arial"/>
          <w:sz w:val="24"/>
          <w:szCs w:val="24"/>
          <w:lang w:val="mn-MN"/>
        </w:rPr>
        <w:t>Үндсэн хуулийн цэцийн шийдвэр гармагцаа хүчин төгөлдөр болно</w:t>
      </w:r>
      <w:r w:rsidR="00096F92" w:rsidRPr="00CE1546">
        <w:rPr>
          <w:rFonts w:ascii="Arial" w:hAnsi="Arial" w:cs="Arial"/>
          <w:sz w:val="24"/>
          <w:szCs w:val="24"/>
          <w:lang w:val="mn-MN"/>
        </w:rPr>
        <w:t>”</w:t>
      </w:r>
      <w:r w:rsidRPr="00CE1546">
        <w:rPr>
          <w:rFonts w:ascii="Arial" w:hAnsi="Arial" w:cs="Arial"/>
          <w:sz w:val="24"/>
          <w:szCs w:val="24"/>
          <w:lang w:val="mn-MN"/>
        </w:rPr>
        <w:t xml:space="preserve"> гэсэн заалтыг зөрчсөн буюу эрх мэдлийн хуваарилалтын зарчимд харшилсан зохицуулалт </w:t>
      </w:r>
      <w:r w:rsidR="00EF78F0" w:rsidRPr="00CE1546">
        <w:rPr>
          <w:rFonts w:ascii="Arial" w:hAnsi="Arial" w:cs="Arial"/>
          <w:sz w:val="24"/>
          <w:szCs w:val="24"/>
          <w:lang w:val="mn-MN"/>
        </w:rPr>
        <w:t>байна</w:t>
      </w:r>
      <w:r w:rsidRPr="00CE1546">
        <w:rPr>
          <w:rFonts w:ascii="Arial" w:hAnsi="Arial" w:cs="Arial"/>
          <w:sz w:val="24"/>
          <w:szCs w:val="24"/>
          <w:lang w:val="mn-MN"/>
        </w:rPr>
        <w:t>. Хуулийн энэ зохицуулалтаар Улсын Их Хурал Үндсэн хуулийн цэцийн шийдвэрийн хүчин төгөлдөр байдлыг давхар хянах боломж бий болж, Үндсэн хуулийн үзэл санааг алдагдуулж байна.</w:t>
      </w:r>
      <w:r w:rsidR="00096F92" w:rsidRPr="00CE1546">
        <w:rPr>
          <w:rFonts w:ascii="Arial" w:hAnsi="Arial" w:cs="Arial"/>
          <w:sz w:val="24"/>
          <w:szCs w:val="24"/>
          <w:lang w:val="mn-MN"/>
        </w:rPr>
        <w:t xml:space="preserve"> Үндсэн хуулийн </w:t>
      </w:r>
      <w:r w:rsidR="00652FE6" w:rsidRPr="00CE1546">
        <w:rPr>
          <w:rFonts w:ascii="Arial" w:hAnsi="Arial" w:cs="Arial"/>
          <w:sz w:val="24"/>
          <w:szCs w:val="24"/>
          <w:lang w:val="mn-MN"/>
        </w:rPr>
        <w:t>66 дугаар зүйлийн</w:t>
      </w:r>
      <w:r w:rsidR="00096F92" w:rsidRPr="00CE1546">
        <w:rPr>
          <w:rFonts w:ascii="Arial" w:hAnsi="Arial" w:cs="Arial"/>
          <w:sz w:val="24"/>
          <w:szCs w:val="24"/>
          <w:lang w:val="mn-MN"/>
        </w:rPr>
        <w:t xml:space="preserve"> </w:t>
      </w:r>
      <w:r w:rsidR="00C24384" w:rsidRPr="00CE1546">
        <w:rPr>
          <w:rFonts w:ascii="Arial" w:hAnsi="Arial" w:cs="Arial"/>
          <w:sz w:val="24"/>
          <w:szCs w:val="24"/>
          <w:lang w:val="mn-MN"/>
        </w:rPr>
        <w:t>3</w:t>
      </w:r>
      <w:r w:rsidR="00096F92" w:rsidRPr="00CE1546">
        <w:rPr>
          <w:rFonts w:ascii="Arial" w:hAnsi="Arial" w:cs="Arial"/>
          <w:sz w:val="24"/>
          <w:szCs w:val="24"/>
          <w:lang w:val="mn-MN"/>
        </w:rPr>
        <w:t xml:space="preserve"> дахь хэсэгт зааснаар Улсын Их Хурлын гишүүн Үндсэн хууль зөрчсөн тухай Цэцийн дүгнэлтийг Улсын Их Хурал авч хэлэлцэх эрх</w:t>
      </w:r>
      <w:r w:rsidR="003F3998" w:rsidRPr="00CE1546">
        <w:rPr>
          <w:rFonts w:ascii="Arial" w:hAnsi="Arial" w:cs="Arial"/>
          <w:sz w:val="24"/>
          <w:szCs w:val="24"/>
          <w:lang w:val="mn-MN"/>
        </w:rPr>
        <w:t>ийг шууд олгоогүй</w:t>
      </w:r>
      <w:r w:rsidR="00096F92" w:rsidRPr="00CE1546">
        <w:rPr>
          <w:rFonts w:ascii="Arial" w:hAnsi="Arial" w:cs="Arial"/>
          <w:sz w:val="24"/>
          <w:szCs w:val="24"/>
          <w:lang w:val="mn-MN"/>
        </w:rPr>
        <w:t xml:space="preserve"> байна.</w:t>
      </w:r>
      <w:r w:rsidR="00F44D65" w:rsidRPr="00CE1546">
        <w:rPr>
          <w:rFonts w:ascii="Arial" w:hAnsi="Arial" w:cs="Arial"/>
          <w:sz w:val="24"/>
          <w:szCs w:val="24"/>
          <w:lang w:val="mn-MN"/>
        </w:rPr>
        <w:t xml:space="preserve"> </w:t>
      </w:r>
    </w:p>
    <w:p w14:paraId="64CFAC24" w14:textId="5483A94B" w:rsidR="00782FE5"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 xml:space="preserve">Үндсэн хуулийн </w:t>
      </w:r>
      <w:r w:rsidR="00652FE6" w:rsidRPr="00CE1546">
        <w:rPr>
          <w:rFonts w:ascii="Arial" w:hAnsi="Arial" w:cs="Arial"/>
          <w:sz w:val="24"/>
          <w:szCs w:val="24"/>
          <w:lang w:val="mn-MN"/>
        </w:rPr>
        <w:t>66</w:t>
      </w:r>
      <w:r w:rsidRPr="00CE1546">
        <w:rPr>
          <w:rFonts w:ascii="Arial" w:hAnsi="Arial" w:cs="Arial"/>
          <w:sz w:val="24"/>
          <w:szCs w:val="24"/>
          <w:lang w:val="mn-MN"/>
        </w:rPr>
        <w:t xml:space="preserve"> </w:t>
      </w:r>
      <w:r w:rsidR="000F47B8" w:rsidRPr="00CE1546">
        <w:rPr>
          <w:rFonts w:ascii="Arial" w:hAnsi="Arial" w:cs="Arial"/>
          <w:sz w:val="24"/>
          <w:szCs w:val="24"/>
          <w:lang w:val="mn-MN"/>
        </w:rPr>
        <w:t xml:space="preserve">дугаар </w:t>
      </w:r>
      <w:r w:rsidRPr="00CE1546">
        <w:rPr>
          <w:rFonts w:ascii="Arial" w:hAnsi="Arial" w:cs="Arial"/>
          <w:sz w:val="24"/>
          <w:szCs w:val="24"/>
          <w:lang w:val="mn-MN"/>
        </w:rPr>
        <w:t xml:space="preserve">зүйлийн 2 дахь хэсгийн 3-т зааснаар Үндсэн хуулийн цэц </w:t>
      </w:r>
      <w:r w:rsidR="00C24384" w:rsidRPr="00CE1546">
        <w:rPr>
          <w:rFonts w:ascii="Arial" w:hAnsi="Arial" w:cs="Arial"/>
          <w:sz w:val="24"/>
          <w:szCs w:val="24"/>
          <w:lang w:val="mn-MN"/>
        </w:rPr>
        <w:t xml:space="preserve">Улсын Их Хурлын </w:t>
      </w:r>
      <w:r w:rsidRPr="00CE1546">
        <w:rPr>
          <w:rFonts w:ascii="Arial" w:hAnsi="Arial" w:cs="Arial"/>
          <w:sz w:val="24"/>
          <w:szCs w:val="24"/>
          <w:lang w:val="mn-MN"/>
        </w:rPr>
        <w:t xml:space="preserve">гишүүн Үндсэн хууль зөрчсөн эсэх асуудлаар дүгнэлт гаргах бүрэн эрхтэй бөгөөд уг дүгнэлт нь </w:t>
      </w:r>
      <w:r w:rsidR="000F47B8" w:rsidRPr="00CE1546">
        <w:rPr>
          <w:rFonts w:ascii="Arial" w:hAnsi="Arial" w:cs="Arial"/>
          <w:sz w:val="24"/>
          <w:szCs w:val="24"/>
          <w:lang w:val="mn-MN"/>
        </w:rPr>
        <w:t>29 дүгээр</w:t>
      </w:r>
      <w:r w:rsidRPr="00CE1546">
        <w:rPr>
          <w:rFonts w:ascii="Arial" w:hAnsi="Arial" w:cs="Arial"/>
          <w:sz w:val="24"/>
          <w:szCs w:val="24"/>
          <w:lang w:val="mn-MN"/>
        </w:rPr>
        <w:t xml:space="preserve"> зүйлийн 3 дахь хэсэгт зааснаар эгүүлэн татах үндэслэл болно. Гэвч хуулийн 9 дүгээр зүйлийн 9.1-ийн бүрэн эрх дуусгавар болох </w:t>
      </w:r>
      <w:r w:rsidR="00C24384" w:rsidRPr="00CE1546">
        <w:rPr>
          <w:rFonts w:ascii="Arial" w:hAnsi="Arial" w:cs="Arial"/>
          <w:sz w:val="24"/>
          <w:szCs w:val="24"/>
          <w:lang w:val="mn-MN"/>
        </w:rPr>
        <w:t>үндэслэлд</w:t>
      </w:r>
      <w:r w:rsidRPr="00CE1546">
        <w:rPr>
          <w:rFonts w:ascii="Arial" w:hAnsi="Arial" w:cs="Arial"/>
          <w:sz w:val="24"/>
          <w:szCs w:val="24"/>
          <w:lang w:val="mn-MN"/>
        </w:rPr>
        <w:t xml:space="preserve"> жагсаалтад </w:t>
      </w:r>
      <w:r w:rsidR="00C24384" w:rsidRPr="00CE1546">
        <w:rPr>
          <w:rFonts w:ascii="Arial" w:hAnsi="Arial" w:cs="Arial"/>
          <w:sz w:val="24"/>
          <w:szCs w:val="24"/>
          <w:lang w:val="mn-MN"/>
        </w:rPr>
        <w:t xml:space="preserve">дурдаагүй харин мөн зүйлийн 3 дахь хэсэгт бие даан зохицуулсан байна. Хуулийн энэ зохицуулалтаар Улсын Их Хурал Үндсэн хуулийн цэцийн шийдвэрийн хүчин төгөлдөр байдлыг давхар хянах боломж бий болж, Үндсэн хуулийн үзэл санааг алдагдуулж байна. Үндсэн хуулийн </w:t>
      </w:r>
      <w:r w:rsidR="00DF4866" w:rsidRPr="00CE1546">
        <w:rPr>
          <w:rFonts w:ascii="Arial" w:hAnsi="Arial" w:cs="Arial"/>
          <w:sz w:val="24"/>
          <w:szCs w:val="24"/>
          <w:lang w:val="mn-MN"/>
        </w:rPr>
        <w:t>66 дугаар зүйлийн</w:t>
      </w:r>
      <w:r w:rsidR="00C24384" w:rsidRPr="00CE1546">
        <w:rPr>
          <w:rFonts w:ascii="Arial" w:hAnsi="Arial" w:cs="Arial"/>
          <w:sz w:val="24"/>
          <w:szCs w:val="24"/>
          <w:lang w:val="mn-MN"/>
        </w:rPr>
        <w:t xml:space="preserve"> 3 дахь хэсэгт зааснаар Улсын Их Хурлын гишүүн Үндсэн хууль зөрчсөн тухай Цэцийн дүгнэлтийг Улсын Их Хурал авч хэлэлцэх эрхгүй байна.</w:t>
      </w:r>
    </w:p>
    <w:p w14:paraId="1FF19FB2" w14:textId="08CE120C" w:rsidR="00782FE5"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 xml:space="preserve">Үндсэн хуулийн </w:t>
      </w:r>
      <w:r w:rsidR="00DF4866" w:rsidRPr="00CE1546">
        <w:rPr>
          <w:rFonts w:ascii="Arial" w:hAnsi="Arial" w:cs="Arial"/>
          <w:sz w:val="24"/>
          <w:szCs w:val="24"/>
          <w:lang w:val="mn-MN"/>
        </w:rPr>
        <w:t>29</w:t>
      </w:r>
      <w:r w:rsidRPr="00CE1546">
        <w:rPr>
          <w:rFonts w:ascii="Arial" w:hAnsi="Arial" w:cs="Arial"/>
          <w:sz w:val="24"/>
          <w:szCs w:val="24"/>
          <w:lang w:val="mn-MN"/>
        </w:rPr>
        <w:t xml:space="preserve"> зүйлийн 3 дахь хэсэгт </w:t>
      </w:r>
      <w:r w:rsidR="00C24384" w:rsidRPr="00CE1546">
        <w:rPr>
          <w:rFonts w:ascii="Arial" w:hAnsi="Arial" w:cs="Arial"/>
          <w:sz w:val="24"/>
          <w:szCs w:val="24"/>
          <w:lang w:val="mn-MN"/>
        </w:rPr>
        <w:t>“</w:t>
      </w:r>
      <w:r w:rsidRPr="00CE1546">
        <w:rPr>
          <w:rFonts w:ascii="Arial" w:hAnsi="Arial" w:cs="Arial"/>
          <w:sz w:val="24"/>
          <w:szCs w:val="24"/>
          <w:lang w:val="mn-MN"/>
        </w:rPr>
        <w:t>Уул гишүүн гэмт хэрэг үйлдсэн гэж шүүх тогтоовол Улсын Их Хурал түүнийг гишүүнээс нь эгүүлэн татна</w:t>
      </w:r>
      <w:r w:rsidR="00C24384" w:rsidRPr="00CE1546">
        <w:rPr>
          <w:rFonts w:ascii="Arial" w:hAnsi="Arial" w:cs="Arial"/>
          <w:sz w:val="24"/>
          <w:szCs w:val="24"/>
          <w:lang w:val="mn-MN"/>
        </w:rPr>
        <w:t>”</w:t>
      </w:r>
      <w:r w:rsidRPr="00CE1546">
        <w:rPr>
          <w:rFonts w:ascii="Arial" w:hAnsi="Arial" w:cs="Arial"/>
          <w:sz w:val="24"/>
          <w:szCs w:val="24"/>
          <w:lang w:val="mn-MN"/>
        </w:rPr>
        <w:t xml:space="preserve"> гэсэн </w:t>
      </w:r>
      <w:r w:rsidR="0069618A" w:rsidRPr="00CE1546">
        <w:rPr>
          <w:rFonts w:ascii="Arial" w:hAnsi="Arial" w:cs="Arial"/>
          <w:sz w:val="24"/>
          <w:szCs w:val="24"/>
          <w:lang w:val="mn-MN"/>
        </w:rPr>
        <w:t xml:space="preserve">бөгөөд Улсын Их Хурлын тухай </w:t>
      </w:r>
      <w:r w:rsidR="00C24384" w:rsidRPr="00CE1546">
        <w:rPr>
          <w:rFonts w:ascii="Arial" w:hAnsi="Arial" w:cs="Arial"/>
          <w:sz w:val="24"/>
          <w:szCs w:val="24"/>
          <w:lang w:val="mn-MN"/>
        </w:rPr>
        <w:t xml:space="preserve">хуулийн </w:t>
      </w:r>
      <w:r w:rsidR="0069618A" w:rsidRPr="00CE1546">
        <w:rPr>
          <w:rFonts w:ascii="Arial" w:hAnsi="Arial" w:cs="Arial"/>
          <w:sz w:val="24"/>
          <w:szCs w:val="24"/>
          <w:lang w:val="mn-MN"/>
        </w:rPr>
        <w:t xml:space="preserve">9 дүгээр зүйлийн </w:t>
      </w:r>
      <w:r w:rsidRPr="00CE1546">
        <w:rPr>
          <w:rFonts w:ascii="Arial" w:hAnsi="Arial" w:cs="Arial"/>
          <w:sz w:val="24"/>
          <w:szCs w:val="24"/>
          <w:lang w:val="mn-MN"/>
        </w:rPr>
        <w:t xml:space="preserve">9.1.5-д </w:t>
      </w:r>
      <w:r w:rsidR="0069618A" w:rsidRPr="00CE1546">
        <w:rPr>
          <w:rFonts w:ascii="Arial" w:hAnsi="Arial" w:cs="Arial"/>
          <w:sz w:val="24"/>
          <w:szCs w:val="24"/>
          <w:lang w:val="mn-MN"/>
        </w:rPr>
        <w:t xml:space="preserve">“гишүүн гэмт хэрэг үйлдсэн болох нь хуулийн хүчин төгөлдөр болсон шүүхийн шийдвэрээр тогтоогдсон” хэмээн мөн л үндэслэл болохоор заажээ. Мөн зүйлийн 9.4 дэх зүйлд зааснаар энэ асуудлаар гишүүд “ил санал хурааж”, 9.2 дахь зүйлд зааснаар “тогтоол гаргах” ажээ. </w:t>
      </w:r>
      <w:r w:rsidR="00E2780C" w:rsidRPr="00CE1546">
        <w:rPr>
          <w:rFonts w:ascii="Arial" w:hAnsi="Arial" w:cs="Arial"/>
          <w:sz w:val="24"/>
          <w:szCs w:val="24"/>
          <w:lang w:val="mn-MN"/>
        </w:rPr>
        <w:t>Мөн</w:t>
      </w:r>
      <w:r w:rsidRPr="00CE1546">
        <w:rPr>
          <w:rFonts w:ascii="Arial" w:hAnsi="Arial" w:cs="Arial"/>
          <w:sz w:val="24"/>
          <w:szCs w:val="24"/>
          <w:lang w:val="mn-MN"/>
        </w:rPr>
        <w:t xml:space="preserve"> </w:t>
      </w:r>
      <w:r w:rsidR="00E2780C" w:rsidRPr="00CE1546">
        <w:rPr>
          <w:rFonts w:ascii="Arial" w:hAnsi="Arial" w:cs="Arial"/>
          <w:sz w:val="24"/>
          <w:szCs w:val="24"/>
          <w:lang w:val="mn-MN"/>
        </w:rPr>
        <w:t xml:space="preserve">Монгол Улсын Их Хурлын тухай хууль болон </w:t>
      </w:r>
      <w:r w:rsidRPr="00CE1546">
        <w:rPr>
          <w:rFonts w:ascii="Arial" w:hAnsi="Arial" w:cs="Arial"/>
          <w:sz w:val="24"/>
          <w:szCs w:val="24"/>
          <w:lang w:val="mn-MN"/>
        </w:rPr>
        <w:t xml:space="preserve">Эрүүгийн хэрэг хянан шийдвэрлэх тухай хуульд </w:t>
      </w:r>
      <w:r w:rsidR="0069618A" w:rsidRPr="00CE1546">
        <w:rPr>
          <w:rFonts w:ascii="Arial" w:hAnsi="Arial" w:cs="Arial"/>
          <w:sz w:val="24"/>
          <w:szCs w:val="24"/>
          <w:lang w:val="mn-MN"/>
        </w:rPr>
        <w:t xml:space="preserve">шүүхийн шийдвэрийг хэн хэзээ УИХ-д хүргүүлэх асуудлыг </w:t>
      </w:r>
      <w:r w:rsidR="002433A8" w:rsidRPr="00CE1546">
        <w:rPr>
          <w:rFonts w:ascii="Arial" w:hAnsi="Arial" w:cs="Arial"/>
          <w:sz w:val="24"/>
          <w:szCs w:val="24"/>
          <w:lang w:val="mn-MN"/>
        </w:rPr>
        <w:t>зохицуулаагүй орхигдуулсан байна.</w:t>
      </w:r>
      <w:r w:rsidRPr="00CE1546">
        <w:rPr>
          <w:rFonts w:ascii="Arial" w:hAnsi="Arial" w:cs="Arial"/>
          <w:sz w:val="24"/>
          <w:szCs w:val="24"/>
          <w:lang w:val="mn-MN"/>
        </w:rPr>
        <w:t xml:space="preserve"> Э</w:t>
      </w:r>
      <w:r w:rsidR="00E2780C" w:rsidRPr="00CE1546">
        <w:rPr>
          <w:rFonts w:ascii="Arial" w:hAnsi="Arial" w:cs="Arial"/>
          <w:sz w:val="24"/>
          <w:szCs w:val="24"/>
          <w:lang w:val="mn-MN"/>
        </w:rPr>
        <w:t>дгээр</w:t>
      </w:r>
      <w:r w:rsidRPr="00CE1546">
        <w:rPr>
          <w:rFonts w:ascii="Arial" w:hAnsi="Arial" w:cs="Arial"/>
          <w:sz w:val="24"/>
          <w:szCs w:val="24"/>
          <w:lang w:val="mn-MN"/>
        </w:rPr>
        <w:t xml:space="preserve"> нь Үндсэн хуулийн </w:t>
      </w:r>
      <w:r w:rsidR="00DF4866" w:rsidRPr="00CE1546">
        <w:rPr>
          <w:rFonts w:ascii="Arial" w:hAnsi="Arial" w:cs="Arial"/>
          <w:sz w:val="24"/>
          <w:szCs w:val="24"/>
          <w:lang w:val="mn-MN"/>
        </w:rPr>
        <w:t>50 дугаар</w:t>
      </w:r>
      <w:r w:rsidRPr="00CE1546">
        <w:rPr>
          <w:rFonts w:ascii="Arial" w:hAnsi="Arial" w:cs="Arial"/>
          <w:sz w:val="24"/>
          <w:szCs w:val="24"/>
          <w:lang w:val="mn-MN"/>
        </w:rPr>
        <w:t xml:space="preserve"> зүйлийн 2 дахь хэсгийн шүүхийн шийдвэрийг заавал биелүүлэх зарчмыг хэрэгжүүлэхэд хүндрэл учруулж байна.</w:t>
      </w:r>
    </w:p>
    <w:p w14:paraId="07879175" w14:textId="09BC935C" w:rsidR="0093759B" w:rsidRPr="00CE1546" w:rsidRDefault="0093759B" w:rsidP="006437A1">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t xml:space="preserve">Үндсэн хуулийн 29 дүгээр зүйлийн 3 дахь хэсэгт “Уул гишүүнийг Улсын Их Хурал эгүүлэн татна” гэдэг нь эрх зүйн хэм хэмжээний дотоод логик талаас үзвэл </w:t>
      </w:r>
      <w:proofErr w:type="spellStart"/>
      <w:r w:rsidRPr="00CE1546">
        <w:rPr>
          <w:rFonts w:ascii="Arial" w:hAnsi="Arial" w:cs="Arial"/>
          <w:sz w:val="24"/>
          <w:szCs w:val="24"/>
          <w:lang w:val="mn-MN"/>
        </w:rPr>
        <w:t>санкц</w:t>
      </w:r>
      <w:proofErr w:type="spellEnd"/>
      <w:r w:rsidRPr="00CE1546">
        <w:rPr>
          <w:rFonts w:ascii="Arial" w:hAnsi="Arial" w:cs="Arial"/>
          <w:sz w:val="24"/>
          <w:szCs w:val="24"/>
          <w:lang w:val="mn-MN"/>
        </w:rPr>
        <w:t xml:space="preserve"> агуулгатай бөгөөд </w:t>
      </w:r>
      <w:proofErr w:type="spellStart"/>
      <w:r w:rsidRPr="00CE1546">
        <w:rPr>
          <w:rFonts w:ascii="Arial" w:hAnsi="Arial" w:cs="Arial"/>
          <w:sz w:val="24"/>
          <w:szCs w:val="24"/>
          <w:lang w:val="mn-MN"/>
        </w:rPr>
        <w:t>деспозиц</w:t>
      </w:r>
      <w:proofErr w:type="spellEnd"/>
      <w:r w:rsidRPr="00CE1546">
        <w:rPr>
          <w:rFonts w:ascii="Arial" w:hAnsi="Arial" w:cs="Arial"/>
          <w:sz w:val="24"/>
          <w:szCs w:val="24"/>
          <w:lang w:val="mn-MN"/>
        </w:rPr>
        <w:t xml:space="preserve"> буюу нөхцөл заасан хэсэг нь “Үндсэн хууль зөрчсөн”, “гэмт хэрэг үйлдсэнийг нь шүүх тогтоосон” явдал болох нь илэрхий байна. Өөрөөр хэлбэл, эдгээр </w:t>
      </w:r>
      <w:r w:rsidR="00CE1546" w:rsidRPr="00CE1546">
        <w:rPr>
          <w:rFonts w:ascii="Arial" w:hAnsi="Arial" w:cs="Arial"/>
          <w:sz w:val="24"/>
          <w:szCs w:val="24"/>
          <w:lang w:val="mn-MN"/>
        </w:rPr>
        <w:t>нөхцөлийг</w:t>
      </w:r>
      <w:r w:rsidRPr="00CE1546">
        <w:rPr>
          <w:rFonts w:ascii="Arial" w:hAnsi="Arial" w:cs="Arial"/>
          <w:sz w:val="24"/>
          <w:szCs w:val="24"/>
          <w:lang w:val="mn-MN"/>
        </w:rPr>
        <w:t xml:space="preserve"> хараат бус, хөндлөнгийн, таслан шийдвэрлэх эрхтэй байгууллагаас “үндэслэл” болгон тогтоож, нэгэнт үндэслэлийг тогтоосон бол Улсын Их Хурал тухайн үндэслэлийг “хэлэлцэх эрхгүй”, шууд эгүүлэн татах ёстой, тодорхой хэлбэл “эгүүлэн татсанд тооцох ёстой хэмээн уншигдаж байна. </w:t>
      </w:r>
    </w:p>
    <w:p w14:paraId="5880B907" w14:textId="1C6BF91A" w:rsidR="0036033A" w:rsidRPr="00CE1546" w:rsidRDefault="00D51898" w:rsidP="006437A1">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lastRenderedPageBreak/>
        <w:t>Үндсэн хуулийн 29 дүгээр зүйлийн 3 дахь хэсгийг ийм агуулгаар унши</w:t>
      </w:r>
      <w:r w:rsidR="002A4546" w:rsidRPr="00CE1546">
        <w:rPr>
          <w:rFonts w:ascii="Arial" w:hAnsi="Arial" w:cs="Arial"/>
          <w:sz w:val="24"/>
          <w:szCs w:val="24"/>
          <w:lang w:val="mn-MN"/>
        </w:rPr>
        <w:t xml:space="preserve">ж, үүнд </w:t>
      </w:r>
      <w:r w:rsidR="006437A1">
        <w:rPr>
          <w:rFonts w:ascii="Arial" w:hAnsi="Arial" w:cs="Arial"/>
          <w:sz w:val="24"/>
          <w:szCs w:val="24"/>
          <w:lang w:val="mn-MN"/>
        </w:rPr>
        <w:t>50</w:t>
      </w:r>
      <w:r w:rsidR="002A4546" w:rsidRPr="00CE1546">
        <w:rPr>
          <w:rFonts w:ascii="Arial" w:hAnsi="Arial" w:cs="Arial"/>
          <w:sz w:val="24"/>
          <w:szCs w:val="24"/>
          <w:lang w:val="mn-MN"/>
        </w:rPr>
        <w:t xml:space="preserve">, </w:t>
      </w:r>
      <w:r w:rsidR="006437A1">
        <w:rPr>
          <w:rFonts w:ascii="Arial" w:hAnsi="Arial" w:cs="Arial"/>
          <w:sz w:val="24"/>
          <w:szCs w:val="24"/>
          <w:lang w:val="mn-MN"/>
        </w:rPr>
        <w:t>66 дугаар</w:t>
      </w:r>
      <w:r w:rsidR="002A4546" w:rsidRPr="00CE1546">
        <w:rPr>
          <w:rFonts w:ascii="Arial" w:hAnsi="Arial" w:cs="Arial"/>
          <w:sz w:val="24"/>
          <w:szCs w:val="24"/>
          <w:lang w:val="mn-MN"/>
        </w:rPr>
        <w:t xml:space="preserve"> зүйлийн 2 дахь хэсэг болон </w:t>
      </w:r>
      <w:r w:rsidR="006437A1">
        <w:rPr>
          <w:rFonts w:ascii="Arial" w:hAnsi="Arial" w:cs="Arial"/>
          <w:sz w:val="24"/>
          <w:szCs w:val="24"/>
          <w:lang w:val="mn-MN"/>
        </w:rPr>
        <w:t>67 дугаар</w:t>
      </w:r>
      <w:r w:rsidR="002A4546" w:rsidRPr="00CE1546">
        <w:rPr>
          <w:rFonts w:ascii="Arial" w:hAnsi="Arial" w:cs="Arial"/>
          <w:sz w:val="24"/>
          <w:szCs w:val="24"/>
          <w:lang w:val="mn-MN"/>
        </w:rPr>
        <w:t xml:space="preserve"> зүйлийг холбон тодорхойлж</w:t>
      </w:r>
      <w:r w:rsidR="00AB52A9" w:rsidRPr="00CE1546">
        <w:rPr>
          <w:rFonts w:ascii="Arial" w:hAnsi="Arial" w:cs="Arial"/>
          <w:sz w:val="24"/>
          <w:szCs w:val="24"/>
          <w:lang w:val="mn-MN"/>
        </w:rPr>
        <w:t xml:space="preserve"> үзвэл Улсын Их Хурлын тухай</w:t>
      </w:r>
      <w:r w:rsidR="006437A1">
        <w:rPr>
          <w:rFonts w:ascii="Arial" w:hAnsi="Arial" w:cs="Arial"/>
          <w:sz w:val="24"/>
          <w:szCs w:val="24"/>
          <w:lang w:val="mn-MN"/>
        </w:rPr>
        <w:t xml:space="preserve"> </w:t>
      </w:r>
      <w:r w:rsidR="00AB52A9" w:rsidRPr="00CE1546">
        <w:rPr>
          <w:rFonts w:ascii="Arial" w:hAnsi="Arial" w:cs="Arial"/>
          <w:sz w:val="24"/>
          <w:szCs w:val="24"/>
          <w:lang w:val="mn-MN"/>
        </w:rPr>
        <w:t>х</w:t>
      </w:r>
      <w:r w:rsidR="00782FE5" w:rsidRPr="00CE1546">
        <w:rPr>
          <w:rFonts w:ascii="Arial" w:hAnsi="Arial" w:cs="Arial"/>
          <w:sz w:val="24"/>
          <w:szCs w:val="24"/>
          <w:lang w:val="mn-MN"/>
        </w:rPr>
        <w:t>уулийн 9 дүгээр зүйлийн зохицуулалт Үндсэн хуулийн зорилгод бүрэн хүрээгүй, Үндсэн хуулийн заалттай зөрчилдсөн, зайлшгүй зохицуулах ёстой харилцааг орхигдуулсан байна.</w:t>
      </w:r>
    </w:p>
    <w:p w14:paraId="5D472DF6" w14:textId="77777777" w:rsidR="0036033A" w:rsidRPr="00CE1546" w:rsidRDefault="00A55FC6" w:rsidP="00CE1546">
      <w:pPr>
        <w:pStyle w:val="Heading2"/>
        <w:spacing w:line="276" w:lineRule="auto"/>
        <w:ind w:firstLine="720"/>
      </w:pPr>
      <w:r w:rsidRPr="00CE1546">
        <w:t>4.2. Хүлээн зөвшөөрөгдсөн байдал</w:t>
      </w:r>
    </w:p>
    <w:p w14:paraId="0EBB3034" w14:textId="2E3986B5"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Улсын Их Хурлын гишүүний хариуцлагын тогтолцоо олон нийтээр хүлээн зөвшөөрөгдсөн түвшин хангалтгүй байна. Иргэд парламентын гишүүдийн үйл ажиллагаанд хяналт тавих, хариуцлага тооцох боломж хязгаарлагдмал болсноор парламентын үйл ажиллагаанд олон нийтийн итгэл алдагдах нөхцөлийг бий болгож байна.</w:t>
      </w:r>
    </w:p>
    <w:p w14:paraId="7D6795E2" w14:textId="77777777" w:rsidR="005349E5"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r>
      <w:r w:rsidR="004C5202" w:rsidRPr="00CE1546">
        <w:rPr>
          <w:rFonts w:ascii="Arial" w:hAnsi="Arial" w:cs="Arial"/>
          <w:sz w:val="24"/>
          <w:szCs w:val="24"/>
          <w:lang w:val="mn-MN"/>
        </w:rPr>
        <w:t>20</w:t>
      </w:r>
      <w:r w:rsidR="00262473" w:rsidRPr="00CE1546">
        <w:rPr>
          <w:rFonts w:ascii="Arial" w:hAnsi="Arial" w:cs="Arial"/>
          <w:sz w:val="24"/>
          <w:szCs w:val="24"/>
          <w:lang w:val="mn-MN"/>
        </w:rPr>
        <w:t>16</w:t>
      </w:r>
      <w:r w:rsidR="004C5202" w:rsidRPr="00CE1546">
        <w:rPr>
          <w:rFonts w:ascii="Arial" w:hAnsi="Arial" w:cs="Arial"/>
          <w:sz w:val="24"/>
          <w:szCs w:val="24"/>
          <w:lang w:val="mn-MN"/>
        </w:rPr>
        <w:t xml:space="preserve">-2025 онд </w:t>
      </w:r>
      <w:r w:rsidR="000000F0" w:rsidRPr="00CE1546">
        <w:rPr>
          <w:rFonts w:ascii="Arial" w:hAnsi="Arial" w:cs="Arial"/>
          <w:sz w:val="24"/>
          <w:szCs w:val="24"/>
          <w:lang w:val="mn-MN"/>
        </w:rPr>
        <w:t xml:space="preserve">Улсын Их Хурлын </w:t>
      </w:r>
      <w:r w:rsidRPr="00CE1546">
        <w:rPr>
          <w:rFonts w:ascii="Arial" w:hAnsi="Arial" w:cs="Arial"/>
          <w:sz w:val="24"/>
          <w:szCs w:val="24"/>
          <w:lang w:val="mn-MN"/>
        </w:rPr>
        <w:t>хэд хэдэн гишүүнд сахилгын хариуцлага ногдуулсан тохиол</w:t>
      </w:r>
      <w:r w:rsidR="007E7E63" w:rsidRPr="00CE1546">
        <w:rPr>
          <w:rFonts w:ascii="Arial" w:hAnsi="Arial" w:cs="Arial"/>
          <w:sz w:val="24"/>
          <w:szCs w:val="24"/>
          <w:lang w:val="mn-MN"/>
        </w:rPr>
        <w:t>дол байна</w:t>
      </w:r>
      <w:r w:rsidRPr="00CE1546">
        <w:rPr>
          <w:rFonts w:ascii="Arial" w:hAnsi="Arial" w:cs="Arial"/>
          <w:sz w:val="24"/>
          <w:szCs w:val="24"/>
          <w:lang w:val="mn-MN"/>
        </w:rPr>
        <w:t xml:space="preserve">. Гэвч </w:t>
      </w:r>
      <w:r w:rsidR="00262473" w:rsidRPr="00CE1546">
        <w:rPr>
          <w:rFonts w:ascii="Arial" w:hAnsi="Arial" w:cs="Arial"/>
          <w:sz w:val="24"/>
          <w:szCs w:val="24"/>
          <w:lang w:val="mn-MN"/>
        </w:rPr>
        <w:t>одоо хүчин төгөлдөр үйлчилж буй Монгол Улсын Их Хурлын тухай хуульд буюу</w:t>
      </w:r>
      <w:r w:rsidR="006C58BC" w:rsidRPr="00CE1546">
        <w:rPr>
          <w:rFonts w:ascii="Arial" w:hAnsi="Arial" w:cs="Arial"/>
          <w:sz w:val="24"/>
          <w:szCs w:val="24"/>
          <w:lang w:val="mn-MN"/>
        </w:rPr>
        <w:t xml:space="preserve"> Улсын Их Хурлын гишүүний тангарагт ёс зүйн хэм хэмжээг баримтлах талаар тусгаагүй, мөн тус хуульд </w:t>
      </w:r>
      <w:r w:rsidR="009B1DF9" w:rsidRPr="00CE1546">
        <w:rPr>
          <w:rFonts w:ascii="Arial" w:hAnsi="Arial" w:cs="Arial"/>
          <w:sz w:val="24"/>
          <w:szCs w:val="24"/>
          <w:lang w:val="mn-MN"/>
        </w:rPr>
        <w:t xml:space="preserve">ёс зүйн хариуцлагын арга хэмжээ талаар тусгаагүй байна. Харин </w:t>
      </w:r>
      <w:r w:rsidR="007E7E63" w:rsidRPr="00CE1546">
        <w:rPr>
          <w:rFonts w:ascii="Arial" w:hAnsi="Arial" w:cs="Arial"/>
          <w:sz w:val="24"/>
          <w:szCs w:val="24"/>
          <w:lang w:val="mn-MN"/>
        </w:rPr>
        <w:t>Улсын Их Хурлын гишүүний ёс зүйн дүрэмд заасны дагуу</w:t>
      </w:r>
      <w:r w:rsidRPr="00CE1546">
        <w:rPr>
          <w:rFonts w:ascii="Arial" w:hAnsi="Arial" w:cs="Arial"/>
          <w:sz w:val="24"/>
          <w:szCs w:val="24"/>
          <w:lang w:val="mn-MN"/>
        </w:rPr>
        <w:t xml:space="preserve"> хариуцлагын арга хэмжээ нь дийлэнхдээ “сануулга өгөх”</w:t>
      </w:r>
      <w:r w:rsidR="0032426E" w:rsidRPr="00CE1546">
        <w:rPr>
          <w:rFonts w:ascii="Arial" w:hAnsi="Arial" w:cs="Arial"/>
          <w:sz w:val="24"/>
          <w:szCs w:val="24"/>
          <w:lang w:val="mn-MN"/>
        </w:rPr>
        <w:t xml:space="preserve">, “уучлал гуйхыг үүрэг болгох” </w:t>
      </w:r>
      <w:r w:rsidRPr="00CE1546">
        <w:rPr>
          <w:rFonts w:ascii="Arial" w:hAnsi="Arial" w:cs="Arial"/>
          <w:sz w:val="24"/>
          <w:szCs w:val="24"/>
          <w:lang w:val="mn-MN"/>
        </w:rPr>
        <w:t xml:space="preserve">хэмжээнд хязгаарлагдсан бөгөөд ноцтой зөрчлийн хувьд “цалинг 6 сарын хугацаанд 20 хувиар бууруулах” </w:t>
      </w:r>
      <w:r w:rsidR="007E7E63" w:rsidRPr="00CE1546">
        <w:rPr>
          <w:rFonts w:ascii="Arial" w:hAnsi="Arial" w:cs="Arial"/>
          <w:sz w:val="24"/>
          <w:szCs w:val="24"/>
          <w:lang w:val="mn-MN"/>
        </w:rPr>
        <w:t xml:space="preserve">зэрэг </w:t>
      </w:r>
      <w:r w:rsidRPr="00CE1546">
        <w:rPr>
          <w:rFonts w:ascii="Arial" w:hAnsi="Arial" w:cs="Arial"/>
          <w:sz w:val="24"/>
          <w:szCs w:val="24"/>
          <w:lang w:val="mn-MN"/>
        </w:rPr>
        <w:t>шийтгэл</w:t>
      </w:r>
      <w:r w:rsidR="007E7E63" w:rsidRPr="00CE1546">
        <w:rPr>
          <w:rFonts w:ascii="Arial" w:hAnsi="Arial" w:cs="Arial"/>
          <w:sz w:val="24"/>
          <w:szCs w:val="24"/>
          <w:lang w:val="mn-MN"/>
        </w:rPr>
        <w:t xml:space="preserve"> ноогдуулахаар зохицуулсан байна. </w:t>
      </w:r>
    </w:p>
    <w:p w14:paraId="3E34FBB4" w14:textId="79789EA5" w:rsidR="0036033A" w:rsidRPr="00CE1546" w:rsidRDefault="001828B6"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t>Улсын Их Хурлын гишүү</w:t>
      </w:r>
      <w:r w:rsidR="002D769D" w:rsidRPr="00CE1546">
        <w:rPr>
          <w:rFonts w:ascii="Arial" w:hAnsi="Arial" w:cs="Arial"/>
          <w:sz w:val="24"/>
          <w:szCs w:val="24"/>
          <w:lang w:val="mn-MN"/>
        </w:rPr>
        <w:t>д</w:t>
      </w:r>
      <w:r w:rsidR="005349E5" w:rsidRPr="00CE1546">
        <w:rPr>
          <w:rFonts w:ascii="Arial" w:hAnsi="Arial" w:cs="Arial"/>
          <w:sz w:val="24"/>
          <w:szCs w:val="24"/>
          <w:lang w:val="mn-MN"/>
        </w:rPr>
        <w:t xml:space="preserve"> тангаргаа зөрчиж буюу </w:t>
      </w:r>
      <w:r w:rsidRPr="00CE1546">
        <w:rPr>
          <w:rFonts w:ascii="Arial" w:hAnsi="Arial" w:cs="Arial"/>
          <w:sz w:val="24"/>
          <w:szCs w:val="24"/>
          <w:lang w:val="mn-MN"/>
        </w:rPr>
        <w:t>“ард түмний элч” байх үүргээ гүйцэтгэ</w:t>
      </w:r>
      <w:r w:rsidR="00AE7755" w:rsidRPr="00CE1546">
        <w:rPr>
          <w:rFonts w:ascii="Arial" w:hAnsi="Arial" w:cs="Arial"/>
          <w:sz w:val="24"/>
          <w:szCs w:val="24"/>
          <w:lang w:val="mn-MN"/>
        </w:rPr>
        <w:t>дэг</w:t>
      </w:r>
      <w:r w:rsidRPr="00CE1546">
        <w:rPr>
          <w:rFonts w:ascii="Arial" w:hAnsi="Arial" w:cs="Arial"/>
          <w:sz w:val="24"/>
          <w:szCs w:val="24"/>
          <w:lang w:val="mn-MN"/>
        </w:rPr>
        <w:t xml:space="preserve">гүй, хуралдаандаа суудаггүй, санал хуралтад </w:t>
      </w:r>
      <w:r w:rsidR="00AE7755" w:rsidRPr="00CE1546">
        <w:rPr>
          <w:rFonts w:ascii="Arial" w:hAnsi="Arial" w:cs="Arial"/>
          <w:sz w:val="24"/>
          <w:szCs w:val="24"/>
          <w:lang w:val="mn-MN"/>
        </w:rPr>
        <w:t>оролцдоггүй</w:t>
      </w:r>
      <w:r w:rsidRPr="00CE1546">
        <w:rPr>
          <w:rFonts w:ascii="Arial" w:hAnsi="Arial" w:cs="Arial"/>
          <w:sz w:val="24"/>
          <w:szCs w:val="24"/>
          <w:lang w:val="mn-MN"/>
        </w:rPr>
        <w:t>, хууль</w:t>
      </w:r>
      <w:r w:rsidR="00AE7755" w:rsidRPr="00CE1546">
        <w:rPr>
          <w:rFonts w:ascii="Arial" w:hAnsi="Arial" w:cs="Arial"/>
          <w:sz w:val="24"/>
          <w:szCs w:val="24"/>
          <w:lang w:val="mn-MN"/>
        </w:rPr>
        <w:t xml:space="preserve"> тогтоох болон хянан шалгах үйл ажиллагаанд идэвхтэй оролцдоггүй </w:t>
      </w:r>
      <w:r w:rsidR="002D769D" w:rsidRPr="00CE1546">
        <w:rPr>
          <w:rFonts w:ascii="Arial" w:hAnsi="Arial" w:cs="Arial"/>
          <w:sz w:val="24"/>
          <w:szCs w:val="24"/>
          <w:lang w:val="mn-MN"/>
        </w:rPr>
        <w:t xml:space="preserve">зэрэг учир </w:t>
      </w:r>
      <w:r w:rsidR="00AE7755" w:rsidRPr="00CE1546">
        <w:rPr>
          <w:rFonts w:ascii="Arial" w:hAnsi="Arial" w:cs="Arial"/>
          <w:sz w:val="24"/>
          <w:szCs w:val="24"/>
          <w:lang w:val="mn-MN"/>
        </w:rPr>
        <w:t>дутагдал хэвээр үргэлжилсээр  байна. Энэ нь зөвхөн ирцийн асуудал бус бөгөөд төлөөллийн ардчиллын чанарт шууд нөлөөлөх вий гэсэн эмзэглэл дагуулж э</w:t>
      </w:r>
      <w:r w:rsidR="007E7E63" w:rsidRPr="00CE1546">
        <w:rPr>
          <w:rFonts w:ascii="Arial" w:hAnsi="Arial" w:cs="Arial"/>
          <w:sz w:val="24"/>
          <w:szCs w:val="24"/>
          <w:lang w:val="mn-MN"/>
        </w:rPr>
        <w:t>дгээр нь олон нийтийн хүлээлтэд нийцэхгүй, хариуцлага тооцох механизм хангалтгүй байгааг илтгэж байна.</w:t>
      </w:r>
    </w:p>
    <w:p w14:paraId="09C32CFD" w14:textId="703C87A6" w:rsidR="00D11780" w:rsidRPr="00CE1546" w:rsidRDefault="00A31E5A" w:rsidP="00CE1546">
      <w:pPr>
        <w:spacing w:line="276" w:lineRule="auto"/>
        <w:ind w:firstLine="720"/>
        <w:jc w:val="both"/>
        <w:rPr>
          <w:rFonts w:ascii="Arial" w:hAnsi="Arial" w:cs="Arial"/>
          <w:sz w:val="24"/>
          <w:szCs w:val="24"/>
          <w:lang w:val="mn-MN"/>
        </w:rPr>
      </w:pPr>
      <w:r w:rsidRPr="00CE1546">
        <w:rPr>
          <w:rFonts w:ascii="Arial" w:hAnsi="Arial" w:cs="Arial"/>
          <w:sz w:val="24"/>
          <w:szCs w:val="24"/>
          <w:lang w:val="mn-MN"/>
        </w:rPr>
        <w:t xml:space="preserve">Улсын Их Хурал </w:t>
      </w:r>
      <w:r w:rsidR="00D11780" w:rsidRPr="00CE1546">
        <w:rPr>
          <w:rFonts w:ascii="Arial" w:hAnsi="Arial" w:cs="Arial"/>
          <w:sz w:val="24"/>
          <w:szCs w:val="24"/>
          <w:lang w:val="mn-MN"/>
        </w:rPr>
        <w:t>Төрийн албан хаагчийн ёс зүйн тухай хуул</w:t>
      </w:r>
      <w:r w:rsidRPr="00CE1546">
        <w:rPr>
          <w:rFonts w:ascii="Arial" w:hAnsi="Arial" w:cs="Arial"/>
          <w:sz w:val="24"/>
          <w:szCs w:val="24"/>
          <w:lang w:val="mn-MN"/>
        </w:rPr>
        <w:t xml:space="preserve">ийг </w:t>
      </w:r>
      <w:r w:rsidR="00D11780" w:rsidRPr="00CE1546">
        <w:rPr>
          <w:rFonts w:ascii="Arial" w:hAnsi="Arial" w:cs="Arial"/>
          <w:sz w:val="24"/>
          <w:szCs w:val="24"/>
          <w:lang w:val="mn-MN"/>
        </w:rPr>
        <w:t xml:space="preserve">2023 онд баталсан бөгөөд тус хуулиар төрийн албан хаагчдын үйл ажиллагаанд ёс зүйн хатуу стандарт, нийтлэг хэм хэмжээ, зөрчилд ногдуулах хариуцлагын тогтолцоог тодорхой болгосон. Энэ хуулиар төрийн албан хаагч нарт хүлээлгэх ёс зүйн зарчим (үнэнч, шударга, хариуцлагатай, хүнлэг байх зэрэг), зөрчлийг хянан шийдвэрлэх механизм, сахилгын болон бусад хариуцлагын арга хэмжээг нарийвчлан зохицуулсан. Тус хуулийн 16 дугаар зүйлийн 16.1.4 дэх заалтад заасны дагуу төрийн албан хаагчийг төрийн албанаас халах хүртэл ёс зүйн хариуцлагын ногдуулж байна. </w:t>
      </w:r>
    </w:p>
    <w:p w14:paraId="2AD6A954" w14:textId="77777777" w:rsidR="00D11780" w:rsidRPr="00CE1546" w:rsidRDefault="00D11780" w:rsidP="00CE1546">
      <w:pPr>
        <w:spacing w:line="276" w:lineRule="auto"/>
        <w:ind w:firstLine="720"/>
        <w:jc w:val="both"/>
        <w:rPr>
          <w:rFonts w:ascii="Arial" w:hAnsi="Arial" w:cs="Arial"/>
          <w:sz w:val="24"/>
          <w:szCs w:val="24"/>
          <w:lang w:val="mn-MN"/>
        </w:rPr>
      </w:pPr>
    </w:p>
    <w:p w14:paraId="4234D7F7" w14:textId="2BEB5ACF" w:rsidR="00D11780" w:rsidRPr="00CE1546" w:rsidRDefault="00D11780"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t xml:space="preserve">Гэвч </w:t>
      </w:r>
      <w:r w:rsidR="00983B7B" w:rsidRPr="00CE1546">
        <w:rPr>
          <w:rFonts w:ascii="Arial" w:hAnsi="Arial" w:cs="Arial"/>
          <w:sz w:val="24"/>
          <w:szCs w:val="24"/>
          <w:lang w:val="mn-MN"/>
        </w:rPr>
        <w:t xml:space="preserve">төрийн албан хаагч буюу </w:t>
      </w:r>
      <w:r w:rsidRPr="00CE1546">
        <w:rPr>
          <w:rFonts w:ascii="Arial" w:hAnsi="Arial" w:cs="Arial"/>
          <w:sz w:val="24"/>
          <w:szCs w:val="24"/>
          <w:lang w:val="mn-MN"/>
        </w:rPr>
        <w:t>Улсын Их Хурлын гишүүдэд хуулийн ижил хариуцлага ногдуулах зохицуулалт байхгүй байгаа нь зөрчил үүсгэж байна. УИХ-ын гишүүдийн ёс зүйг зөвхөн Монгол Улсын Их Хурлын гишүүний ёс зүйн дүрмээр зохицуулдаг бөгөөд эдгээр нь хуулийн хариуцлага биш, дотоод сахилгын арга хэмжээ төдий бөгөөд төрийн албан хаагчдад ногдуулдаг шиг тодорхой, системтэй, хараат бус байгууллагаар хянан шийдвэрлэдэггүй.</w:t>
      </w:r>
    </w:p>
    <w:p w14:paraId="145BBBBB" w14:textId="31E2EEA6" w:rsidR="00D11780" w:rsidRPr="00CE1546" w:rsidRDefault="00D11780"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lastRenderedPageBreak/>
        <w:t xml:space="preserve">Улмаар Монгол Улсын Үндсэн хуулийн </w:t>
      </w:r>
      <w:r w:rsidR="00DF4866" w:rsidRPr="00CE1546">
        <w:rPr>
          <w:rFonts w:ascii="Arial" w:hAnsi="Arial" w:cs="Arial"/>
          <w:sz w:val="24"/>
          <w:szCs w:val="24"/>
          <w:lang w:val="mn-MN"/>
        </w:rPr>
        <w:t>1 дүгээр</w:t>
      </w:r>
      <w:r w:rsidRPr="00CE1546">
        <w:rPr>
          <w:rFonts w:ascii="Arial" w:hAnsi="Arial" w:cs="Arial"/>
          <w:sz w:val="24"/>
          <w:szCs w:val="24"/>
          <w:lang w:val="mn-MN"/>
        </w:rPr>
        <w:t xml:space="preserve">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заасан</w:t>
      </w:r>
      <w:r w:rsidR="00617F5B" w:rsidRPr="00CE1546">
        <w:rPr>
          <w:rFonts w:ascii="Arial" w:hAnsi="Arial" w:cs="Arial"/>
          <w:sz w:val="24"/>
          <w:szCs w:val="24"/>
          <w:lang w:val="mn-MN"/>
        </w:rPr>
        <w:t>.</w:t>
      </w:r>
      <w:r w:rsidRPr="00CE1546">
        <w:rPr>
          <w:rFonts w:ascii="Arial" w:hAnsi="Arial" w:cs="Arial"/>
          <w:sz w:val="24"/>
          <w:szCs w:val="24"/>
          <w:lang w:val="mn-MN"/>
        </w:rPr>
        <w:t xml:space="preserve"> </w:t>
      </w:r>
      <w:r w:rsidR="00617F5B" w:rsidRPr="00CE1546">
        <w:rPr>
          <w:rFonts w:ascii="Arial" w:hAnsi="Arial" w:cs="Arial"/>
          <w:sz w:val="24"/>
          <w:szCs w:val="24"/>
          <w:lang w:val="mn-MN"/>
        </w:rPr>
        <w:t xml:space="preserve">Төрийн жирийн албан хаагчид ёс зүйн ямар хариуцлагыг хэрхэн хүлээлгэх нь маш тодорхой, хууль бодитой хэрэгжсээр атал </w:t>
      </w:r>
      <w:r w:rsidRPr="00CE1546">
        <w:rPr>
          <w:rFonts w:ascii="Arial" w:hAnsi="Arial" w:cs="Arial"/>
          <w:sz w:val="24"/>
          <w:szCs w:val="24"/>
          <w:lang w:val="mn-MN"/>
        </w:rPr>
        <w:t>хууль тогтоогч ижил түвшний хуулийн хариуцлагын механизмгүй</w:t>
      </w:r>
      <w:r w:rsidR="006E66AC" w:rsidRPr="00CE1546">
        <w:rPr>
          <w:rFonts w:ascii="Arial" w:hAnsi="Arial" w:cs="Arial"/>
          <w:sz w:val="24"/>
          <w:szCs w:val="24"/>
          <w:lang w:val="mn-MN"/>
        </w:rPr>
        <w:t xml:space="preserve"> </w:t>
      </w:r>
      <w:r w:rsidRPr="00CE1546">
        <w:rPr>
          <w:rFonts w:ascii="Arial" w:hAnsi="Arial" w:cs="Arial"/>
          <w:sz w:val="24"/>
          <w:szCs w:val="24"/>
          <w:lang w:val="mn-MN"/>
        </w:rPr>
        <w:t>байгаа нь хууль дээдлэх,</w:t>
      </w:r>
      <w:r w:rsidR="006E66AC" w:rsidRPr="00CE1546">
        <w:rPr>
          <w:rFonts w:ascii="Arial" w:hAnsi="Arial" w:cs="Arial"/>
          <w:sz w:val="24"/>
          <w:szCs w:val="24"/>
          <w:lang w:val="mn-MN"/>
        </w:rPr>
        <w:t xml:space="preserve"> </w:t>
      </w:r>
      <w:r w:rsidRPr="00CE1546">
        <w:rPr>
          <w:rFonts w:ascii="Arial" w:hAnsi="Arial" w:cs="Arial"/>
          <w:sz w:val="24"/>
          <w:szCs w:val="24"/>
          <w:lang w:val="mn-MN"/>
        </w:rPr>
        <w:t>тэгш байдлын зарчмыг алдагдуулж</w:t>
      </w:r>
      <w:r w:rsidR="00617F5B" w:rsidRPr="00CE1546">
        <w:rPr>
          <w:rFonts w:ascii="Arial" w:hAnsi="Arial" w:cs="Arial"/>
          <w:sz w:val="24"/>
          <w:szCs w:val="24"/>
          <w:lang w:val="mn-MN"/>
        </w:rPr>
        <w:t>, өрөөсгөл хэрэгжүүлэхэд хүргэж</w:t>
      </w:r>
      <w:r w:rsidRPr="00CE1546">
        <w:rPr>
          <w:rFonts w:ascii="Arial" w:hAnsi="Arial" w:cs="Arial"/>
          <w:sz w:val="24"/>
          <w:szCs w:val="24"/>
          <w:lang w:val="mn-MN"/>
        </w:rPr>
        <w:t xml:space="preserve"> байна. Энэ нь ард түмний төрд итгэх итгэлийг бууруулж, төрийн үйл ажиллагааны шударга байдлыг алдагдуулах нөхцөл бүрдүүлж байна.</w:t>
      </w:r>
    </w:p>
    <w:p w14:paraId="1C76BB38" w14:textId="432CDE9A" w:rsidR="0036033A" w:rsidRPr="00CE1546" w:rsidRDefault="00A55FC6" w:rsidP="00CE1546">
      <w:pPr>
        <w:pStyle w:val="Heading2"/>
        <w:spacing w:line="276" w:lineRule="auto"/>
        <w:ind w:firstLine="720"/>
      </w:pPr>
      <w:r w:rsidRPr="00CE1546">
        <w:t>4.3.Практикт нийцэж байгаа байдал</w:t>
      </w:r>
    </w:p>
    <w:p w14:paraId="1C087B20" w14:textId="02F39FB0"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Одоогийн зохицуулалтаар Үндсэн хуулийн цэцээс гишүүний талаар дүгнэлт гаргасан ч Улсын Их Хурал уг шийдвэрийг хүлээн зөвшөөрөхгүй байх боломжтой</w:t>
      </w:r>
      <w:r w:rsidR="00617F5B" w:rsidRPr="00CE1546">
        <w:rPr>
          <w:rFonts w:ascii="Arial" w:hAnsi="Arial" w:cs="Arial"/>
          <w:sz w:val="24"/>
          <w:szCs w:val="24"/>
          <w:lang w:val="mn-MN"/>
        </w:rPr>
        <w:t xml:space="preserve"> байхаар тусгасан нь Үндсэн хуулийн </w:t>
      </w:r>
      <w:r w:rsidR="00DF4866" w:rsidRPr="00CE1546">
        <w:rPr>
          <w:rFonts w:ascii="Arial" w:hAnsi="Arial" w:cs="Arial"/>
          <w:sz w:val="24"/>
          <w:szCs w:val="24"/>
          <w:lang w:val="mn-MN"/>
        </w:rPr>
        <w:t>67 дугаар</w:t>
      </w:r>
      <w:r w:rsidR="00617F5B" w:rsidRPr="00CE1546">
        <w:rPr>
          <w:rFonts w:ascii="Arial" w:hAnsi="Arial" w:cs="Arial"/>
          <w:sz w:val="24"/>
          <w:szCs w:val="24"/>
          <w:lang w:val="mn-MN"/>
        </w:rPr>
        <w:t xml:space="preserve"> зүйлийн “Үндсэн хуулийн цэцийн шийдвэр гармагцаа хүчин төгөлдөр болно” гэсэн заалтыг зөрчиж, ингэснээрээ төрийн эрх мэдлийн хяналт, тэнцвэрт сөргөөр нөлөөлж Үндсэн хуулийн цэц, цаашилбал бүх шатны шүүхийн шийдвэрийн ач холбогдлыг бууруулж байна.</w:t>
      </w:r>
    </w:p>
    <w:p w14:paraId="0C682F61" w14:textId="166331F5"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b/>
          <w:bCs/>
          <w:sz w:val="24"/>
          <w:szCs w:val="24"/>
          <w:lang w:val="mn-MN"/>
        </w:rPr>
        <w:tab/>
      </w:r>
      <w:r w:rsidRPr="00CE1546">
        <w:rPr>
          <w:rFonts w:ascii="Arial" w:hAnsi="Arial" w:cs="Arial"/>
          <w:sz w:val="24"/>
          <w:szCs w:val="24"/>
          <w:lang w:val="mn-MN"/>
        </w:rPr>
        <w:t xml:space="preserve">Гишүүн гэмт хэрэг үйлдсэн гэж шүүх тогтоосон тохиолдолд тухайн шүүхийн шийдвэрийг Улсын Их Хуралд </w:t>
      </w:r>
      <w:r w:rsidR="00617F5B" w:rsidRPr="00CE1546">
        <w:rPr>
          <w:rFonts w:ascii="Arial" w:hAnsi="Arial" w:cs="Arial"/>
          <w:sz w:val="24"/>
          <w:szCs w:val="24"/>
          <w:lang w:val="mn-MN"/>
        </w:rPr>
        <w:t xml:space="preserve">хэрхэн </w:t>
      </w:r>
      <w:r w:rsidRPr="00CE1546">
        <w:rPr>
          <w:rFonts w:ascii="Arial" w:hAnsi="Arial" w:cs="Arial"/>
          <w:sz w:val="24"/>
          <w:szCs w:val="24"/>
          <w:lang w:val="mn-MN"/>
        </w:rPr>
        <w:t>хүргүүлэх, дараагийн шатны арга хэмжээ авах журам тодорхойгүй тул хуулийн заалт бодитой хэрэгжих боломжгүй байдалд хүрч байна.</w:t>
      </w:r>
    </w:p>
    <w:p w14:paraId="3899036B" w14:textId="612503E6" w:rsidR="006437A1" w:rsidRPr="00CE1546" w:rsidRDefault="00782FE5" w:rsidP="006437A1">
      <w:pPr>
        <w:spacing w:after="120" w:line="276" w:lineRule="auto"/>
        <w:jc w:val="both"/>
        <w:rPr>
          <w:rFonts w:ascii="Arial" w:hAnsi="Arial" w:cs="Arial"/>
          <w:sz w:val="24"/>
          <w:szCs w:val="24"/>
          <w:lang w:val="mn-MN"/>
        </w:rPr>
      </w:pPr>
      <w:r w:rsidRPr="00CE1546">
        <w:rPr>
          <w:rFonts w:ascii="Arial" w:hAnsi="Arial" w:cs="Arial"/>
          <w:b/>
          <w:bCs/>
          <w:sz w:val="24"/>
          <w:szCs w:val="24"/>
          <w:lang w:val="mn-MN"/>
        </w:rPr>
        <w:tab/>
      </w:r>
      <w:r w:rsidR="00617F5B" w:rsidRPr="00CE1546">
        <w:rPr>
          <w:rFonts w:ascii="Arial" w:hAnsi="Arial" w:cs="Arial"/>
          <w:sz w:val="24"/>
          <w:szCs w:val="24"/>
          <w:lang w:val="mn-MN"/>
        </w:rPr>
        <w:t>Улсын Их Хурлын</w:t>
      </w:r>
      <w:r w:rsidR="00617F5B" w:rsidRPr="00CE1546">
        <w:rPr>
          <w:rFonts w:ascii="Arial" w:hAnsi="Arial" w:cs="Arial"/>
          <w:b/>
          <w:bCs/>
          <w:sz w:val="24"/>
          <w:szCs w:val="24"/>
          <w:lang w:val="mn-MN"/>
        </w:rPr>
        <w:t xml:space="preserve"> </w:t>
      </w:r>
      <w:r w:rsidRPr="00CE1546">
        <w:rPr>
          <w:rFonts w:ascii="Arial" w:hAnsi="Arial" w:cs="Arial"/>
          <w:sz w:val="24"/>
          <w:szCs w:val="24"/>
          <w:lang w:val="mn-MN"/>
        </w:rPr>
        <w:t xml:space="preserve">Ёс зүйн дэд хороо гишүүнд хариуцлага тооцдог боловч оногдуулж байгаа хариуцлага нь сануулга, </w:t>
      </w:r>
      <w:r w:rsidR="00CB7C75" w:rsidRPr="00CE1546">
        <w:rPr>
          <w:rFonts w:ascii="Arial" w:hAnsi="Arial" w:cs="Arial"/>
          <w:sz w:val="24"/>
          <w:szCs w:val="24"/>
          <w:lang w:val="mn-MN"/>
        </w:rPr>
        <w:t xml:space="preserve">уучлал гуйх, </w:t>
      </w:r>
      <w:r w:rsidRPr="00CE1546">
        <w:rPr>
          <w:rFonts w:ascii="Arial" w:hAnsi="Arial" w:cs="Arial"/>
          <w:sz w:val="24"/>
          <w:szCs w:val="24"/>
          <w:lang w:val="mn-MN"/>
        </w:rPr>
        <w:t>цалин бууруулах хэмжээнд хязгаарлагдаж байна. Ноцтой ёс зүйн зөрчил удаа дараалан гарсаар атал эгүүлэн татах хүртэлх хариуцлага хүлээлгэх хуулийн зохицуулалт байхгүй. Төрийн албан хаагчийн ёс зүйн тухай хуульд Улсын Их Хурлын гишүүний ёс зүйн хариуцлагыг холбогдох хуулиар зохицуулахаар заасан боловч тийнхүү зохицуулсан хууль байхгүй хэвээр</w:t>
      </w:r>
      <w:r w:rsidR="00617F5B" w:rsidRPr="00CE1546">
        <w:rPr>
          <w:rFonts w:ascii="Arial" w:hAnsi="Arial" w:cs="Arial"/>
          <w:sz w:val="24"/>
          <w:szCs w:val="24"/>
          <w:lang w:val="mn-MN"/>
        </w:rPr>
        <w:t xml:space="preserve"> байгаа нь хууль дээдлэх, тэгш байдлын зарчмыг алдагдуулж, өрөөсгөл хэрэгжүүлэхэд хүргэж байна.</w:t>
      </w:r>
    </w:p>
    <w:p w14:paraId="29724A65" w14:textId="75C785C1" w:rsidR="000C627D" w:rsidRPr="00CE1546" w:rsidRDefault="00806DAC" w:rsidP="00CE1546">
      <w:pPr>
        <w:spacing w:line="276" w:lineRule="auto"/>
        <w:jc w:val="both"/>
        <w:rPr>
          <w:rFonts w:ascii="Arial" w:hAnsi="Arial" w:cs="Arial"/>
          <w:sz w:val="24"/>
          <w:szCs w:val="24"/>
          <w:lang w:val="mn-MN"/>
        </w:rPr>
      </w:pPr>
      <w:r w:rsidRPr="00CE1546">
        <w:rPr>
          <w:rFonts w:ascii="Arial" w:hAnsi="Arial" w:cs="Arial"/>
          <w:sz w:val="24"/>
          <w:szCs w:val="24"/>
          <w:lang w:val="mn-MN"/>
        </w:rPr>
        <w:tab/>
        <w:t>Хууль т</w:t>
      </w:r>
      <w:r w:rsidR="00C5578B" w:rsidRPr="00CE1546">
        <w:rPr>
          <w:rFonts w:ascii="Arial" w:hAnsi="Arial" w:cs="Arial"/>
          <w:sz w:val="24"/>
          <w:szCs w:val="24"/>
          <w:lang w:val="mn-MN"/>
        </w:rPr>
        <w:t xml:space="preserve">огтоох эрхийг парламент эдэлдэг боловч хуулийг тайлбарлах, </w:t>
      </w:r>
      <w:r w:rsidR="006A21E7" w:rsidRPr="00CE1546">
        <w:rPr>
          <w:rFonts w:ascii="Arial" w:hAnsi="Arial" w:cs="Arial"/>
          <w:sz w:val="24"/>
          <w:szCs w:val="24"/>
          <w:lang w:val="mn-MN"/>
        </w:rPr>
        <w:t xml:space="preserve">эрх зүйд нийцэж байгаа эсэхэд ёс суртахууны үүднээс </w:t>
      </w:r>
      <w:r w:rsidR="00701AA5" w:rsidRPr="00CE1546">
        <w:rPr>
          <w:rFonts w:ascii="Arial" w:hAnsi="Arial" w:cs="Arial"/>
          <w:sz w:val="24"/>
          <w:szCs w:val="24"/>
          <w:lang w:val="mn-MN"/>
        </w:rPr>
        <w:t xml:space="preserve">үнэлгээ өгч, мэргэжлийн итгэл үнэмшилдээ тулгуурлан </w:t>
      </w:r>
      <w:r w:rsidR="009371B1" w:rsidRPr="00CE1546">
        <w:rPr>
          <w:rFonts w:ascii="Arial" w:hAnsi="Arial" w:cs="Arial"/>
          <w:sz w:val="24"/>
          <w:szCs w:val="24"/>
          <w:lang w:val="mn-MN"/>
        </w:rPr>
        <w:t>хуулийг цуцлах хүртэл эрхийг шүүх байгууллага, тэр дундаа үндсэн хуулийн шүүхэд олгодог нь улс төрийн дур зоргыг эрх зүйгээр хязгаарлах гэсэн эрх мэдэл хуваарилах онол</w:t>
      </w:r>
      <w:r w:rsidR="005508B0" w:rsidRPr="00CE1546">
        <w:rPr>
          <w:rFonts w:ascii="Arial" w:hAnsi="Arial" w:cs="Arial"/>
          <w:sz w:val="24"/>
          <w:szCs w:val="24"/>
          <w:lang w:val="mn-MN"/>
        </w:rPr>
        <w:t xml:space="preserve">, хянал-тэнцлийн харилцааны мөн чанар юм. </w:t>
      </w:r>
      <w:r w:rsidR="00BD734E" w:rsidRPr="00CE1546">
        <w:rPr>
          <w:rFonts w:ascii="Arial" w:hAnsi="Arial" w:cs="Arial"/>
          <w:sz w:val="24"/>
          <w:szCs w:val="24"/>
          <w:lang w:val="mn-MN"/>
        </w:rPr>
        <w:t>Монгол Улсын Үндсэн хуулиар хууль тогтоох эрх мэдлийг Улсын Их Хурал хадгалах боловч</w:t>
      </w:r>
      <w:r w:rsidR="004B1524" w:rsidRPr="00CE1546">
        <w:rPr>
          <w:rFonts w:ascii="Arial" w:hAnsi="Arial" w:cs="Arial"/>
          <w:sz w:val="24"/>
          <w:szCs w:val="24"/>
          <w:lang w:val="mn-MN"/>
        </w:rPr>
        <w:t xml:space="preserve"> баталсан хуулийг Үндсэн хууль, бусад хуульд нийцэж байгаа эсэхийг Үндсэн хуулийн цэц, шүүх хянах</w:t>
      </w:r>
      <w:r w:rsidR="000B2562" w:rsidRPr="00CE1546">
        <w:rPr>
          <w:rFonts w:ascii="Arial" w:hAnsi="Arial" w:cs="Arial"/>
          <w:sz w:val="24"/>
          <w:szCs w:val="24"/>
          <w:lang w:val="mn-MN"/>
        </w:rPr>
        <w:t>, шаардлагатай бол үйлчлэлийг нь зогсоох эрхтэй байхаар зохицуулсан нь ийм учиртай. Энэ учир шалтгаан ч Улсын Их Хурлын гишүүнийг эгүүлэн татах</w:t>
      </w:r>
      <w:r w:rsidR="00A0798F" w:rsidRPr="00CE1546">
        <w:rPr>
          <w:rFonts w:ascii="Arial" w:hAnsi="Arial" w:cs="Arial"/>
          <w:sz w:val="24"/>
          <w:szCs w:val="24"/>
          <w:lang w:val="mn-MN"/>
        </w:rPr>
        <w:t xml:space="preserve"> асуудалд мөн чанараараа хэрэгжих ёстой атал Улсын Их Хурлын тухай хуульд заасан з</w:t>
      </w:r>
      <w:r w:rsidR="00CB586F" w:rsidRPr="00CE1546">
        <w:rPr>
          <w:rFonts w:ascii="Arial" w:hAnsi="Arial" w:cs="Arial"/>
          <w:sz w:val="24"/>
          <w:szCs w:val="24"/>
          <w:lang w:val="mn-MN"/>
        </w:rPr>
        <w:t>охицуулалт үүнтэй шууд зөрчилдөж байна.</w:t>
      </w:r>
    </w:p>
    <w:p w14:paraId="67B9C58E" w14:textId="77777777" w:rsidR="0036033A" w:rsidRPr="00CE1546" w:rsidRDefault="00A55FC6" w:rsidP="00CE1546">
      <w:pPr>
        <w:pStyle w:val="Heading2"/>
        <w:spacing w:line="276" w:lineRule="auto"/>
        <w:ind w:firstLine="720"/>
      </w:pPr>
      <w:r w:rsidRPr="00CE1546">
        <w:t>4.4. Бусад үр дагавар</w:t>
      </w:r>
    </w:p>
    <w:p w14:paraId="5CDCB532" w14:textId="040478EB"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Хуулийн зохицуулалтын дутагдалтай байдал нь дараах нэмэлт сөрөг үр дагаварт хүргэж байна.</w:t>
      </w:r>
    </w:p>
    <w:p w14:paraId="45EB142F" w14:textId="153D0974" w:rsidR="00404C3F" w:rsidRPr="00CE1546" w:rsidRDefault="00404C3F"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lastRenderedPageBreak/>
        <w:t>Нэгдүгээрт, Үндсэн хуульт ёсны зарчмыг хэрэгжүүлэхэд өрөөсгөлөөр учруулж, Үндсэн хуулийн цэцийн шийдвэрийн эрх зүйн хүчин чадал, нэр хүндэд сөргөөр нөлөөлж байна. Ингэснээр төрийн эрх мэдлийн хуваарилалтын үндсэн зарчим алдагдан, хууль дээдлэх ёс, тэнцвэрт байдал суларч, улмаар төрийн байгууллагуудын хоорондын хяналт, харилцан тэнцвэр алдагдах эрсдэл бий болж байна.</w:t>
      </w:r>
    </w:p>
    <w:p w14:paraId="66722FA8" w14:textId="4043F3F9" w:rsidR="00404C3F" w:rsidRPr="00CE1546" w:rsidRDefault="00404C3F"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t>Хоёрдугаарт, парламентын гишүүдэд үр дүнтэй хариуцлага тооцох механизм байхгүй байгаа нь иргэдийн төр засагт итгэх итгэлийг эрс бууруулж байна. Энэ нь ардчилсан засаглалын гол тулгуур болох ард түмний хяналт, шударга ёсны зарчмыг сулруулж, сонгогчдын оролцоо, итгэлийг доройтуулж, улс төрийн системийн ил тод, хариуцлагатай байдлыг алдагдуулж байна.</w:t>
      </w:r>
    </w:p>
    <w:p w14:paraId="37C0773B" w14:textId="7430BE0C" w:rsidR="0036033A" w:rsidRPr="00CE1546" w:rsidRDefault="00404C3F"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t>Гуравдугаарт, Монгол Улсын Үндэсний аюулгүй байдлын үзэл баримтлалын 3.3.1.1-д</w:t>
      </w:r>
      <w:r w:rsidR="003D4ED0" w:rsidRPr="00CE1546">
        <w:rPr>
          <w:rFonts w:ascii="Arial" w:hAnsi="Arial" w:cs="Arial"/>
          <w:sz w:val="24"/>
          <w:szCs w:val="24"/>
          <w:lang w:val="mn-MN"/>
        </w:rPr>
        <w:t xml:space="preserve"> </w:t>
      </w:r>
      <w:r w:rsidRPr="00CE1546">
        <w:rPr>
          <w:rFonts w:ascii="Arial" w:hAnsi="Arial" w:cs="Arial"/>
          <w:sz w:val="24"/>
          <w:szCs w:val="24"/>
          <w:lang w:val="mn-MN"/>
        </w:rPr>
        <w:t>заасан “Үндсэн хуулиар тогтоосон төрийн удирдлагын болон байгууламжийн хэлбэр, төрийн эрх мэдлийн хуваарилалт, ардчилал, эрх зүйт ёсыг тууштай хэрэгжүүлэх” зарчмыг бодитой хангахад бэрхшээл учруулж байна. Энэ нь үндэсний аюулгүй байдлын нэг чухал хэсэг болох дотоод тогтвортой байдал, хууль дээдлэх ёс, ардчиллын бат бөх байдлыг алдагдуулж, улс орны урт хугацааны хөгжил, тусгаар тогтнолын баталгаанд сөргөөр нөлөөлөх эрсдэлийг нэмэгдүүлж байна.</w:t>
      </w:r>
    </w:p>
    <w:p w14:paraId="6DAAF556" w14:textId="77777777" w:rsidR="0036033A" w:rsidRPr="00CE1546" w:rsidRDefault="00A55FC6" w:rsidP="00CE1546">
      <w:pPr>
        <w:pStyle w:val="Heading1"/>
        <w:spacing w:line="276" w:lineRule="auto"/>
      </w:pPr>
      <w:r w:rsidRPr="00CE1546">
        <w:t>ТАВ. ДҮГНЭЛТ</w:t>
      </w:r>
    </w:p>
    <w:p w14:paraId="1CEFA74B" w14:textId="316E84A8" w:rsidR="00BA3DBA" w:rsidRPr="00CE1546" w:rsidRDefault="00BA3DBA"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t>Монгол Улсын Их Хурлын тухай хуулийн 9 дүгээр зүйлийн холбогдох зохицуулалт нь Монгол Улсын Үндсэн хуулийн зорилго, зарчимтай бүрэн нийцэхгүй байна. Тодруулбал</w:t>
      </w:r>
      <w:r w:rsidR="003D4ED0" w:rsidRPr="00CE1546">
        <w:rPr>
          <w:rFonts w:ascii="Arial" w:hAnsi="Arial" w:cs="Arial"/>
          <w:sz w:val="24"/>
          <w:szCs w:val="24"/>
          <w:lang w:val="mn-MN"/>
        </w:rPr>
        <w:t xml:space="preserve">, </w:t>
      </w:r>
      <w:r w:rsidRPr="00CE1546">
        <w:rPr>
          <w:rFonts w:ascii="Arial" w:hAnsi="Arial" w:cs="Arial"/>
          <w:sz w:val="24"/>
          <w:szCs w:val="24"/>
          <w:lang w:val="mn-MN"/>
        </w:rPr>
        <w:t xml:space="preserve">Монгол Улсын Их Хурлын тухай хуулийн 9.1.4 дэх заалтад “хүлээн зөвшөөрсөн” гэсэн нөхцөл тавсан нь Үндсэн хуулийн холбогдох заалттай зөрчилдөж байна. Үндсэн хуулийн 66 дугаар зүйлийн 2 дахь хэсгийн 3 дахь заалтад заасан дүгнэлтийг </w:t>
      </w:r>
      <w:r w:rsidR="00E85B40" w:rsidRPr="00CE1546">
        <w:rPr>
          <w:rFonts w:ascii="Arial" w:hAnsi="Arial" w:cs="Arial"/>
          <w:sz w:val="24"/>
          <w:szCs w:val="24"/>
          <w:lang w:val="mn-MN"/>
        </w:rPr>
        <w:t xml:space="preserve">эгүүлэн татах </w:t>
      </w:r>
      <w:r w:rsidRPr="00CE1546">
        <w:rPr>
          <w:rFonts w:ascii="Arial" w:hAnsi="Arial" w:cs="Arial"/>
          <w:sz w:val="24"/>
          <w:szCs w:val="24"/>
          <w:lang w:val="mn-MN"/>
        </w:rPr>
        <w:t xml:space="preserve">бие даасан үндэслэл болгон тусгаагүй байгаа нь зохицуулалтын дутагдал болж байна. </w:t>
      </w:r>
      <w:r w:rsidR="00947A6A" w:rsidRPr="00CE1546">
        <w:rPr>
          <w:rFonts w:ascii="Arial" w:hAnsi="Arial" w:cs="Arial"/>
          <w:sz w:val="24"/>
          <w:szCs w:val="24"/>
          <w:lang w:val="mn-MN"/>
        </w:rPr>
        <w:t xml:space="preserve">Түүнчлэн, Монгол Улсын </w:t>
      </w:r>
      <w:r w:rsidR="00370B97" w:rsidRPr="00CE1546">
        <w:rPr>
          <w:rFonts w:ascii="Arial" w:hAnsi="Arial" w:cs="Arial"/>
          <w:sz w:val="24"/>
          <w:szCs w:val="24"/>
          <w:lang w:val="mn-MN"/>
        </w:rPr>
        <w:t>шүүхийн</w:t>
      </w:r>
      <w:r w:rsidRPr="00CE1546">
        <w:rPr>
          <w:rFonts w:ascii="Arial" w:hAnsi="Arial" w:cs="Arial"/>
          <w:sz w:val="24"/>
          <w:szCs w:val="24"/>
          <w:lang w:val="mn-MN"/>
        </w:rPr>
        <w:t xml:space="preserve"> шийдвэрийг Улсын Их Хуралд хүргүүлэх журам, </w:t>
      </w:r>
      <w:r w:rsidR="00FA626E" w:rsidRPr="00CE1546">
        <w:rPr>
          <w:rFonts w:ascii="Arial" w:hAnsi="Arial" w:cs="Arial"/>
          <w:sz w:val="24"/>
          <w:szCs w:val="24"/>
          <w:lang w:val="mn-MN"/>
        </w:rPr>
        <w:t>процесс</w:t>
      </w:r>
      <w:r w:rsidRPr="00CE1546">
        <w:rPr>
          <w:rFonts w:ascii="Arial" w:hAnsi="Arial" w:cs="Arial"/>
          <w:sz w:val="24"/>
          <w:szCs w:val="24"/>
          <w:lang w:val="mn-MN"/>
        </w:rPr>
        <w:t xml:space="preserve"> тодорхой бус байгаа нь хэрэгжилтийг хүндрүүлж байна.</w:t>
      </w:r>
      <w:r w:rsidR="00E85B40" w:rsidRPr="00CE1546">
        <w:rPr>
          <w:rFonts w:ascii="Arial" w:hAnsi="Arial" w:cs="Arial"/>
          <w:sz w:val="24"/>
          <w:szCs w:val="24"/>
          <w:lang w:val="mn-MN"/>
        </w:rPr>
        <w:t xml:space="preserve"> </w:t>
      </w:r>
    </w:p>
    <w:p w14:paraId="3FD5FB0B" w14:textId="72610C33" w:rsidR="00BA3DBA" w:rsidRPr="00CE1546" w:rsidRDefault="00BA3DBA"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t>Мөн Улсын Их Хурлын гишүүний хариуцлагын тогтолцоо нь олон нийтийн өнөөгийн хүлээлт, улс төрийн соёлын орчин үеийн шаардлагад нийцэхгүй байна. Түүнчлэн, Улсын Их Хурлын гишүүний ёс зүйн зөрчлийн хариуцлага харьцангуй хязгаарлагдмал буюу эгүүлэн татах хариуцлага хүлээлгэх механизм байхгүй нь иргэдийн парламентад итгэх итгэлд сөргөөр нөлөөлж байна. Мөн Үндсэн хуулийн цэцийн дүгнэлтийн хэрэгжилт, шүүхийн шийдвэрийн биелэлт, ёс зүйн хариуцлагын тогтолцоо зэрэг нь практикт хэрэгжихэд боломж хязгаарлагдмал байна.</w:t>
      </w:r>
    </w:p>
    <w:p w14:paraId="0F0CAD1D" w14:textId="47809485" w:rsidR="00BA3DBA" w:rsidRPr="00CE1546" w:rsidRDefault="00BA3DBA"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t>Эдгээр хуулийн хийдэл нь үндсэн хуульт ёсны зарчмыг хэрэгжүүлэхэд саад болж, төрийн эрх мэдлийн хуваарилалт, ард түмний хяналтын зарчим, үндэсний аюулгүй байдлын үзэл баримтлалд заасан үндсэн зарчмуудыг хангахад ихээхэн бэрхшээл учруулж байна.</w:t>
      </w:r>
    </w:p>
    <w:p w14:paraId="757EA89B" w14:textId="34AA1729" w:rsidR="00BA3DBA" w:rsidRPr="00CE1546" w:rsidRDefault="00BA3DBA" w:rsidP="00CE1546">
      <w:pPr>
        <w:spacing w:after="120" w:line="276" w:lineRule="auto"/>
        <w:ind w:firstLine="720"/>
        <w:jc w:val="both"/>
        <w:rPr>
          <w:rFonts w:ascii="Arial" w:hAnsi="Arial" w:cs="Arial"/>
          <w:sz w:val="24"/>
          <w:szCs w:val="24"/>
          <w:lang w:val="mn-MN"/>
        </w:rPr>
      </w:pPr>
      <w:r w:rsidRPr="00CE1546">
        <w:rPr>
          <w:rFonts w:ascii="Arial" w:hAnsi="Arial" w:cs="Arial"/>
          <w:sz w:val="24"/>
          <w:szCs w:val="24"/>
          <w:lang w:val="mn-MN"/>
        </w:rPr>
        <w:t>Иймээс уг хуулийн холбогдох заалтуудыг Монгол Улсын Үндсэн хуультай бүрэн нийцүүл</w:t>
      </w:r>
      <w:r w:rsidR="00FA626E" w:rsidRPr="00CE1546">
        <w:rPr>
          <w:rFonts w:ascii="Arial" w:hAnsi="Arial" w:cs="Arial"/>
          <w:sz w:val="24"/>
          <w:szCs w:val="24"/>
          <w:lang w:val="mn-MN"/>
        </w:rPr>
        <w:t>эх</w:t>
      </w:r>
      <w:r w:rsidRPr="00CE1546">
        <w:rPr>
          <w:rFonts w:ascii="Arial" w:hAnsi="Arial" w:cs="Arial"/>
          <w:sz w:val="24"/>
          <w:szCs w:val="24"/>
          <w:lang w:val="mn-MN"/>
        </w:rPr>
        <w:t xml:space="preserve">, гишүүний </w:t>
      </w:r>
      <w:r w:rsidR="00FA626E" w:rsidRPr="00CE1546">
        <w:rPr>
          <w:rFonts w:ascii="Arial" w:hAnsi="Arial" w:cs="Arial"/>
          <w:sz w:val="24"/>
          <w:szCs w:val="24"/>
          <w:lang w:val="mn-MN"/>
        </w:rPr>
        <w:t xml:space="preserve">ёс зүйн </w:t>
      </w:r>
      <w:r w:rsidRPr="00CE1546">
        <w:rPr>
          <w:rFonts w:ascii="Arial" w:hAnsi="Arial" w:cs="Arial"/>
          <w:sz w:val="24"/>
          <w:szCs w:val="24"/>
          <w:lang w:val="mn-MN"/>
        </w:rPr>
        <w:t xml:space="preserve">хариуцлагын тогтолцоог боловсронгуй болгох, </w:t>
      </w:r>
      <w:r w:rsidR="007B1685" w:rsidRPr="00CE1546">
        <w:rPr>
          <w:rFonts w:ascii="Arial" w:hAnsi="Arial" w:cs="Arial"/>
          <w:sz w:val="24"/>
          <w:szCs w:val="24"/>
          <w:lang w:val="mn-MN"/>
        </w:rPr>
        <w:lastRenderedPageBreak/>
        <w:t xml:space="preserve">Цэц болон шүүхийн шийдвэрийн </w:t>
      </w:r>
      <w:r w:rsidRPr="00CE1546">
        <w:rPr>
          <w:rFonts w:ascii="Arial" w:hAnsi="Arial" w:cs="Arial"/>
          <w:sz w:val="24"/>
          <w:szCs w:val="24"/>
          <w:lang w:val="mn-MN"/>
        </w:rPr>
        <w:t>хэрэгжилтийн механизмыг тодорхой болгох шаардлагатай байна.</w:t>
      </w:r>
    </w:p>
    <w:p w14:paraId="7D4AA523" w14:textId="77777777" w:rsidR="0036033A" w:rsidRPr="00CE1546" w:rsidRDefault="00A55FC6" w:rsidP="00CE1546">
      <w:pPr>
        <w:pStyle w:val="Heading1"/>
        <w:spacing w:line="276" w:lineRule="auto"/>
      </w:pPr>
      <w:r w:rsidRPr="00CE1546">
        <w:t>ЗУРГАА. ЗӨВЛӨМЖ</w:t>
      </w:r>
    </w:p>
    <w:p w14:paraId="4A42DCC5" w14:textId="46B35068" w:rsidR="00782FE5"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Аргачлалын 5.4.2-т заасны дагуу дараах зөвлөмжийг гаргаж байна.</w:t>
      </w:r>
    </w:p>
    <w:p w14:paraId="3D197760" w14:textId="1BB75500" w:rsidR="00782FE5"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Одоогийн зохицуулалт Үндсэн хуулийн заалттай зөрчилдсөн, зайлшгүй зохицуулах ёстой харилцааг орхигдуулсан тул нэмэлт, өөрчлөлт оруулах зайлшгүй шаардлагатай</w:t>
      </w:r>
      <w:r w:rsidR="007B1685" w:rsidRPr="00CE1546">
        <w:rPr>
          <w:rFonts w:ascii="Arial" w:hAnsi="Arial" w:cs="Arial"/>
          <w:sz w:val="24"/>
          <w:szCs w:val="24"/>
          <w:lang w:val="mn-MN"/>
        </w:rPr>
        <w:t xml:space="preserve"> байна</w:t>
      </w:r>
      <w:r w:rsidRPr="00CE1546">
        <w:rPr>
          <w:rFonts w:ascii="Arial" w:hAnsi="Arial" w:cs="Arial"/>
          <w:sz w:val="24"/>
          <w:szCs w:val="24"/>
          <w:lang w:val="mn-MN"/>
        </w:rPr>
        <w:t>. Тодруулбал</w:t>
      </w:r>
      <w:r w:rsidR="007B1685" w:rsidRPr="00CE1546">
        <w:rPr>
          <w:rFonts w:ascii="Arial" w:hAnsi="Arial" w:cs="Arial"/>
          <w:sz w:val="24"/>
          <w:szCs w:val="24"/>
          <w:lang w:val="mn-MN"/>
        </w:rPr>
        <w:t xml:space="preserve">, Монгол Улсын Их Хурлын тухай хуулийн </w:t>
      </w:r>
      <w:r w:rsidRPr="00CE1546">
        <w:rPr>
          <w:rFonts w:ascii="Arial" w:hAnsi="Arial" w:cs="Arial"/>
          <w:sz w:val="24"/>
          <w:szCs w:val="24"/>
          <w:lang w:val="mn-MN"/>
        </w:rPr>
        <w:t xml:space="preserve">9.1.4-ийн </w:t>
      </w:r>
      <w:r w:rsidR="007B1685" w:rsidRPr="00CE1546">
        <w:rPr>
          <w:rFonts w:ascii="Arial" w:hAnsi="Arial" w:cs="Arial"/>
          <w:sz w:val="24"/>
          <w:szCs w:val="24"/>
          <w:lang w:val="mn-MN"/>
        </w:rPr>
        <w:t>“</w:t>
      </w:r>
      <w:r w:rsidRPr="00CE1546">
        <w:rPr>
          <w:rFonts w:ascii="Arial" w:hAnsi="Arial" w:cs="Arial"/>
          <w:sz w:val="24"/>
          <w:szCs w:val="24"/>
          <w:lang w:val="mn-MN"/>
        </w:rPr>
        <w:t>Улсын Их Хурал хүлээн зөвшөөрсөн</w:t>
      </w:r>
      <w:r w:rsidR="007B1685" w:rsidRPr="00CE1546">
        <w:rPr>
          <w:rFonts w:ascii="Arial" w:hAnsi="Arial" w:cs="Arial"/>
          <w:sz w:val="24"/>
          <w:szCs w:val="24"/>
          <w:lang w:val="mn-MN"/>
        </w:rPr>
        <w:t>”</w:t>
      </w:r>
      <w:r w:rsidRPr="00CE1546">
        <w:rPr>
          <w:rFonts w:ascii="Arial" w:hAnsi="Arial" w:cs="Arial"/>
          <w:sz w:val="24"/>
          <w:szCs w:val="24"/>
          <w:lang w:val="mn-MN"/>
        </w:rPr>
        <w:t xml:space="preserve"> гэсэн нөхцөлийг Үндсэн хуулийн </w:t>
      </w:r>
      <w:r w:rsidR="00345E3E" w:rsidRPr="00CE1546">
        <w:rPr>
          <w:rFonts w:ascii="Arial" w:hAnsi="Arial" w:cs="Arial"/>
          <w:sz w:val="24"/>
          <w:szCs w:val="24"/>
          <w:lang w:val="mn-MN"/>
        </w:rPr>
        <w:t xml:space="preserve">66 дугаар зүйлийн 3 дахь хэсэг болон </w:t>
      </w:r>
      <w:r w:rsidR="007B1685" w:rsidRPr="00CE1546">
        <w:rPr>
          <w:rFonts w:ascii="Arial" w:hAnsi="Arial" w:cs="Arial"/>
          <w:sz w:val="24"/>
          <w:szCs w:val="24"/>
          <w:lang w:val="mn-MN"/>
        </w:rPr>
        <w:t>67 дугаар</w:t>
      </w:r>
      <w:r w:rsidRPr="00CE1546">
        <w:rPr>
          <w:rFonts w:ascii="Arial" w:hAnsi="Arial" w:cs="Arial"/>
          <w:sz w:val="24"/>
          <w:szCs w:val="24"/>
          <w:lang w:val="mn-MN"/>
        </w:rPr>
        <w:t xml:space="preserve"> зүйлд нийцүүлэн өөрчлөх; Үндсэн хуулийн 66</w:t>
      </w:r>
      <w:r w:rsidR="007B1685" w:rsidRPr="00CE1546">
        <w:rPr>
          <w:rFonts w:ascii="Arial" w:hAnsi="Arial" w:cs="Arial"/>
          <w:sz w:val="24"/>
          <w:szCs w:val="24"/>
          <w:lang w:val="mn-MN"/>
        </w:rPr>
        <w:t xml:space="preserve"> дугаар зүйлийн </w:t>
      </w:r>
      <w:r w:rsidRPr="00CE1546">
        <w:rPr>
          <w:rFonts w:ascii="Arial" w:hAnsi="Arial" w:cs="Arial"/>
          <w:sz w:val="24"/>
          <w:szCs w:val="24"/>
          <w:lang w:val="mn-MN"/>
        </w:rPr>
        <w:t>2</w:t>
      </w:r>
      <w:r w:rsidR="007B1685" w:rsidRPr="00CE1546">
        <w:rPr>
          <w:rFonts w:ascii="Arial" w:hAnsi="Arial" w:cs="Arial"/>
          <w:sz w:val="24"/>
          <w:szCs w:val="24"/>
          <w:lang w:val="mn-MN"/>
        </w:rPr>
        <w:t xml:space="preserve"> дахь хэсгийн </w:t>
      </w:r>
      <w:r w:rsidRPr="00CE1546">
        <w:rPr>
          <w:rFonts w:ascii="Arial" w:hAnsi="Arial" w:cs="Arial"/>
          <w:sz w:val="24"/>
          <w:szCs w:val="24"/>
          <w:lang w:val="mn-MN"/>
        </w:rPr>
        <w:t>3-т заасан дүгнэлтийг эгүүлэн татах бие даасан үндэслэл болгон нэмэх; шүүхийн шийдвэрийг Улсын Их Хурлын даргад хүргүүлэх журмыг тодорхой болгох.</w:t>
      </w:r>
    </w:p>
    <w:p w14:paraId="69C7ED78" w14:textId="4919FAD0"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Гишүүний тангараг</w:t>
      </w:r>
      <w:r w:rsidR="00E85B40" w:rsidRPr="00CE1546">
        <w:rPr>
          <w:rFonts w:ascii="Arial" w:hAnsi="Arial" w:cs="Arial"/>
          <w:sz w:val="24"/>
          <w:szCs w:val="24"/>
          <w:lang w:val="mn-MN"/>
        </w:rPr>
        <w:t>т</w:t>
      </w:r>
      <w:r w:rsidRPr="00CE1546">
        <w:rPr>
          <w:rFonts w:ascii="Arial" w:hAnsi="Arial" w:cs="Arial"/>
          <w:sz w:val="24"/>
          <w:szCs w:val="24"/>
          <w:lang w:val="mn-MN"/>
        </w:rPr>
        <w:t xml:space="preserve"> ёс зүйн хэм хэмжээг чандлан сахих үүргийг нэмж тусгах, ёс зүйн ноцтой зөрчлөөр эгүүлэн татах үндэслэл, журмыг тодорхой болгох. Ялангуяа хувь тэнцүүлэн төлөөлөх аргаар сонгогдсон гишүүний хариуцлагын асуудалд намын оролцоог тусгах.</w:t>
      </w:r>
    </w:p>
    <w:p w14:paraId="7F9F0022" w14:textId="77777777" w:rsidR="00782FE5"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b/>
          <w:bCs/>
          <w:sz w:val="24"/>
          <w:szCs w:val="24"/>
          <w:lang w:val="mn-MN"/>
        </w:rPr>
        <w:tab/>
      </w:r>
      <w:r w:rsidRPr="00CE1546">
        <w:rPr>
          <w:rFonts w:ascii="Arial" w:hAnsi="Arial" w:cs="Arial"/>
          <w:sz w:val="24"/>
          <w:szCs w:val="24"/>
          <w:lang w:val="mn-MN"/>
        </w:rPr>
        <w:t>Үндсэн хуулийн цэцэд маргаан хянан шийдвэрлэх ажиллагааны тухай хуульд Цэцийн дүгнэлтийг Улсын Их Хуралд танилцуулах журмыг нарийвчлан зохицуулах, Эрүүгийн хэрэг хянан шийдвэрлэх тухай хуульд гишүүн гэмт хэрэг үйлдсэнийг тогтоосон шүүхийн шийдвэрийг Улсын Их Хурлын даргад хүргүүлэх журмыг тусгах зохицуулалтыг нэмж оруулах нь үйл ажиллагааны уялдааг хангахад чухал ач холбогдолтой юм.</w:t>
      </w:r>
    </w:p>
    <w:p w14:paraId="0381866A" w14:textId="36AA933C" w:rsidR="0036033A" w:rsidRPr="00CE1546" w:rsidRDefault="00782FE5" w:rsidP="00CE1546">
      <w:pPr>
        <w:spacing w:after="120" w:line="276" w:lineRule="auto"/>
        <w:ind w:firstLine="400"/>
        <w:jc w:val="both"/>
        <w:rPr>
          <w:rFonts w:ascii="Arial" w:hAnsi="Arial" w:cs="Arial"/>
          <w:sz w:val="24"/>
          <w:szCs w:val="24"/>
          <w:lang w:val="mn-MN"/>
        </w:rPr>
      </w:pPr>
      <w:r w:rsidRPr="00CE1546">
        <w:rPr>
          <w:rFonts w:ascii="Arial" w:hAnsi="Arial" w:cs="Arial"/>
          <w:sz w:val="24"/>
          <w:szCs w:val="24"/>
          <w:lang w:val="mn-MN"/>
        </w:rPr>
        <w:tab/>
        <w:t>Иргэний гомдлын үндэслэлээр гишүүний ёс зүйн зөрчлийг хянах механизмыг бүрдүүлэх</w:t>
      </w:r>
      <w:r w:rsidR="008D54D7" w:rsidRPr="00CE1546">
        <w:rPr>
          <w:rFonts w:ascii="Arial" w:hAnsi="Arial" w:cs="Arial"/>
          <w:sz w:val="24"/>
          <w:szCs w:val="24"/>
          <w:lang w:val="mn-MN"/>
        </w:rPr>
        <w:t xml:space="preserve">. Ингэснээр </w:t>
      </w:r>
      <w:r w:rsidRPr="00CE1546">
        <w:rPr>
          <w:rFonts w:ascii="Arial" w:hAnsi="Arial" w:cs="Arial"/>
          <w:sz w:val="24"/>
          <w:szCs w:val="24"/>
          <w:lang w:val="mn-MN"/>
        </w:rPr>
        <w:t xml:space="preserve">Үндсэн хуулийн </w:t>
      </w:r>
      <w:r w:rsidR="008D54D7" w:rsidRPr="00CE1546">
        <w:rPr>
          <w:rFonts w:ascii="Arial" w:hAnsi="Arial" w:cs="Arial"/>
          <w:sz w:val="24"/>
          <w:szCs w:val="24"/>
          <w:lang w:val="mn-MN"/>
        </w:rPr>
        <w:t>3 дугаар</w:t>
      </w:r>
      <w:r w:rsidRPr="00CE1546">
        <w:rPr>
          <w:rFonts w:ascii="Arial" w:hAnsi="Arial" w:cs="Arial"/>
          <w:sz w:val="24"/>
          <w:szCs w:val="24"/>
          <w:lang w:val="mn-MN"/>
        </w:rPr>
        <w:t xml:space="preserve"> зүйлийн 1 дэх хэсэгт заасан </w:t>
      </w:r>
      <w:r w:rsidR="008D54D7" w:rsidRPr="00CE1546">
        <w:rPr>
          <w:rFonts w:ascii="Arial" w:hAnsi="Arial" w:cs="Arial"/>
          <w:sz w:val="24"/>
          <w:szCs w:val="24"/>
          <w:lang w:val="mn-MN"/>
        </w:rPr>
        <w:t>“</w:t>
      </w:r>
      <w:r w:rsidRPr="00CE1546">
        <w:rPr>
          <w:rFonts w:ascii="Arial" w:hAnsi="Arial" w:cs="Arial"/>
          <w:sz w:val="24"/>
          <w:szCs w:val="24"/>
          <w:lang w:val="mn-MN"/>
        </w:rPr>
        <w:t>засгийн бүх эрх ард түмний мэдэлд байна</w:t>
      </w:r>
      <w:r w:rsidR="008D54D7" w:rsidRPr="00CE1546">
        <w:rPr>
          <w:rFonts w:ascii="Arial" w:hAnsi="Arial" w:cs="Arial"/>
          <w:sz w:val="24"/>
          <w:szCs w:val="24"/>
          <w:lang w:val="mn-MN"/>
        </w:rPr>
        <w:t xml:space="preserve">” </w:t>
      </w:r>
      <w:r w:rsidRPr="00CE1546">
        <w:rPr>
          <w:rFonts w:ascii="Arial" w:hAnsi="Arial" w:cs="Arial"/>
          <w:sz w:val="24"/>
          <w:szCs w:val="24"/>
          <w:lang w:val="mn-MN"/>
        </w:rPr>
        <w:t>гэсэн зарчмыг хэрэгжүүлэхэд чухал алхам болно.</w:t>
      </w:r>
    </w:p>
    <w:p w14:paraId="1B0E548C" w14:textId="384E1EED" w:rsidR="0036033A" w:rsidRPr="00CE1546" w:rsidRDefault="00A55FC6" w:rsidP="00CE1546">
      <w:pPr>
        <w:spacing w:after="120" w:line="276" w:lineRule="auto"/>
        <w:jc w:val="center"/>
        <w:rPr>
          <w:rFonts w:ascii="Arial" w:hAnsi="Arial" w:cs="Arial"/>
          <w:sz w:val="24"/>
          <w:szCs w:val="24"/>
          <w:lang w:val="mn-MN"/>
        </w:rPr>
      </w:pPr>
      <w:r w:rsidRPr="00CE1546">
        <w:rPr>
          <w:rFonts w:ascii="Arial" w:hAnsi="Arial" w:cs="Arial"/>
          <w:sz w:val="24"/>
          <w:szCs w:val="24"/>
          <w:lang w:val="mn-MN"/>
        </w:rPr>
        <w:t>---</w:t>
      </w:r>
      <w:r w:rsidR="00345E3E" w:rsidRPr="00CE1546">
        <w:rPr>
          <w:rFonts w:ascii="Arial" w:hAnsi="Arial" w:cs="Arial"/>
          <w:sz w:val="24"/>
          <w:szCs w:val="24"/>
          <w:lang w:val="mn-MN"/>
        </w:rPr>
        <w:t>oOo</w:t>
      </w:r>
      <w:r w:rsidRPr="00CE1546">
        <w:rPr>
          <w:rFonts w:ascii="Arial" w:hAnsi="Arial" w:cs="Arial"/>
          <w:sz w:val="24"/>
          <w:szCs w:val="24"/>
          <w:lang w:val="mn-MN"/>
        </w:rPr>
        <w:t>---</w:t>
      </w:r>
    </w:p>
    <w:sectPr w:rsidR="0036033A" w:rsidRPr="00CE1546">
      <w:headerReference w:type="default" r:id="rId8"/>
      <w:footerReference w:type="default" r:id="rId9"/>
      <w:pgSz w:w="11906" w:h="16838"/>
      <w:pgMar w:top="1134" w:right="1134" w:bottom="113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21BD" w14:textId="77777777" w:rsidR="00604AE6" w:rsidRDefault="00604AE6">
      <w:r>
        <w:separator/>
      </w:r>
    </w:p>
  </w:endnote>
  <w:endnote w:type="continuationSeparator" w:id="0">
    <w:p w14:paraId="4B01AA46" w14:textId="77777777" w:rsidR="00604AE6" w:rsidRDefault="0060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9227" w14:textId="3EBFE6D0" w:rsidR="0036033A" w:rsidRDefault="0036033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32BF" w14:textId="77777777" w:rsidR="00604AE6" w:rsidRDefault="00604AE6">
      <w:r>
        <w:separator/>
      </w:r>
    </w:p>
  </w:footnote>
  <w:footnote w:type="continuationSeparator" w:id="0">
    <w:p w14:paraId="28B99EBB" w14:textId="77777777" w:rsidR="00604AE6" w:rsidRDefault="0060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F7B5" w14:textId="77777777" w:rsidR="0036033A" w:rsidRDefault="0036033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7488E"/>
    <w:multiLevelType w:val="hybridMultilevel"/>
    <w:tmpl w:val="8A742CD0"/>
    <w:lvl w:ilvl="0" w:tplc="9D788DA2">
      <w:start w:val="1"/>
      <w:numFmt w:val="decimal"/>
      <w:lvlText w:val="%1."/>
      <w:lvlJc w:val="left"/>
      <w:pPr>
        <w:ind w:left="1440" w:hanging="360"/>
      </w:pPr>
    </w:lvl>
    <w:lvl w:ilvl="1" w:tplc="192C1050">
      <w:numFmt w:val="decimal"/>
      <w:lvlText w:val=""/>
      <w:lvlJc w:val="left"/>
    </w:lvl>
    <w:lvl w:ilvl="2" w:tplc="4C6C1894">
      <w:numFmt w:val="decimal"/>
      <w:lvlText w:val=""/>
      <w:lvlJc w:val="left"/>
    </w:lvl>
    <w:lvl w:ilvl="3" w:tplc="502E4F40">
      <w:numFmt w:val="decimal"/>
      <w:lvlText w:val=""/>
      <w:lvlJc w:val="left"/>
    </w:lvl>
    <w:lvl w:ilvl="4" w:tplc="A8E4CB68">
      <w:numFmt w:val="decimal"/>
      <w:lvlText w:val=""/>
      <w:lvlJc w:val="left"/>
    </w:lvl>
    <w:lvl w:ilvl="5" w:tplc="D45C5CD0">
      <w:numFmt w:val="decimal"/>
      <w:lvlText w:val=""/>
      <w:lvlJc w:val="left"/>
    </w:lvl>
    <w:lvl w:ilvl="6" w:tplc="23746E80">
      <w:numFmt w:val="decimal"/>
      <w:lvlText w:val=""/>
      <w:lvlJc w:val="left"/>
    </w:lvl>
    <w:lvl w:ilvl="7" w:tplc="A7B42ABE">
      <w:numFmt w:val="decimal"/>
      <w:lvlText w:val=""/>
      <w:lvlJc w:val="left"/>
    </w:lvl>
    <w:lvl w:ilvl="8" w:tplc="3AC066AA">
      <w:numFmt w:val="decimal"/>
      <w:lvlText w:val=""/>
      <w:lvlJc w:val="left"/>
    </w:lvl>
  </w:abstractNum>
  <w:abstractNum w:abstractNumId="1" w15:restartNumberingAfterBreak="0">
    <w:nsid w:val="349F08E1"/>
    <w:multiLevelType w:val="hybridMultilevel"/>
    <w:tmpl w:val="80329D94"/>
    <w:lvl w:ilvl="0" w:tplc="A5B8137A">
      <w:start w:val="1"/>
      <w:numFmt w:val="bullet"/>
      <w:lvlText w:val="●"/>
      <w:lvlJc w:val="left"/>
      <w:pPr>
        <w:ind w:left="720" w:hanging="360"/>
      </w:pPr>
    </w:lvl>
    <w:lvl w:ilvl="1" w:tplc="848EBEDE">
      <w:start w:val="1"/>
      <w:numFmt w:val="bullet"/>
      <w:lvlText w:val="○"/>
      <w:lvlJc w:val="left"/>
      <w:pPr>
        <w:ind w:left="1440" w:hanging="360"/>
      </w:pPr>
    </w:lvl>
    <w:lvl w:ilvl="2" w:tplc="ECEE284C">
      <w:start w:val="1"/>
      <w:numFmt w:val="bullet"/>
      <w:lvlText w:val="■"/>
      <w:lvlJc w:val="left"/>
      <w:pPr>
        <w:ind w:left="2160" w:hanging="360"/>
      </w:pPr>
    </w:lvl>
    <w:lvl w:ilvl="3" w:tplc="6D7244F6">
      <w:start w:val="1"/>
      <w:numFmt w:val="bullet"/>
      <w:lvlText w:val="●"/>
      <w:lvlJc w:val="left"/>
      <w:pPr>
        <w:ind w:left="2880" w:hanging="360"/>
      </w:pPr>
    </w:lvl>
    <w:lvl w:ilvl="4" w:tplc="F8EAE28A">
      <w:start w:val="1"/>
      <w:numFmt w:val="bullet"/>
      <w:lvlText w:val="○"/>
      <w:lvlJc w:val="left"/>
      <w:pPr>
        <w:ind w:left="3600" w:hanging="360"/>
      </w:pPr>
    </w:lvl>
    <w:lvl w:ilvl="5" w:tplc="77962BF0">
      <w:start w:val="1"/>
      <w:numFmt w:val="bullet"/>
      <w:lvlText w:val="■"/>
      <w:lvlJc w:val="left"/>
      <w:pPr>
        <w:ind w:left="4320" w:hanging="360"/>
      </w:pPr>
    </w:lvl>
    <w:lvl w:ilvl="6" w:tplc="082866F0">
      <w:start w:val="1"/>
      <w:numFmt w:val="bullet"/>
      <w:lvlText w:val="●"/>
      <w:lvlJc w:val="left"/>
      <w:pPr>
        <w:ind w:left="5040" w:hanging="360"/>
      </w:pPr>
    </w:lvl>
    <w:lvl w:ilvl="7" w:tplc="9C4471EA">
      <w:start w:val="1"/>
      <w:numFmt w:val="bullet"/>
      <w:lvlText w:val="●"/>
      <w:lvlJc w:val="left"/>
      <w:pPr>
        <w:ind w:left="5760" w:hanging="360"/>
      </w:pPr>
    </w:lvl>
    <w:lvl w:ilvl="8" w:tplc="A6128384">
      <w:start w:val="1"/>
      <w:numFmt w:val="bullet"/>
      <w:lvlText w:val="●"/>
      <w:lvlJc w:val="left"/>
      <w:pPr>
        <w:ind w:left="6480" w:hanging="360"/>
      </w:pPr>
    </w:lvl>
  </w:abstractNum>
  <w:abstractNum w:abstractNumId="2" w15:restartNumberingAfterBreak="0">
    <w:nsid w:val="448E337E"/>
    <w:multiLevelType w:val="hybridMultilevel"/>
    <w:tmpl w:val="526C6920"/>
    <w:lvl w:ilvl="0" w:tplc="81C268E8">
      <w:start w:val="1"/>
      <w:numFmt w:val="bullet"/>
      <w:lvlText w:val="•"/>
      <w:lvlJc w:val="left"/>
      <w:pPr>
        <w:ind w:left="720" w:hanging="360"/>
      </w:pPr>
    </w:lvl>
    <w:lvl w:ilvl="1" w:tplc="096841CA">
      <w:numFmt w:val="decimal"/>
      <w:lvlText w:val=""/>
      <w:lvlJc w:val="left"/>
    </w:lvl>
    <w:lvl w:ilvl="2" w:tplc="346EA982">
      <w:numFmt w:val="decimal"/>
      <w:lvlText w:val=""/>
      <w:lvlJc w:val="left"/>
    </w:lvl>
    <w:lvl w:ilvl="3" w:tplc="5C883F70">
      <w:numFmt w:val="decimal"/>
      <w:lvlText w:val=""/>
      <w:lvlJc w:val="left"/>
    </w:lvl>
    <w:lvl w:ilvl="4" w:tplc="22AC8040">
      <w:numFmt w:val="decimal"/>
      <w:lvlText w:val=""/>
      <w:lvlJc w:val="left"/>
    </w:lvl>
    <w:lvl w:ilvl="5" w:tplc="B978E8EC">
      <w:numFmt w:val="decimal"/>
      <w:lvlText w:val=""/>
      <w:lvlJc w:val="left"/>
    </w:lvl>
    <w:lvl w:ilvl="6" w:tplc="4F9C67E2">
      <w:numFmt w:val="decimal"/>
      <w:lvlText w:val=""/>
      <w:lvlJc w:val="left"/>
    </w:lvl>
    <w:lvl w:ilvl="7" w:tplc="CEB6B8E2">
      <w:numFmt w:val="decimal"/>
      <w:lvlText w:val=""/>
      <w:lvlJc w:val="left"/>
    </w:lvl>
    <w:lvl w:ilvl="8" w:tplc="36EC7528">
      <w:numFmt w:val="decimal"/>
      <w:lvlText w:val=""/>
      <w:lvlJc w:val="left"/>
    </w:lvl>
  </w:abstractNum>
  <w:num w:numId="1" w16cid:durableId="1093361548">
    <w:abstractNumId w:val="1"/>
    <w:lvlOverride w:ilvl="0">
      <w:startOverride w:val="1"/>
    </w:lvlOverride>
  </w:num>
  <w:num w:numId="2" w16cid:durableId="557862529">
    <w:abstractNumId w:val="0"/>
    <w:lvlOverride w:ilvl="0">
      <w:startOverride w:val="1"/>
    </w:lvlOverride>
  </w:num>
  <w:num w:numId="3" w16cid:durableId="209944856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3A"/>
    <w:rsid w:val="000000F0"/>
    <w:rsid w:val="00043FFA"/>
    <w:rsid w:val="00066F7F"/>
    <w:rsid w:val="00096F92"/>
    <w:rsid w:val="000B2562"/>
    <w:rsid w:val="000B5879"/>
    <w:rsid w:val="000C627D"/>
    <w:rsid w:val="000F47B8"/>
    <w:rsid w:val="00113104"/>
    <w:rsid w:val="001554FB"/>
    <w:rsid w:val="00171564"/>
    <w:rsid w:val="001828B6"/>
    <w:rsid w:val="001B3E50"/>
    <w:rsid w:val="001F47D1"/>
    <w:rsid w:val="002433A8"/>
    <w:rsid w:val="00262473"/>
    <w:rsid w:val="002A4546"/>
    <w:rsid w:val="002B315A"/>
    <w:rsid w:val="002D769D"/>
    <w:rsid w:val="003236C5"/>
    <w:rsid w:val="0032395D"/>
    <w:rsid w:val="0032426E"/>
    <w:rsid w:val="00345E3E"/>
    <w:rsid w:val="0036033A"/>
    <w:rsid w:val="003660C6"/>
    <w:rsid w:val="00370B97"/>
    <w:rsid w:val="00376EF5"/>
    <w:rsid w:val="00392EC3"/>
    <w:rsid w:val="003D4ED0"/>
    <w:rsid w:val="003F3998"/>
    <w:rsid w:val="00404C3F"/>
    <w:rsid w:val="00474D8E"/>
    <w:rsid w:val="00480000"/>
    <w:rsid w:val="004B1524"/>
    <w:rsid w:val="004C5202"/>
    <w:rsid w:val="004E67D7"/>
    <w:rsid w:val="00501398"/>
    <w:rsid w:val="00504088"/>
    <w:rsid w:val="005349E5"/>
    <w:rsid w:val="005508B0"/>
    <w:rsid w:val="00603E3A"/>
    <w:rsid w:val="00604AE6"/>
    <w:rsid w:val="00617F5B"/>
    <w:rsid w:val="006437A1"/>
    <w:rsid w:val="00652FE6"/>
    <w:rsid w:val="006776DC"/>
    <w:rsid w:val="0069618A"/>
    <w:rsid w:val="006A21E7"/>
    <w:rsid w:val="006C58BC"/>
    <w:rsid w:val="006C6414"/>
    <w:rsid w:val="006E66AC"/>
    <w:rsid w:val="00701AA5"/>
    <w:rsid w:val="0074590F"/>
    <w:rsid w:val="00780A96"/>
    <w:rsid w:val="00782FE5"/>
    <w:rsid w:val="007A4A5D"/>
    <w:rsid w:val="007B1685"/>
    <w:rsid w:val="007B4D02"/>
    <w:rsid w:val="007E7E63"/>
    <w:rsid w:val="008003CB"/>
    <w:rsid w:val="00806DAC"/>
    <w:rsid w:val="00814283"/>
    <w:rsid w:val="008308A0"/>
    <w:rsid w:val="008338FD"/>
    <w:rsid w:val="008459A9"/>
    <w:rsid w:val="008601DB"/>
    <w:rsid w:val="008907ED"/>
    <w:rsid w:val="008D54D7"/>
    <w:rsid w:val="009371B1"/>
    <w:rsid w:val="0093759B"/>
    <w:rsid w:val="00947A6A"/>
    <w:rsid w:val="00983B7B"/>
    <w:rsid w:val="009B1DF9"/>
    <w:rsid w:val="009C6D74"/>
    <w:rsid w:val="009D7F5A"/>
    <w:rsid w:val="00A0798F"/>
    <w:rsid w:val="00A31E5A"/>
    <w:rsid w:val="00A55FC6"/>
    <w:rsid w:val="00A736A8"/>
    <w:rsid w:val="00A86DFA"/>
    <w:rsid w:val="00AB52A9"/>
    <w:rsid w:val="00AD09FF"/>
    <w:rsid w:val="00AD0B22"/>
    <w:rsid w:val="00AE7755"/>
    <w:rsid w:val="00B15688"/>
    <w:rsid w:val="00B53201"/>
    <w:rsid w:val="00B858C9"/>
    <w:rsid w:val="00BA3DBA"/>
    <w:rsid w:val="00BD734E"/>
    <w:rsid w:val="00C24384"/>
    <w:rsid w:val="00C33CCD"/>
    <w:rsid w:val="00C556A9"/>
    <w:rsid w:val="00C5578B"/>
    <w:rsid w:val="00CB0A5F"/>
    <w:rsid w:val="00CB586F"/>
    <w:rsid w:val="00CB7C75"/>
    <w:rsid w:val="00CE1546"/>
    <w:rsid w:val="00CE4628"/>
    <w:rsid w:val="00D11780"/>
    <w:rsid w:val="00D251BF"/>
    <w:rsid w:val="00D51898"/>
    <w:rsid w:val="00D77593"/>
    <w:rsid w:val="00DF4866"/>
    <w:rsid w:val="00E05F6D"/>
    <w:rsid w:val="00E2780C"/>
    <w:rsid w:val="00E85B40"/>
    <w:rsid w:val="00E94AAD"/>
    <w:rsid w:val="00EF78F0"/>
    <w:rsid w:val="00F44D65"/>
    <w:rsid w:val="00F6448B"/>
    <w:rsid w:val="00F823D5"/>
    <w:rsid w:val="00F96DC0"/>
    <w:rsid w:val="00FA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76F5"/>
  <w15:docId w15:val="{060D838A-92F6-4B91-85FC-AA186F3D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9D7F5A"/>
    <w:pPr>
      <w:spacing w:before="240" w:after="160"/>
      <w:outlineLvl w:val="0"/>
    </w:pPr>
    <w:rPr>
      <w:rFonts w:ascii="Arial" w:hAnsi="Arial" w:cs="Arial"/>
      <w:b/>
      <w:bCs/>
      <w:sz w:val="24"/>
      <w:szCs w:val="24"/>
      <w:lang w:val="mn-MN"/>
    </w:rPr>
  </w:style>
  <w:style w:type="paragraph" w:styleId="Heading2">
    <w:name w:val="heading 2"/>
    <w:uiPriority w:val="9"/>
    <w:unhideWhenUsed/>
    <w:qFormat/>
    <w:rsid w:val="008003CB"/>
    <w:pPr>
      <w:spacing w:before="240" w:after="160"/>
      <w:outlineLvl w:val="1"/>
    </w:pPr>
    <w:rPr>
      <w:rFonts w:ascii="Arial" w:hAnsi="Arial" w:cs="Arial"/>
      <w:b/>
      <w:bCs/>
      <w:sz w:val="24"/>
      <w:szCs w:val="24"/>
      <w:lang w:val="mn-MN"/>
    </w:rPr>
  </w:style>
  <w:style w:type="paragraph" w:styleId="Heading3">
    <w:name w:val="heading 3"/>
    <w:uiPriority w:val="9"/>
    <w:semiHidden/>
    <w:unhideWhenUsed/>
    <w:qFormat/>
    <w:pPr>
      <w:spacing w:before="160" w:after="10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5F6D"/>
    <w:pPr>
      <w:tabs>
        <w:tab w:val="center" w:pos="4680"/>
        <w:tab w:val="right" w:pos="9360"/>
      </w:tabs>
    </w:pPr>
  </w:style>
  <w:style w:type="character" w:customStyle="1" w:styleId="HeaderChar">
    <w:name w:val="Header Char"/>
    <w:basedOn w:val="DefaultParagraphFont"/>
    <w:link w:val="Header"/>
    <w:uiPriority w:val="99"/>
    <w:rsid w:val="00E05F6D"/>
  </w:style>
  <w:style w:type="paragraph" w:styleId="Footer">
    <w:name w:val="footer"/>
    <w:basedOn w:val="Normal"/>
    <w:link w:val="FooterChar"/>
    <w:uiPriority w:val="99"/>
    <w:unhideWhenUsed/>
    <w:rsid w:val="00E05F6D"/>
    <w:pPr>
      <w:tabs>
        <w:tab w:val="center" w:pos="4680"/>
        <w:tab w:val="right" w:pos="9360"/>
      </w:tabs>
    </w:pPr>
  </w:style>
  <w:style w:type="character" w:customStyle="1" w:styleId="FooterChar">
    <w:name w:val="Footer Char"/>
    <w:basedOn w:val="DefaultParagraphFont"/>
    <w:link w:val="Footer"/>
    <w:uiPriority w:val="99"/>
    <w:rsid w:val="00E05F6D"/>
  </w:style>
  <w:style w:type="table" w:styleId="TableGrid">
    <w:name w:val="Table Grid"/>
    <w:basedOn w:val="TableNormal"/>
    <w:uiPriority w:val="39"/>
    <w:rsid w:val="00E05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001A-F85E-4F4F-8F5C-D79F2616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Manduul Alimaa</cp:lastModifiedBy>
  <cp:revision>2</cp:revision>
  <dcterms:created xsi:type="dcterms:W3CDTF">2026-03-10T00:43:00Z</dcterms:created>
  <dcterms:modified xsi:type="dcterms:W3CDTF">2026-03-10T00:43:00Z</dcterms:modified>
</cp:coreProperties>
</file>