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0B6B" w:rsidRPr="00167823" w:rsidRDefault="004E0B6B" w:rsidP="004E0B6B">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УЛСЫН БҮРТГЭЛИЙН ЕРӨНХИЙ ХУУЛЬД НЭМЭЛТ ОРУУЛАХ ТУХАЙ </w:t>
      </w:r>
      <w:r w:rsidRPr="00167823">
        <w:rPr>
          <w:rFonts w:ascii="Arial" w:hAnsi="Arial" w:cs="Arial"/>
          <w:b/>
          <w:bCs/>
          <w:noProof/>
          <w:sz w:val="24"/>
          <w:szCs w:val="24"/>
          <w:lang w:val="mn-MN"/>
        </w:rPr>
        <w:t>ХУУЛИЙН ТӨСЛИЙН ДЭЛГЭРЭНГҮЙ ТАНИЛЦУУЛГА</w:t>
      </w:r>
    </w:p>
    <w:p w:rsidR="004E0B6B" w:rsidRPr="00167823" w:rsidRDefault="004E0B6B" w:rsidP="004E0B6B">
      <w:pPr>
        <w:tabs>
          <w:tab w:val="center" w:pos="4680"/>
          <w:tab w:val="left" w:pos="7686"/>
        </w:tabs>
        <w:spacing w:after="0" w:line="240" w:lineRule="auto"/>
        <w:contextualSpacing/>
        <w:jc w:val="center"/>
        <w:rPr>
          <w:rFonts w:ascii="Arial" w:hAnsi="Arial" w:cs="Arial"/>
          <w:b/>
          <w:bCs/>
          <w:noProof/>
          <w:sz w:val="24"/>
          <w:szCs w:val="24"/>
          <w:lang w:val="mn-MN"/>
        </w:rPr>
      </w:pPr>
    </w:p>
    <w:p w:rsidR="004E0B6B" w:rsidRPr="00167823" w:rsidRDefault="004E0B6B" w:rsidP="004E0B6B">
      <w:pPr>
        <w:tabs>
          <w:tab w:val="left" w:pos="709"/>
          <w:tab w:val="center" w:pos="4680"/>
        </w:tabs>
        <w:spacing w:after="0" w:line="240" w:lineRule="auto"/>
        <w:contextualSpacing/>
        <w:jc w:val="both"/>
        <w:rPr>
          <w:rFonts w:ascii="Arial" w:hAnsi="Arial" w:cs="Arial"/>
          <w:color w:val="333333"/>
          <w:sz w:val="24"/>
          <w:szCs w:val="24"/>
          <w:shd w:val="clear" w:color="auto" w:fill="FFFFFF"/>
        </w:rPr>
      </w:pPr>
      <w:bookmarkStart w:id="0" w:name="_Hlk216629852"/>
      <w:r w:rsidRPr="00167823">
        <w:rPr>
          <w:rFonts w:ascii="Arial" w:hAnsi="Arial" w:cs="Arial"/>
          <w:color w:val="333333"/>
          <w:sz w:val="24"/>
          <w:szCs w:val="24"/>
          <w:shd w:val="clear" w:color="auto" w:fill="FFFFFF"/>
        </w:rPr>
        <w:tab/>
        <w:t>Төр, түүний байгууллагаас хууль ёсоор тусгайлан хамгаалбал зохих нууцад хамаарахаас бусад мэдээллийг иргэд, хуулийн этгээд хууль</w:t>
      </w:r>
      <w:r>
        <w:rPr>
          <w:rFonts w:ascii="Arial" w:hAnsi="Arial" w:cs="Arial"/>
          <w:color w:val="333333"/>
          <w:sz w:val="24"/>
          <w:szCs w:val="24"/>
          <w:shd w:val="clear" w:color="auto" w:fill="FFFFFF"/>
        </w:rPr>
        <w:t>д</w:t>
      </w:r>
      <w:r w:rsidRPr="00167823">
        <w:rPr>
          <w:rFonts w:ascii="Arial" w:hAnsi="Arial" w:cs="Arial"/>
          <w:color w:val="333333"/>
          <w:sz w:val="24"/>
          <w:szCs w:val="24"/>
          <w:shd w:val="clear" w:color="auto" w:fill="FFFFFF"/>
        </w:rPr>
        <w:t xml:space="preserve"> заасан</w:t>
      </w:r>
      <w:r>
        <w:rPr>
          <w:rFonts w:ascii="Arial" w:hAnsi="Arial" w:cs="Arial"/>
          <w:color w:val="333333"/>
          <w:sz w:val="24"/>
          <w:szCs w:val="24"/>
          <w:shd w:val="clear" w:color="auto" w:fill="FFFFFF"/>
        </w:rPr>
        <w:t xml:space="preserve"> үндэслэл,</w:t>
      </w:r>
      <w:r w:rsidRPr="00167823">
        <w:rPr>
          <w:rFonts w:ascii="Arial" w:hAnsi="Arial" w:cs="Arial"/>
          <w:color w:val="333333"/>
          <w:sz w:val="24"/>
          <w:szCs w:val="24"/>
          <w:shd w:val="clear" w:color="auto" w:fill="FFFFFF"/>
        </w:rPr>
        <w:t xml:space="preserve"> журмын дагуу хүлээн авах нь хууль бус үйлдэл, санхүүгийн гэмт хэргийн хохирогч болж хохирохоос урьдчилан сэргийлэх чухал алхам юм. </w:t>
      </w:r>
    </w:p>
    <w:p w:rsidR="004E0B6B" w:rsidRPr="00167823" w:rsidRDefault="004E0B6B" w:rsidP="004E0B6B">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4E0B6B" w:rsidRPr="00167823" w:rsidRDefault="004E0B6B" w:rsidP="004E0B6B">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4E0B6B" w:rsidRPr="00167823" w:rsidRDefault="004E0B6B" w:rsidP="004E0B6B">
      <w:pPr>
        <w:tabs>
          <w:tab w:val="left" w:pos="709"/>
          <w:tab w:val="center" w:pos="4680"/>
        </w:tabs>
        <w:spacing w:after="0" w:line="240" w:lineRule="auto"/>
        <w:contextualSpacing/>
        <w:jc w:val="both"/>
        <w:rPr>
          <w:rFonts w:ascii="Arial" w:hAnsi="Arial" w:cs="Arial"/>
          <w:color w:val="333333"/>
          <w:sz w:val="24"/>
          <w:szCs w:val="24"/>
        </w:rPr>
      </w:pPr>
    </w:p>
    <w:p w:rsidR="004E0B6B" w:rsidRPr="00167823" w:rsidRDefault="004E0B6B" w:rsidP="004E0B6B">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4E0B6B" w:rsidRPr="00167823" w:rsidRDefault="004E0B6B" w:rsidP="004E0B6B">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w:t>
      </w:r>
      <w:r>
        <w:rPr>
          <w:rFonts w:ascii="Arial" w:hAnsi="Arial" w:cs="Arial"/>
          <w:sz w:val="24"/>
          <w:szCs w:val="24"/>
          <w:lang w:val="mn-MN"/>
        </w:rPr>
        <w:t>хөндөгдөх зөрчигдөхөд хүрч байна</w:t>
      </w:r>
      <w:r w:rsidRPr="00167823">
        <w:rPr>
          <w:rFonts w:ascii="Arial" w:hAnsi="Arial" w:cs="Arial"/>
          <w:sz w:val="24"/>
          <w:szCs w:val="24"/>
          <w:lang w:val="mn-MN"/>
        </w:rPr>
        <w:t xml:space="preserve">. </w:t>
      </w:r>
    </w:p>
    <w:p w:rsidR="004E0B6B" w:rsidRPr="00167823" w:rsidRDefault="004E0B6B" w:rsidP="004E0B6B">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w:t>
      </w:r>
      <w:r>
        <w:rPr>
          <w:rFonts w:ascii="Arial" w:hAnsi="Arial" w:cs="Arial"/>
          <w:sz w:val="24"/>
          <w:szCs w:val="24"/>
          <w:lang w:val="mn-MN"/>
        </w:rPr>
        <w:t xml:space="preserve">тавьж </w:t>
      </w:r>
      <w:r w:rsidRPr="00167823">
        <w:rPr>
          <w:rFonts w:ascii="Arial" w:hAnsi="Arial" w:cs="Arial"/>
          <w:sz w:val="24"/>
          <w:szCs w:val="24"/>
          <w:lang w:val="mn-MN"/>
        </w:rPr>
        <w:t>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4E0B6B" w:rsidRPr="00167823" w:rsidRDefault="004E0B6B" w:rsidP="004E0B6B">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lastRenderedPageBreak/>
        <w:t xml:space="preserve">Иймд </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барьцаанд тавихыг хязгаарлах нь 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4E0B6B" w:rsidRPr="00167823" w:rsidRDefault="004E0B6B" w:rsidP="004E0B6B">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w:t>
      </w:r>
      <w:r>
        <w:rPr>
          <w:rFonts w:ascii="Arial" w:hAnsi="Arial" w:cs="Arial"/>
          <w:sz w:val="24"/>
          <w:szCs w:val="24"/>
          <w:lang w:val="mn-MN"/>
        </w:rPr>
        <w:t>бүх д</w:t>
      </w:r>
      <w:r w:rsidRPr="00167823">
        <w:rPr>
          <w:rFonts w:ascii="Arial" w:hAnsi="Arial" w:cs="Arial"/>
          <w:sz w:val="24"/>
          <w:szCs w:val="24"/>
          <w:lang w:val="mn-MN"/>
        </w:rPr>
        <w:t xml:space="preserve">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r>
        <w:rPr>
          <w:rFonts w:ascii="Arial" w:hAnsi="Arial" w:cs="Arial"/>
          <w:sz w:val="24"/>
          <w:szCs w:val="24"/>
          <w:lang w:val="mn-MN"/>
        </w:rPr>
        <w:t xml:space="preserve">Тухайлбал, Орон сууц захиалгын гэрээгээр халхавчлан хийгдэж буй залилах гэмт хэргийн хохирогчдын тоо олон хүнийг хамарсан байх нь түгээмэл бөгөөд нэг хүний үйлдсэн залилах гэмт хэргийн хохирогчдын тоо 260 хүн бөгөөд хохирлын дүн олон арван тэрбум төгрөг болж байна. орон сууц захиалгын гэрээтэй холбоотой залилах гэмт хэргийн улмаас шүүхийн шийдвэр гүйцэтгэх ажиллагаанд 300 гаруй хохирогчийн </w:t>
      </w:r>
      <w:r w:rsidRPr="00167823">
        <w:rPr>
          <w:rFonts w:ascii="Arial" w:hAnsi="Arial" w:cs="Arial"/>
          <w:sz w:val="24"/>
          <w:szCs w:val="24"/>
          <w:lang w:val="mn-MN"/>
        </w:rPr>
        <w:t xml:space="preserve"> </w:t>
      </w:r>
      <w:r>
        <w:rPr>
          <w:rFonts w:ascii="Arial" w:hAnsi="Arial" w:cs="Arial"/>
          <w:sz w:val="24"/>
          <w:szCs w:val="24"/>
          <w:lang w:val="mn-MN"/>
        </w:rPr>
        <w:t>15 орчим тэрбум төгрөгийн хохирол барагдуулах ажиллагаа явагдаж байна.</w:t>
      </w:r>
    </w:p>
    <w:p w:rsidR="004E0B6B" w:rsidRPr="00167823" w:rsidRDefault="004E0B6B" w:rsidP="004E0B6B">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4E0B6B" w:rsidRPr="00167823" w:rsidRDefault="004E0B6B" w:rsidP="004E0B6B">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xml:space="preserve">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w:t>
      </w:r>
      <w:r w:rsidRPr="00167823">
        <w:rPr>
          <w:rFonts w:ascii="Arial" w:hAnsi="Arial" w:cs="Arial"/>
          <w:sz w:val="24"/>
          <w:szCs w:val="24"/>
          <w:shd w:val="clear" w:color="auto" w:fill="FFFFFF"/>
        </w:rPr>
        <w:lastRenderedPageBreak/>
        <w:t>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tbl>
      <w:tblPr>
        <w:tblW w:w="9540" w:type="dxa"/>
        <w:tblLayout w:type="fixed"/>
        <w:tblLook w:val="04A0" w:firstRow="1" w:lastRow="0" w:firstColumn="1" w:lastColumn="0" w:noHBand="0" w:noVBand="1"/>
      </w:tblPr>
      <w:tblGrid>
        <w:gridCol w:w="2700"/>
        <w:gridCol w:w="1260"/>
        <w:gridCol w:w="1260"/>
        <w:gridCol w:w="1170"/>
        <w:gridCol w:w="1260"/>
        <w:gridCol w:w="990"/>
        <w:gridCol w:w="900"/>
      </w:tblGrid>
      <w:tr w:rsidR="004E0B6B" w:rsidRPr="00167823" w:rsidTr="00B35A02">
        <w:trPr>
          <w:trHeight w:val="300"/>
        </w:trPr>
        <w:tc>
          <w:tcPr>
            <w:tcW w:w="9540" w:type="dxa"/>
            <w:gridSpan w:val="7"/>
            <w:tcBorders>
              <w:top w:val="nil"/>
              <w:left w:val="nil"/>
              <w:bottom w:val="nil"/>
              <w:right w:val="nil"/>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b/>
                <w:bCs/>
                <w:color w:val="000000" w:themeColor="text1"/>
                <w:sz w:val="24"/>
                <w:szCs w:val="24"/>
                <w:lang w:eastAsia="en-US"/>
              </w:rPr>
            </w:pPr>
            <w:r w:rsidRPr="00167823">
              <w:rPr>
                <w:rFonts w:ascii="Arial" w:eastAsia="Times New Roman" w:hAnsi="Arial" w:cs="Arial"/>
                <w:b/>
                <w:bCs/>
                <w:color w:val="000000" w:themeColor="text1"/>
                <w:sz w:val="24"/>
                <w:szCs w:val="24"/>
                <w:lang w:eastAsia="en-US"/>
              </w:rPr>
              <w:t>Барьж дуусаагүй барилгыг эрхийн улсын бүртгэл. 2025.12.11 -ний  байдлаар</w:t>
            </w:r>
          </w:p>
          <w:p w:rsidR="004E0B6B" w:rsidRPr="00167823" w:rsidRDefault="004E0B6B" w:rsidP="00B35A02">
            <w:pPr>
              <w:spacing w:after="0" w:line="240" w:lineRule="auto"/>
              <w:jc w:val="center"/>
              <w:rPr>
                <w:rFonts w:ascii="Arial" w:eastAsia="Times New Roman" w:hAnsi="Arial" w:cs="Arial"/>
                <w:b/>
                <w:bCs/>
                <w:color w:val="000000" w:themeColor="text1"/>
                <w:sz w:val="24"/>
                <w:szCs w:val="24"/>
                <w:lang w:eastAsia="en-US"/>
              </w:rPr>
            </w:pPr>
          </w:p>
          <w:p w:rsidR="004E0B6B" w:rsidRPr="00167823" w:rsidRDefault="004E0B6B" w:rsidP="00B35A02">
            <w:pPr>
              <w:spacing w:after="0" w:line="240" w:lineRule="auto"/>
              <w:jc w:val="center"/>
              <w:rPr>
                <w:rFonts w:ascii="Arial" w:eastAsia="Times New Roman" w:hAnsi="Arial" w:cs="Arial"/>
                <w:b/>
                <w:bCs/>
                <w:color w:val="000000" w:themeColor="text1"/>
                <w:sz w:val="24"/>
                <w:szCs w:val="24"/>
                <w:lang w:eastAsia="en-US"/>
              </w:rPr>
            </w:pPr>
          </w:p>
        </w:tc>
      </w:tr>
      <w:tr w:rsidR="004E0B6B" w:rsidRPr="00167823" w:rsidTr="00B35A02">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Бүртгэлийн тоо</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2020</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2021</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2023</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hideMark/>
          </w:tcPr>
          <w:p w:rsidR="004E0B6B" w:rsidRPr="00167823" w:rsidRDefault="004E0B6B"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2025</w:t>
            </w:r>
          </w:p>
        </w:tc>
      </w:tr>
      <w:tr w:rsidR="004E0B6B"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Тухайн онд шинээр бүртгэгдсэн нийт дуусаагүй барилгын тоо</w:t>
            </w:r>
          </w:p>
        </w:tc>
        <w:tc>
          <w:tcPr>
            <w:tcW w:w="126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796</w:t>
            </w:r>
          </w:p>
        </w:tc>
        <w:tc>
          <w:tcPr>
            <w:tcW w:w="126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823</w:t>
            </w:r>
          </w:p>
        </w:tc>
        <w:tc>
          <w:tcPr>
            <w:tcW w:w="117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757</w:t>
            </w:r>
          </w:p>
        </w:tc>
        <w:tc>
          <w:tcPr>
            <w:tcW w:w="126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611</w:t>
            </w:r>
          </w:p>
        </w:tc>
        <w:tc>
          <w:tcPr>
            <w:tcW w:w="99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916</w:t>
            </w:r>
          </w:p>
        </w:tc>
        <w:tc>
          <w:tcPr>
            <w:tcW w:w="90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732</w:t>
            </w:r>
          </w:p>
        </w:tc>
      </w:tr>
      <w:tr w:rsidR="004E0B6B"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98</w:t>
            </w:r>
          </w:p>
        </w:tc>
        <w:tc>
          <w:tcPr>
            <w:tcW w:w="126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155</w:t>
            </w:r>
          </w:p>
        </w:tc>
        <w:tc>
          <w:tcPr>
            <w:tcW w:w="117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81</w:t>
            </w:r>
          </w:p>
        </w:tc>
        <w:tc>
          <w:tcPr>
            <w:tcW w:w="126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96</w:t>
            </w:r>
          </w:p>
        </w:tc>
        <w:tc>
          <w:tcPr>
            <w:tcW w:w="99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295</w:t>
            </w:r>
          </w:p>
        </w:tc>
        <w:tc>
          <w:tcPr>
            <w:tcW w:w="900" w:type="dxa"/>
            <w:tcBorders>
              <w:top w:val="nil"/>
              <w:left w:val="nil"/>
              <w:bottom w:val="single" w:sz="4" w:space="0" w:color="000000"/>
              <w:right w:val="single" w:sz="4" w:space="0" w:color="000000"/>
            </w:tcBorders>
            <w:shd w:val="clear" w:color="E5E5E5"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143</w:t>
            </w:r>
          </w:p>
        </w:tc>
      </w:tr>
      <w:tr w:rsidR="004E0B6B" w:rsidRPr="00167823" w:rsidTr="00B35A02">
        <w:trPr>
          <w:trHeight w:val="510"/>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дуусаагүй барилгаар бүртгүүлсэн тоо </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8485</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9308</w:t>
            </w:r>
          </w:p>
        </w:tc>
        <w:tc>
          <w:tcPr>
            <w:tcW w:w="117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10065</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10676</w:t>
            </w:r>
          </w:p>
        </w:tc>
        <w:tc>
          <w:tcPr>
            <w:tcW w:w="99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11592</w:t>
            </w:r>
          </w:p>
        </w:tc>
        <w:tc>
          <w:tcPr>
            <w:tcW w:w="90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12324</w:t>
            </w:r>
          </w:p>
        </w:tc>
      </w:tr>
      <w:tr w:rsidR="004E0B6B"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1570</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1725</w:t>
            </w:r>
          </w:p>
        </w:tc>
        <w:tc>
          <w:tcPr>
            <w:tcW w:w="117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1806</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1902</w:t>
            </w:r>
          </w:p>
        </w:tc>
        <w:tc>
          <w:tcPr>
            <w:tcW w:w="99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2197</w:t>
            </w:r>
          </w:p>
        </w:tc>
        <w:tc>
          <w:tcPr>
            <w:tcW w:w="90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2340</w:t>
            </w:r>
          </w:p>
        </w:tc>
      </w:tr>
      <w:tr w:rsidR="004E0B6B" w:rsidRPr="00167823" w:rsidTr="00B35A02">
        <w:trPr>
          <w:trHeight w:val="510"/>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барилгын барьцааны гэрээ /орон сууц/</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864</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1719</w:t>
            </w:r>
          </w:p>
        </w:tc>
        <w:tc>
          <w:tcPr>
            <w:tcW w:w="117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1680</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2305</w:t>
            </w:r>
          </w:p>
        </w:tc>
        <w:tc>
          <w:tcPr>
            <w:tcW w:w="99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2785</w:t>
            </w:r>
          </w:p>
        </w:tc>
        <w:tc>
          <w:tcPr>
            <w:tcW w:w="90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3179</w:t>
            </w:r>
          </w:p>
        </w:tc>
      </w:tr>
      <w:tr w:rsidR="004E0B6B" w:rsidRPr="00167823" w:rsidTr="00B35A02">
        <w:trPr>
          <w:trHeight w:val="300"/>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val="mn-MN" w:eastAsia="en-US"/>
              </w:rPr>
            </w:pPr>
            <w:r w:rsidRPr="00167823">
              <w:rPr>
                <w:rFonts w:ascii="Arial" w:eastAsia="Times New Roman" w:hAnsi="Arial" w:cs="Arial"/>
                <w:color w:val="000000"/>
                <w:sz w:val="24"/>
                <w:szCs w:val="24"/>
                <w:lang w:eastAsia="en-US"/>
              </w:rPr>
              <w:t>Барьцааны гэрээний дүн</w:t>
            </w:r>
            <w:r w:rsidRPr="00167823">
              <w:rPr>
                <w:rFonts w:ascii="Arial" w:eastAsia="Times New Roman" w:hAnsi="Arial" w:cs="Arial"/>
                <w:color w:val="000000"/>
                <w:sz w:val="24"/>
                <w:szCs w:val="24"/>
                <w:lang w:val="mn-MN" w:eastAsia="en-US"/>
              </w:rPr>
              <w:t xml:space="preserve"> /Банк, зээл олгодог газруудаас авч тулгах нь зүйтэй/</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567,283,901,346</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1,392,219,700,453</w:t>
            </w:r>
          </w:p>
        </w:tc>
        <w:tc>
          <w:tcPr>
            <w:tcW w:w="117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2,134,301,467,343</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3,412,450,457,779</w:t>
            </w:r>
          </w:p>
        </w:tc>
        <w:tc>
          <w:tcPr>
            <w:tcW w:w="99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5,093,467,359,664</w:t>
            </w:r>
          </w:p>
        </w:tc>
        <w:tc>
          <w:tcPr>
            <w:tcW w:w="90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5,018,767,739,047</w:t>
            </w:r>
          </w:p>
        </w:tc>
      </w:tr>
      <w:tr w:rsidR="004E0B6B"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барилгад бүртгэгдсэн урьдчилсан тэмдэглэл</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w:t>
            </w:r>
          </w:p>
        </w:tc>
        <w:tc>
          <w:tcPr>
            <w:tcW w:w="117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254</w:t>
            </w:r>
          </w:p>
        </w:tc>
        <w:tc>
          <w:tcPr>
            <w:tcW w:w="99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545</w:t>
            </w:r>
          </w:p>
        </w:tc>
        <w:tc>
          <w:tcPr>
            <w:tcW w:w="900" w:type="dxa"/>
            <w:tcBorders>
              <w:top w:val="nil"/>
              <w:left w:val="nil"/>
              <w:bottom w:val="single" w:sz="4" w:space="0" w:color="auto"/>
              <w:right w:val="single" w:sz="4" w:space="0" w:color="auto"/>
            </w:tcBorders>
            <w:shd w:val="clear" w:color="000000" w:fill="FFFFFF"/>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995</w:t>
            </w:r>
          </w:p>
        </w:tc>
      </w:tr>
      <w:tr w:rsidR="004E0B6B" w:rsidRPr="00167823" w:rsidTr="00B35A02">
        <w:trPr>
          <w:trHeight w:val="1275"/>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12277 дуусаагүй барилгын бүртгэлээсбүрэн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428</w:t>
            </w:r>
          </w:p>
        </w:tc>
      </w:tr>
      <w:tr w:rsidR="004E0B6B" w:rsidRPr="00167823" w:rsidTr="00B35A02">
        <w:trPr>
          <w:trHeight w:val="1530"/>
        </w:trPr>
        <w:tc>
          <w:tcPr>
            <w:tcW w:w="2700" w:type="dxa"/>
            <w:tcBorders>
              <w:top w:val="nil"/>
              <w:left w:val="single" w:sz="4" w:space="0" w:color="auto"/>
              <w:bottom w:val="single" w:sz="4" w:space="0" w:color="auto"/>
              <w:right w:val="single" w:sz="4" w:space="0" w:color="auto"/>
            </w:tcBorders>
            <w:vAlign w:val="center"/>
            <w:hideMark/>
          </w:tcPr>
          <w:p w:rsidR="004E0B6B" w:rsidRPr="00167823" w:rsidRDefault="004E0B6B"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2330 орон сууцны зориулалттай дуусаагүй барилгын бүртгэлээс бүрэн ашиглалтанд орж хувийн хэрэг нь </w:t>
            </w:r>
            <w:r w:rsidRPr="00167823">
              <w:rPr>
                <w:rFonts w:ascii="Arial" w:eastAsia="Times New Roman" w:hAnsi="Arial" w:cs="Arial"/>
                <w:color w:val="000000"/>
                <w:sz w:val="24"/>
                <w:szCs w:val="24"/>
                <w:lang w:eastAsia="en-US"/>
              </w:rPr>
              <w:lastRenderedPageBreak/>
              <w:t>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4E0B6B" w:rsidRPr="00167823" w:rsidRDefault="004E0B6B"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lastRenderedPageBreak/>
              <w:t>274</w:t>
            </w:r>
          </w:p>
        </w:tc>
      </w:tr>
    </w:tbl>
    <w:p w:rsidR="004E0B6B" w:rsidRPr="00167823" w:rsidRDefault="004E0B6B" w:rsidP="004E0B6B">
      <w:pPr>
        <w:spacing w:before="240" w:after="240" w:line="240" w:lineRule="auto"/>
        <w:ind w:right="5"/>
        <w:contextualSpacing/>
        <w:jc w:val="both"/>
        <w:rPr>
          <w:rFonts w:ascii="Arial" w:hAnsi="Arial" w:cs="Arial"/>
          <w:sz w:val="24"/>
          <w:szCs w:val="24"/>
          <w:lang w:val="mn-MN"/>
        </w:rPr>
      </w:pPr>
    </w:p>
    <w:p w:rsidR="004E0B6B" w:rsidRPr="00167823" w:rsidRDefault="004E0B6B" w:rsidP="004E0B6B">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З</w:t>
      </w:r>
      <w:r w:rsidRPr="00167823">
        <w:rPr>
          <w:rFonts w:ascii="Arial" w:hAnsi="Arial" w:cs="Arial"/>
          <w:sz w:val="24"/>
          <w:szCs w:val="24"/>
          <w:lang w:val="mn-MN" w:eastAsia="en-US"/>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4E0B6B" w:rsidRPr="00167823" w:rsidRDefault="004E0B6B" w:rsidP="004E0B6B">
      <w:pPr>
        <w:spacing w:before="240" w:after="240" w:line="240" w:lineRule="auto"/>
        <w:ind w:right="5" w:firstLine="720"/>
        <w:contextualSpacing/>
        <w:jc w:val="both"/>
        <w:rPr>
          <w:rFonts w:ascii="Arial" w:hAnsi="Arial" w:cs="Arial"/>
          <w:sz w:val="24"/>
          <w:szCs w:val="24"/>
          <w:lang w:val="mn-MN" w:eastAsia="en-US"/>
        </w:rPr>
      </w:pPr>
    </w:p>
    <w:p w:rsidR="004E0B6B" w:rsidRPr="00167823" w:rsidRDefault="004E0B6B" w:rsidP="004E0B6B">
      <w:pPr>
        <w:spacing w:before="240" w:after="240" w:line="240" w:lineRule="auto"/>
        <w:ind w:right="5" w:firstLine="720"/>
        <w:contextualSpacing/>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4E0B6B" w:rsidRPr="00167823" w:rsidRDefault="004E0B6B" w:rsidP="004E0B6B">
      <w:pPr>
        <w:spacing w:before="240" w:after="240" w:line="240" w:lineRule="auto"/>
        <w:ind w:right="5" w:firstLine="720"/>
        <w:contextualSpacing/>
        <w:jc w:val="both"/>
        <w:rPr>
          <w:rFonts w:ascii="Arial" w:hAnsi="Arial" w:cs="Arial"/>
          <w:sz w:val="24"/>
          <w:szCs w:val="24"/>
          <w:shd w:val="clear" w:color="auto" w:fill="FFFFFF"/>
          <w:lang w:val="mn-MN"/>
        </w:rPr>
      </w:pPr>
    </w:p>
    <w:p w:rsidR="004E0B6B" w:rsidRPr="00167823" w:rsidRDefault="004E0B6B" w:rsidP="004E0B6B">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4E0B6B" w:rsidRPr="00167823" w:rsidRDefault="004E0B6B" w:rsidP="004E0B6B">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4E0B6B" w:rsidRPr="00167823" w:rsidRDefault="004E0B6B" w:rsidP="004E0B6B">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w:t>
      </w:r>
      <w:r>
        <w:rPr>
          <w:rFonts w:ascii="Arial" w:hAnsi="Arial" w:cs="Arial"/>
          <w:sz w:val="24"/>
          <w:szCs w:val="24"/>
          <w:shd w:val="clear" w:color="auto" w:fill="FFFFFF"/>
          <w:lang w:val="mn-MN"/>
        </w:rPr>
        <w:t>,</w:t>
      </w:r>
      <w:r w:rsidRPr="00167823">
        <w:rPr>
          <w:rFonts w:ascii="Arial" w:hAnsi="Arial" w:cs="Arial"/>
          <w:sz w:val="24"/>
          <w:szCs w:val="24"/>
          <w:shd w:val="clear" w:color="auto" w:fill="FFFFFF"/>
          <w:lang w:val="mn-MN"/>
        </w:rPr>
        <w:t xml:space="preserve"> эрх зүйн орчин, мэдээллийн сан үүсгэх шаардлагатай байна.</w:t>
      </w:r>
    </w:p>
    <w:p w:rsidR="004E0B6B" w:rsidRPr="00167823" w:rsidRDefault="004E0B6B" w:rsidP="004E0B6B">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sz w:val="24"/>
          <w:szCs w:val="24"/>
          <w:lang w:val="mn-MN" w:eastAsia="en-US"/>
        </w:rPr>
        <w:t xml:space="preserve">Өөрөөр хэлбэл, </w:t>
      </w:r>
      <w:r w:rsidRPr="00167823">
        <w:rPr>
          <w:rFonts w:ascii="Arial" w:hAnsi="Arial" w:cs="Arial"/>
          <w:color w:val="333333"/>
          <w:sz w:val="24"/>
          <w:szCs w:val="24"/>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w:t>
      </w:r>
      <w:r w:rsidRPr="00167823">
        <w:rPr>
          <w:rFonts w:ascii="Arial" w:hAnsi="Arial" w:cs="Arial"/>
          <w:color w:val="333333"/>
          <w:sz w:val="24"/>
          <w:szCs w:val="24"/>
          <w:shd w:val="clear" w:color="auto" w:fill="FFFFFF"/>
        </w:rPr>
        <w:lastRenderedPageBreak/>
        <w:t>бүртгүүлсэн эсэх талаарх мэдээллийг нээлттэй мэдээлэл байхаар хуулийн төсөлд тусгалаа.</w:t>
      </w:r>
    </w:p>
    <w:p w:rsidR="004E0B6B" w:rsidRPr="00167823" w:rsidRDefault="004E0B6B" w:rsidP="004E0B6B">
      <w:pPr>
        <w:spacing w:after="0" w:line="240" w:lineRule="auto"/>
        <w:contextualSpacing/>
        <w:jc w:val="both"/>
        <w:rPr>
          <w:rFonts w:ascii="Arial" w:hAnsi="Arial" w:cs="Arial"/>
          <w:noProof/>
          <w:sz w:val="24"/>
          <w:szCs w:val="24"/>
          <w:shd w:val="clear" w:color="auto" w:fill="FFFFFF"/>
          <w:lang w:val="mn-MN"/>
        </w:rPr>
      </w:pPr>
    </w:p>
    <w:p w:rsidR="004E0B6B" w:rsidRPr="00167823" w:rsidRDefault="004E0B6B" w:rsidP="004E0B6B">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4E0B6B" w:rsidRPr="00167823" w:rsidTr="00B35A02">
        <w:tc>
          <w:tcPr>
            <w:tcW w:w="9627" w:type="dxa"/>
          </w:tcPr>
          <w:p w:rsidR="004E0B6B" w:rsidRPr="00167823" w:rsidRDefault="004E0B6B" w:rsidP="00B35A02">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rsidR="004E0B6B" w:rsidRPr="00167823" w:rsidRDefault="004E0B6B" w:rsidP="00B35A02">
            <w:pPr>
              <w:contextualSpacing/>
              <w:jc w:val="both"/>
              <w:rPr>
                <w:rFonts w:ascii="Arial" w:hAnsi="Arial" w:cs="Arial"/>
                <w:b/>
                <w:bCs/>
                <w:noProof/>
                <w:sz w:val="24"/>
                <w:szCs w:val="24"/>
                <w:shd w:val="clear" w:color="auto" w:fill="FFFFFF"/>
                <w:lang w:val="mn-MN"/>
              </w:rPr>
            </w:pPr>
          </w:p>
          <w:p w:rsidR="004E0B6B" w:rsidRPr="00167823" w:rsidRDefault="004E0B6B" w:rsidP="00B35A02">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Улсын бүртгэлийн ерөнхий хуулийн 12 дугаар зүйлийн 12.2.5 дахь заалтыг нэмэх</w:t>
            </w:r>
          </w:p>
          <w:p w:rsidR="004E0B6B" w:rsidRPr="00167823" w:rsidRDefault="004E0B6B" w:rsidP="00B35A02">
            <w:pPr>
              <w:contextualSpacing/>
              <w:jc w:val="both"/>
              <w:rPr>
                <w:rFonts w:ascii="Arial" w:hAnsi="Arial" w:cs="Arial"/>
                <w:b/>
                <w:bCs/>
                <w:noProof/>
                <w:sz w:val="24"/>
                <w:szCs w:val="24"/>
                <w:shd w:val="clear" w:color="auto" w:fill="FFFFFF"/>
                <w:lang w:val="mn-MN"/>
              </w:rPr>
            </w:pPr>
          </w:p>
          <w:p w:rsidR="004E0B6B" w:rsidRPr="00167823" w:rsidRDefault="004E0B6B" w:rsidP="00B35A02">
            <w:pPr>
              <w:pStyle w:val="NormalWeb"/>
              <w:shd w:val="clear" w:color="auto" w:fill="FFFFFF"/>
              <w:spacing w:before="0" w:beforeAutospacing="0" w:after="0" w:afterAutospacing="0" w:line="300" w:lineRule="atLeast"/>
              <w:jc w:val="both"/>
              <w:rPr>
                <w:rFonts w:ascii="Arial" w:hAnsi="Arial" w:cs="Arial"/>
                <w:color w:val="333333"/>
                <w:lang w:eastAsia="en-US"/>
              </w:rPr>
            </w:pPr>
            <w:r w:rsidRPr="00167823">
              <w:rPr>
                <w:rFonts w:ascii="Arial" w:hAnsi="Arial" w:cs="Arial"/>
                <w:color w:val="333333"/>
              </w:rPr>
              <w:t>12.2.Улсын бүртгэлийн мэдээллийн нэгдсэн сангийн дараах мэдээлэл нээлттэй байна:</w:t>
            </w:r>
          </w:p>
          <w:p w:rsidR="004E0B6B" w:rsidRPr="00167823" w:rsidRDefault="004E0B6B" w:rsidP="00B35A02">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12.2.1.нэрийн сан;</w:t>
            </w:r>
          </w:p>
          <w:p w:rsidR="004E0B6B" w:rsidRPr="00167823" w:rsidRDefault="004E0B6B" w:rsidP="00B35A02">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12.2.2.хаягийн сан;</w:t>
            </w:r>
          </w:p>
          <w:p w:rsidR="004E0B6B" w:rsidRPr="00167823" w:rsidRDefault="004E0B6B" w:rsidP="00B35A02">
            <w:pPr>
              <w:pStyle w:val="NormalWeb"/>
              <w:shd w:val="clear" w:color="auto" w:fill="FFFFFF"/>
              <w:spacing w:before="300" w:beforeAutospacing="0" w:after="300" w:afterAutospacing="0" w:line="300" w:lineRule="atLeast"/>
              <w:jc w:val="both"/>
              <w:rPr>
                <w:rFonts w:ascii="Arial" w:hAnsi="Arial" w:cs="Arial"/>
                <w:color w:val="333333"/>
              </w:rPr>
            </w:pPr>
            <w:r w:rsidRPr="00167823">
              <w:rPr>
                <w:rFonts w:ascii="Arial" w:hAnsi="Arial" w:cs="Arial"/>
                <w:color w:val="333333"/>
              </w:rPr>
              <w:t>12.2.3.хуулийн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rPr>
              <w:t> </w:t>
            </w:r>
            <w:r w:rsidRPr="00167823">
              <w:rPr>
                <w:rFonts w:ascii="Arial" w:hAnsi="Arial" w:cs="Arial"/>
                <w:color w:val="333333"/>
              </w:rPr>
              <w:t>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w:t>
            </w:r>
          </w:p>
          <w:p w:rsidR="004E0B6B" w:rsidRPr="00167823" w:rsidRDefault="004E0B6B" w:rsidP="00B35A02">
            <w:pPr>
              <w:pStyle w:val="NormalWeb"/>
              <w:shd w:val="clear" w:color="auto" w:fill="FFFFFF"/>
              <w:spacing w:before="300" w:beforeAutospacing="0" w:after="150" w:afterAutospacing="0" w:line="300" w:lineRule="atLeast"/>
              <w:jc w:val="both"/>
              <w:rPr>
                <w:rFonts w:ascii="Arial" w:hAnsi="Arial" w:cs="Arial"/>
                <w:i/>
                <w:iCs/>
                <w:color w:val="275DFF"/>
                <w:u w:val="single"/>
              </w:rPr>
            </w:pPr>
            <w:r w:rsidRPr="00167823">
              <w:rPr>
                <w:rFonts w:ascii="Arial" w:hAnsi="Arial" w:cs="Arial"/>
                <w:i/>
                <w:iCs/>
                <w:color w:val="275DFF"/>
                <w:u w:val="single"/>
              </w:rPr>
              <w:t>/Энэ заалтад 2021 оны 12 дугаар сарын 17-ны өдрийн хуулиар нэмэлт оруулсан./</w:t>
            </w:r>
          </w:p>
          <w:p w:rsidR="004E0B6B" w:rsidRPr="00167823" w:rsidRDefault="004E0B6B" w:rsidP="00B35A02">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12.2.4.төрийн болон албаны нууцад хамааруулснаас бусад үл хөдлөх эд хөрөнгө, газрын байршил, хил зааг, талбай, эзлэхүүн, тоо хэмжээ, зориулалт, төлөв байдал, эргэлтийн цэг, эд хөрөнгийн эрхийн улсын бүртгэлийн төрөл, тусгай тэмдэглэл.</w:t>
            </w:r>
          </w:p>
          <w:p w:rsidR="004E0B6B" w:rsidRPr="00167823" w:rsidRDefault="004E0B6B" w:rsidP="00B35A02">
            <w:pPr>
              <w:contextualSpacing/>
              <w:jc w:val="both"/>
              <w:rPr>
                <w:rFonts w:ascii="Arial" w:hAnsi="Arial" w:cs="Arial"/>
                <w:b/>
                <w:bCs/>
                <w:noProof/>
                <w:sz w:val="24"/>
                <w:szCs w:val="24"/>
                <w:shd w:val="clear" w:color="auto" w:fill="FFFFFF"/>
                <w:lang w:val="mn-MN"/>
              </w:rPr>
            </w:pPr>
          </w:p>
          <w:p w:rsidR="004E0B6B" w:rsidRPr="00167823" w:rsidRDefault="004E0B6B" w:rsidP="00B35A02">
            <w:pPr>
              <w:spacing w:after="100" w:afterAutospacing="1"/>
              <w:contextualSpacing/>
              <w:jc w:val="both"/>
              <w:rPr>
                <w:rFonts w:ascii="Arial" w:hAnsi="Arial" w:cs="Arial"/>
                <w:b/>
                <w:bCs/>
                <w:sz w:val="24"/>
                <w:szCs w:val="24"/>
                <w:lang w:val="mn-MN"/>
              </w:rPr>
            </w:pPr>
            <w:r w:rsidRPr="00167823">
              <w:rPr>
                <w:rFonts w:ascii="Arial" w:hAnsi="Arial" w:cs="Arial"/>
                <w:b/>
                <w:bCs/>
                <w:sz w:val="24"/>
                <w:szCs w:val="24"/>
                <w:lang w:val="mn-MN"/>
              </w:rPr>
              <w:t>12.2.5.</w:t>
            </w:r>
            <w:r w:rsidRPr="00167823">
              <w:rPr>
                <w:rFonts w:ascii="Arial" w:hAnsi="Arial" w:cs="Arial"/>
                <w:b/>
                <w:bCs/>
                <w:sz w:val="24"/>
                <w:szCs w:val="24"/>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b/>
                <w:bCs/>
                <w:sz w:val="24"/>
                <w:szCs w:val="24"/>
                <w:lang w:val="mn-MN"/>
              </w:rPr>
              <w:t xml:space="preserve"> ү</w:t>
            </w:r>
            <w:r w:rsidRPr="00167823">
              <w:rPr>
                <w:rFonts w:ascii="Arial" w:hAnsi="Arial" w:cs="Arial"/>
                <w:b/>
                <w:bCs/>
                <w:sz w:val="24"/>
                <w:szCs w:val="24"/>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p>
          <w:p w:rsidR="004E0B6B" w:rsidRPr="00167823" w:rsidRDefault="004E0B6B" w:rsidP="00B35A02">
            <w:pPr>
              <w:contextualSpacing/>
              <w:jc w:val="both"/>
              <w:rPr>
                <w:rFonts w:ascii="Arial" w:hAnsi="Arial" w:cs="Arial"/>
                <w:noProof/>
                <w:sz w:val="24"/>
                <w:szCs w:val="24"/>
                <w:shd w:val="clear" w:color="auto" w:fill="FFFFFF"/>
                <w:lang w:val="mn-MN"/>
              </w:rPr>
            </w:pPr>
          </w:p>
        </w:tc>
      </w:tr>
    </w:tbl>
    <w:p w:rsidR="004E0B6B" w:rsidRPr="00167823" w:rsidRDefault="004E0B6B" w:rsidP="004E0B6B">
      <w:pPr>
        <w:spacing w:after="0" w:line="240" w:lineRule="auto"/>
        <w:ind w:firstLine="720"/>
        <w:contextualSpacing/>
        <w:jc w:val="both"/>
        <w:rPr>
          <w:rFonts w:ascii="Arial" w:hAnsi="Arial" w:cs="Arial"/>
          <w:noProof/>
          <w:sz w:val="24"/>
          <w:szCs w:val="24"/>
          <w:shd w:val="clear" w:color="auto" w:fill="FFFFFF"/>
          <w:lang w:val="mn-MN"/>
        </w:rPr>
      </w:pPr>
    </w:p>
    <w:bookmarkEnd w:id="0"/>
    <w:p w:rsidR="004E0B6B" w:rsidRPr="00167823" w:rsidRDefault="004E0B6B" w:rsidP="004E0B6B">
      <w:pPr>
        <w:spacing w:after="0" w:line="240" w:lineRule="auto"/>
        <w:ind w:firstLine="720"/>
        <w:contextualSpacing/>
        <w:jc w:val="both"/>
        <w:rPr>
          <w:rFonts w:ascii="Arial" w:hAnsi="Arial" w:cs="Arial"/>
          <w:noProof/>
          <w:sz w:val="24"/>
          <w:szCs w:val="24"/>
          <w:shd w:val="clear" w:color="auto" w:fill="FFFFFF"/>
          <w:lang w:val="mn-MN"/>
        </w:rPr>
      </w:pPr>
    </w:p>
    <w:p w:rsidR="004E0B6B" w:rsidRPr="00167823" w:rsidRDefault="004E0B6B" w:rsidP="004E0B6B">
      <w:pPr>
        <w:spacing w:after="0" w:line="240" w:lineRule="auto"/>
        <w:ind w:firstLine="720"/>
        <w:contextualSpacing/>
        <w:jc w:val="both"/>
        <w:rPr>
          <w:rFonts w:ascii="Arial" w:hAnsi="Arial" w:cs="Arial"/>
          <w:noProof/>
          <w:sz w:val="24"/>
          <w:szCs w:val="24"/>
          <w:shd w:val="clear" w:color="auto" w:fill="FFFFFF"/>
          <w:lang w:val="mn-MN"/>
        </w:rPr>
      </w:pPr>
    </w:p>
    <w:p w:rsidR="004E0B6B" w:rsidRDefault="004E0B6B" w:rsidP="004E0B6B">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Pr>
          <w:rFonts w:ascii="Arial" w:hAnsi="Arial" w:cs="Arial"/>
          <w:noProof/>
          <w:sz w:val="24"/>
          <w:szCs w:val="24"/>
          <w:shd w:val="clear" w:color="auto" w:fill="FFFFFF"/>
          <w:lang w:val="mn-MN"/>
        </w:rPr>
        <w:t>—</w:t>
      </w:r>
    </w:p>
    <w:p w:rsidR="004E0B6B" w:rsidRPr="00167823" w:rsidRDefault="004E0B6B" w:rsidP="004E0B6B">
      <w:pPr>
        <w:spacing w:after="0" w:line="240" w:lineRule="auto"/>
        <w:ind w:firstLine="720"/>
        <w:contextualSpacing/>
        <w:jc w:val="center"/>
        <w:rPr>
          <w:rFonts w:ascii="Arial" w:hAnsi="Arial" w:cs="Arial"/>
          <w:noProof/>
          <w:sz w:val="24"/>
          <w:szCs w:val="24"/>
          <w:shd w:val="clear" w:color="auto" w:fill="FFFFFF"/>
          <w:lang w:val="mn-MN"/>
        </w:rPr>
      </w:pPr>
    </w:p>
    <w:p w:rsidR="004E0B6B" w:rsidRPr="00167823" w:rsidRDefault="004E0B6B" w:rsidP="004E0B6B">
      <w:pPr>
        <w:spacing w:after="100" w:afterAutospacing="1"/>
        <w:contextualSpacing/>
        <w:jc w:val="center"/>
        <w:rPr>
          <w:rFonts w:ascii="Arial" w:hAnsi="Arial" w:cs="Arial"/>
          <w:b/>
          <w:bCs/>
          <w:color w:val="000000" w:themeColor="text1"/>
          <w:sz w:val="24"/>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6B"/>
    <w:rsid w:val="003E6615"/>
    <w:rsid w:val="004E0B6B"/>
    <w:rsid w:val="004F6A04"/>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942145F-78A3-A343-B99D-068A4D74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6B"/>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B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4E0B6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2026-03-16T02:22:00Z</dcterms:created>
  <dcterms:modified xsi:type="dcterms:W3CDTF">2026-03-16T02:23:00Z</dcterms:modified>
</cp:coreProperties>
</file>