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AFDA5" w14:textId="77777777" w:rsidR="009D613D" w:rsidRPr="00CF31A4" w:rsidRDefault="009D613D" w:rsidP="009D613D">
      <w:pPr>
        <w:ind w:right="-34"/>
        <w:jc w:val="center"/>
        <w:rPr>
          <w:rFonts w:ascii="Arial" w:hAnsi="Arial" w:cs="Arial"/>
          <w:b/>
          <w:bCs/>
          <w:noProof/>
          <w:lang w:val="en-US"/>
        </w:rPr>
      </w:pPr>
      <w:r w:rsidRPr="00CF31A4">
        <w:rPr>
          <w:rFonts w:ascii="Arial" w:hAnsi="Arial" w:cs="Arial"/>
          <w:b/>
          <w:bCs/>
          <w:noProof/>
          <w:lang w:val="en-US"/>
        </w:rPr>
        <w:t>ДЭЛГЭРЭНГҮЙ ТАНИЛЦУУЛГА</w:t>
      </w:r>
    </w:p>
    <w:p w14:paraId="57C197E7" w14:textId="77777777" w:rsidR="009D613D" w:rsidRPr="00CF31A4" w:rsidRDefault="009D613D" w:rsidP="009D613D">
      <w:pPr>
        <w:ind w:right="-34"/>
        <w:jc w:val="center"/>
        <w:rPr>
          <w:rFonts w:ascii="Arial" w:hAnsi="Arial" w:cs="Arial"/>
          <w:b/>
          <w:bCs/>
          <w:noProof/>
          <w:lang w:val="en-US"/>
        </w:rPr>
      </w:pPr>
    </w:p>
    <w:p w14:paraId="38ED6783" w14:textId="77777777" w:rsidR="009D613D" w:rsidRPr="00CF31A4" w:rsidRDefault="009D613D" w:rsidP="009D613D">
      <w:pPr>
        <w:ind w:right="-34"/>
        <w:jc w:val="right"/>
        <w:rPr>
          <w:rFonts w:ascii="Arial" w:hAnsi="Arial" w:cs="Arial"/>
          <w:noProof/>
          <w:lang w:val="en-US"/>
        </w:rPr>
      </w:pPr>
      <w:r w:rsidRPr="00CF31A4">
        <w:rPr>
          <w:rFonts w:ascii="Arial" w:hAnsi="Arial" w:cs="Arial"/>
          <w:noProof/>
          <w:lang w:val="en-US"/>
        </w:rPr>
        <w:t xml:space="preserve">Монгол Улсын Их Хурлын тухай хуульд нэмэлт, өөрчлөлт </w:t>
      </w:r>
    </w:p>
    <w:p w14:paraId="06A8EA54" w14:textId="77777777" w:rsidR="009D613D" w:rsidRPr="00CF31A4" w:rsidRDefault="009D613D" w:rsidP="009D613D">
      <w:pPr>
        <w:ind w:right="-34"/>
        <w:jc w:val="right"/>
        <w:rPr>
          <w:rFonts w:ascii="Arial" w:hAnsi="Arial" w:cs="Arial"/>
          <w:noProof/>
          <w:lang w:val="en-US"/>
        </w:rPr>
      </w:pPr>
      <w:r w:rsidRPr="00CF31A4">
        <w:rPr>
          <w:rFonts w:ascii="Arial" w:hAnsi="Arial" w:cs="Arial"/>
          <w:noProof/>
          <w:lang w:val="en-US"/>
        </w:rPr>
        <w:t>оруулах тухай хуулийн төслийн талаар</w:t>
      </w:r>
    </w:p>
    <w:p w14:paraId="193254E9" w14:textId="77777777" w:rsidR="009D613D" w:rsidRPr="00CF31A4" w:rsidRDefault="009D613D" w:rsidP="009D613D">
      <w:pPr>
        <w:ind w:right="-34"/>
        <w:jc w:val="right"/>
        <w:rPr>
          <w:rFonts w:ascii="Arial" w:hAnsi="Arial" w:cs="Arial"/>
          <w:noProof/>
          <w:lang w:val="en-US"/>
        </w:rPr>
      </w:pPr>
    </w:p>
    <w:p w14:paraId="3AF0318E" w14:textId="77777777" w:rsidR="009D613D" w:rsidRPr="00CF31A4" w:rsidRDefault="009D613D" w:rsidP="009D613D">
      <w:pPr>
        <w:ind w:right="-34" w:firstLine="720"/>
        <w:jc w:val="both"/>
        <w:rPr>
          <w:rFonts w:ascii="Arial" w:hAnsi="Arial" w:cs="Arial"/>
          <w:noProof/>
          <w:lang w:val="en-US"/>
        </w:rPr>
      </w:pPr>
      <w:r w:rsidRPr="00CF31A4">
        <w:rPr>
          <w:rFonts w:ascii="Arial" w:hAnsi="Arial" w:cs="Arial"/>
          <w:noProof/>
          <w:lang w:val="en-US"/>
        </w:rPr>
        <w:t>Монгол Улсын Их Хурлын тухай хуульд нэмэлт, өөрчлөлт оруулах тухай хуулийн төслийн тайлбарыг дараах байдлаар гаргав. Үүнд:</w:t>
      </w:r>
    </w:p>
    <w:p w14:paraId="2BA9F64B" w14:textId="77777777" w:rsidR="009D613D" w:rsidRPr="00CF31A4" w:rsidRDefault="009D613D" w:rsidP="009D613D">
      <w:pPr>
        <w:ind w:right="-34" w:firstLine="720"/>
        <w:jc w:val="both"/>
        <w:rPr>
          <w:rFonts w:ascii="Arial" w:hAnsi="Arial" w:cs="Arial"/>
          <w:noProof/>
          <w:lang w:val="en-US"/>
        </w:rPr>
      </w:pPr>
    </w:p>
    <w:p w14:paraId="325A6FB1" w14:textId="77777777" w:rsidR="009D613D" w:rsidRPr="00CF31A4" w:rsidRDefault="009D613D" w:rsidP="009D613D">
      <w:pPr>
        <w:ind w:right="-34" w:firstLine="720"/>
        <w:jc w:val="both"/>
        <w:rPr>
          <w:rFonts w:ascii="Arial" w:hAnsi="Arial" w:cs="Arial"/>
          <w:noProof/>
          <w:lang w:val="en-US"/>
        </w:rPr>
      </w:pPr>
      <w:r w:rsidRPr="00CF31A4">
        <w:rPr>
          <w:rFonts w:ascii="Arial" w:hAnsi="Arial" w:cs="Arial"/>
          <w:noProof/>
          <w:lang w:val="en-US"/>
        </w:rPr>
        <w:t>1.Нэмэлт, өөрчлөлт оруулах, өөрчлөн найруулах, үг өгүүлбэрийг хасах, хүчингүй болсонд тооцох болсон үндэслэл, шаардлага</w:t>
      </w:r>
    </w:p>
    <w:p w14:paraId="527BA7FA" w14:textId="77777777" w:rsidR="009D613D" w:rsidRPr="00CF31A4" w:rsidRDefault="009D613D" w:rsidP="009D613D">
      <w:pPr>
        <w:ind w:right="-34" w:firstLine="720"/>
        <w:jc w:val="both"/>
        <w:rPr>
          <w:rFonts w:ascii="Arial" w:hAnsi="Arial" w:cs="Arial"/>
          <w:noProof/>
          <w:lang w:val="en-US"/>
        </w:rPr>
      </w:pPr>
    </w:p>
    <w:tbl>
      <w:tblPr>
        <w:tblStyle w:val="TableGrid"/>
        <w:tblW w:w="0" w:type="auto"/>
        <w:tblLook w:val="04A0" w:firstRow="1" w:lastRow="0" w:firstColumn="1" w:lastColumn="0" w:noHBand="0" w:noVBand="1"/>
      </w:tblPr>
      <w:tblGrid>
        <w:gridCol w:w="3962"/>
        <w:gridCol w:w="5382"/>
      </w:tblGrid>
      <w:tr w:rsidR="009D613D" w:rsidRPr="00CF31A4" w14:paraId="01CD2D18" w14:textId="77777777" w:rsidTr="00400E29">
        <w:tc>
          <w:tcPr>
            <w:tcW w:w="3964" w:type="dxa"/>
          </w:tcPr>
          <w:p w14:paraId="6CE7F104" w14:textId="77777777" w:rsidR="009D613D" w:rsidRPr="00CF31A4" w:rsidRDefault="009D613D" w:rsidP="00400E29">
            <w:pPr>
              <w:ind w:right="-34"/>
              <w:jc w:val="center"/>
              <w:rPr>
                <w:rFonts w:ascii="Arial" w:hAnsi="Arial" w:cs="Arial"/>
                <w:b/>
                <w:bCs/>
                <w:noProof/>
                <w:lang w:val="en-US"/>
              </w:rPr>
            </w:pPr>
            <w:r w:rsidRPr="00CF31A4">
              <w:rPr>
                <w:rFonts w:ascii="Arial" w:hAnsi="Arial" w:cs="Arial"/>
                <w:b/>
                <w:bCs/>
                <w:noProof/>
                <w:lang w:val="en-US"/>
              </w:rPr>
              <w:t>Нэмэлт, өөрчлөлт оруулах тухай хуулийн төслийн зүйл, хэсэг</w:t>
            </w:r>
          </w:p>
        </w:tc>
        <w:tc>
          <w:tcPr>
            <w:tcW w:w="5386" w:type="dxa"/>
          </w:tcPr>
          <w:p w14:paraId="1916266F" w14:textId="77777777" w:rsidR="009D613D" w:rsidRPr="00CF31A4" w:rsidRDefault="009D613D" w:rsidP="00400E29">
            <w:pPr>
              <w:ind w:right="-34"/>
              <w:jc w:val="center"/>
              <w:rPr>
                <w:rFonts w:ascii="Arial" w:hAnsi="Arial" w:cs="Arial"/>
                <w:noProof/>
                <w:lang w:val="en-US"/>
              </w:rPr>
            </w:pPr>
            <w:r w:rsidRPr="00CF31A4">
              <w:rPr>
                <w:rFonts w:ascii="Arial" w:hAnsi="Arial" w:cs="Arial"/>
                <w:b/>
                <w:bCs/>
                <w:noProof/>
                <w:lang w:val="en-US"/>
              </w:rPr>
              <w:t>Үндэслэл, шаардлага</w:t>
            </w:r>
          </w:p>
        </w:tc>
      </w:tr>
      <w:tr w:rsidR="009D613D" w:rsidRPr="00CF31A4" w14:paraId="54624C46" w14:textId="77777777" w:rsidTr="00400E29">
        <w:tc>
          <w:tcPr>
            <w:tcW w:w="9350" w:type="dxa"/>
            <w:gridSpan w:val="2"/>
          </w:tcPr>
          <w:p w14:paraId="3747B11C" w14:textId="77777777" w:rsidR="009D613D" w:rsidRPr="009D613D" w:rsidRDefault="009D613D" w:rsidP="00400E29">
            <w:pPr>
              <w:ind w:right="-34"/>
              <w:jc w:val="center"/>
              <w:rPr>
                <w:rFonts w:ascii="Arial" w:hAnsi="Arial" w:cs="Arial"/>
                <w:b/>
                <w:bCs/>
                <w:noProof/>
              </w:rPr>
            </w:pPr>
            <w:r w:rsidRPr="009D613D">
              <w:rPr>
                <w:rFonts w:ascii="Arial" w:hAnsi="Arial" w:cs="Arial"/>
                <w:b/>
                <w:bCs/>
                <w:noProof/>
              </w:rPr>
              <w:t>1 дүгээр зүйл буюу хуульд доор дурдсан агуулгатай дараах зүйл, хэсэг, заалт нэмэх болсон үндэслэл, шаардлагын талаар</w:t>
            </w:r>
          </w:p>
        </w:tc>
      </w:tr>
      <w:tr w:rsidR="009D613D" w:rsidRPr="00CF31A4" w14:paraId="190CB453" w14:textId="77777777" w:rsidTr="00400E29">
        <w:tc>
          <w:tcPr>
            <w:tcW w:w="3964" w:type="dxa"/>
          </w:tcPr>
          <w:p w14:paraId="5A1506C0" w14:textId="77777777" w:rsidR="009D613D" w:rsidRPr="009D613D" w:rsidRDefault="009D613D" w:rsidP="00400E29">
            <w:pPr>
              <w:shd w:val="clear" w:color="auto" w:fill="FFFFFF"/>
              <w:ind w:firstLine="720"/>
              <w:jc w:val="both"/>
              <w:rPr>
                <w:rFonts w:ascii="Arial" w:hAnsi="Arial" w:cs="Arial"/>
                <w:noProof/>
                <w:shd w:val="clear" w:color="auto" w:fill="FFFFFF"/>
              </w:rPr>
            </w:pPr>
            <w:r w:rsidRPr="009D613D">
              <w:rPr>
                <w:rFonts w:ascii="Arial" w:hAnsi="Arial" w:cs="Arial"/>
                <w:b/>
                <w:bCs/>
                <w:noProof/>
                <w:shd w:val="clear" w:color="auto" w:fill="FFFFFF"/>
              </w:rPr>
              <w:t>1 дүгээр зүйл</w:t>
            </w:r>
            <w:r w:rsidRPr="009D613D">
              <w:rPr>
                <w:rFonts w:ascii="Arial" w:hAnsi="Arial" w:cs="Arial"/>
                <w:noProof/>
                <w:shd w:val="clear" w:color="auto" w:fill="FFFFFF"/>
              </w:rPr>
              <w:t>.Монгол Улсын Их Хурлын тухай хуулийн 38 дугаар зүйлд доор дурдсан агуулгатай 38.4 дэх хэсэг нэмсүгэй:</w:t>
            </w:r>
          </w:p>
          <w:p w14:paraId="73B0CE1C" w14:textId="77777777" w:rsidR="009D613D" w:rsidRPr="009D613D" w:rsidRDefault="009D613D" w:rsidP="00400E29">
            <w:pPr>
              <w:shd w:val="clear" w:color="auto" w:fill="FFFFFF"/>
              <w:jc w:val="both"/>
              <w:rPr>
                <w:rFonts w:ascii="Arial" w:hAnsi="Arial" w:cs="Arial"/>
                <w:noProof/>
                <w:shd w:val="clear" w:color="auto" w:fill="FFFFFF"/>
              </w:rPr>
            </w:pPr>
          </w:p>
          <w:p w14:paraId="60E00A9F" w14:textId="77777777" w:rsidR="009D613D" w:rsidRPr="009D613D" w:rsidRDefault="009D613D" w:rsidP="00400E29">
            <w:pPr>
              <w:shd w:val="clear" w:color="auto" w:fill="FFFFFF"/>
              <w:ind w:firstLine="720"/>
              <w:jc w:val="both"/>
              <w:rPr>
                <w:rFonts w:ascii="Arial" w:hAnsi="Arial" w:cs="Arial"/>
                <w:noProof/>
              </w:rPr>
            </w:pPr>
            <w:r w:rsidRPr="009D613D">
              <w:rPr>
                <w:rFonts w:ascii="Arial" w:hAnsi="Arial" w:cs="Arial"/>
                <w:noProof/>
                <w:shd w:val="clear" w:color="auto" w:fill="FFFFFF"/>
              </w:rPr>
              <w:t>“38.4.Улсын Их Хурлын гишүүний хувийн ашиг сонирхол, хөрөнгө, орлогын талаарх доорх мэдээллийг Улсын Их Хурлын цахим хуудаст нээлттэй байршуулна</w:t>
            </w:r>
            <w:r w:rsidRPr="009D613D">
              <w:rPr>
                <w:rFonts w:ascii="Arial" w:hAnsi="Arial" w:cs="Arial"/>
                <w:noProof/>
              </w:rPr>
              <w:t>:</w:t>
            </w:r>
          </w:p>
          <w:p w14:paraId="0E0458BF" w14:textId="77777777" w:rsidR="009D613D" w:rsidRPr="009D613D" w:rsidRDefault="009D613D" w:rsidP="00400E29">
            <w:pPr>
              <w:shd w:val="clear" w:color="auto" w:fill="FFFFFF"/>
              <w:ind w:firstLine="720"/>
              <w:jc w:val="both"/>
              <w:rPr>
                <w:rFonts w:ascii="Arial" w:hAnsi="Arial" w:cs="Arial"/>
                <w:noProof/>
              </w:rPr>
            </w:pPr>
          </w:p>
          <w:p w14:paraId="57CD48D7" w14:textId="77777777" w:rsidR="009D613D" w:rsidRPr="009D613D" w:rsidRDefault="009D613D" w:rsidP="00400E29">
            <w:pPr>
              <w:shd w:val="clear" w:color="auto" w:fill="FFFFFF"/>
              <w:ind w:firstLine="1134"/>
              <w:jc w:val="both"/>
              <w:rPr>
                <w:rFonts w:ascii="Arial" w:hAnsi="Arial" w:cs="Arial"/>
                <w:noProof/>
              </w:rPr>
            </w:pPr>
            <w:r w:rsidRPr="009D613D">
              <w:rPr>
                <w:rFonts w:ascii="Arial" w:hAnsi="Arial" w:cs="Arial"/>
                <w:noProof/>
              </w:rPr>
              <w:t>38.4.1.</w:t>
            </w:r>
            <w:r w:rsidRPr="009D613D">
              <w:rPr>
                <w:rFonts w:ascii="Arial" w:hAnsi="Arial" w:cs="Arial"/>
                <w:noProof/>
                <w:shd w:val="clear" w:color="auto" w:fill="FFFFFF"/>
              </w:rPr>
              <w:t>Улсын Их Хурлын гишүүний Нийтийн албанд нийтийн болон хувийн ашиг сонирхлыг зохицуулах, ашиг сонирхлын зөрчлөөс урьдчилан сэргийлэх тухай хууль, Авилгын эсрэг хуульд заасны дагуу гаргасан хувийн ашиг сонирхол, хөрөнгө, орлогын мэдүүлэг</w:t>
            </w:r>
            <w:r w:rsidRPr="009D613D">
              <w:rPr>
                <w:rFonts w:ascii="Arial" w:hAnsi="Arial" w:cs="Arial"/>
                <w:noProof/>
              </w:rPr>
              <w:t>;</w:t>
            </w:r>
          </w:p>
          <w:p w14:paraId="79703572" w14:textId="77777777" w:rsidR="009D613D" w:rsidRPr="009D613D" w:rsidRDefault="009D613D" w:rsidP="00400E29">
            <w:pPr>
              <w:shd w:val="clear" w:color="auto" w:fill="FFFFFF"/>
              <w:ind w:firstLine="1134"/>
              <w:jc w:val="both"/>
              <w:rPr>
                <w:rFonts w:ascii="Arial" w:hAnsi="Arial" w:cs="Arial"/>
                <w:noProof/>
              </w:rPr>
            </w:pPr>
          </w:p>
          <w:p w14:paraId="60BF5258" w14:textId="77777777" w:rsidR="009D613D" w:rsidRPr="009D613D" w:rsidRDefault="009D613D" w:rsidP="00400E29">
            <w:pPr>
              <w:shd w:val="clear" w:color="auto" w:fill="FFFFFF"/>
              <w:ind w:firstLine="1134"/>
              <w:jc w:val="both"/>
              <w:rPr>
                <w:rFonts w:ascii="Arial" w:hAnsi="Arial" w:cs="Arial"/>
                <w:noProof/>
              </w:rPr>
            </w:pPr>
            <w:r w:rsidRPr="009D613D">
              <w:rPr>
                <w:rFonts w:ascii="Arial" w:hAnsi="Arial" w:cs="Arial"/>
                <w:noProof/>
              </w:rPr>
              <w:t>38.4.2.Монгол Улсын Их Хурлын чуулганы хуралдааны дэгийн тухай хуулийн 10.10, 10.11-т заасны дагуу гишүүний гаргасан мэдэгдэл.</w:t>
            </w:r>
          </w:p>
          <w:p w14:paraId="26C6E498" w14:textId="77777777" w:rsidR="009D613D" w:rsidRPr="009D613D" w:rsidRDefault="009D613D" w:rsidP="00400E29">
            <w:pPr>
              <w:shd w:val="clear" w:color="auto" w:fill="FFFFFF"/>
              <w:ind w:firstLine="1134"/>
              <w:jc w:val="both"/>
              <w:rPr>
                <w:rFonts w:ascii="Arial" w:hAnsi="Arial" w:cs="Arial"/>
                <w:noProof/>
              </w:rPr>
            </w:pPr>
          </w:p>
          <w:p w14:paraId="373C60E7" w14:textId="77777777" w:rsidR="009D613D" w:rsidRPr="009D613D" w:rsidRDefault="009D613D" w:rsidP="00400E29">
            <w:pPr>
              <w:shd w:val="clear" w:color="auto" w:fill="FFFFFF"/>
              <w:ind w:firstLine="720"/>
              <w:jc w:val="both"/>
              <w:rPr>
                <w:rFonts w:ascii="Arial" w:hAnsi="Arial" w:cs="Arial"/>
                <w:noProof/>
              </w:rPr>
            </w:pPr>
            <w:r w:rsidRPr="009D613D">
              <w:rPr>
                <w:rFonts w:ascii="Arial" w:hAnsi="Arial" w:cs="Arial"/>
                <w:noProof/>
              </w:rPr>
              <w:t xml:space="preserve">38.5.Энэ хуулийн 38.4.1-т заасан мэдүүлгийг Нийтийн албанд нийтийн болон хувийн ашиг сонирхлыг зохицуулах, ашиг сонирхлын зөрчлөөс урьдчилан сэргийлэх тухай хуулийн 24.1.1, Авлигын эсрэг хуулийн 11.1.1-д </w:t>
            </w:r>
            <w:r w:rsidRPr="009D613D">
              <w:rPr>
                <w:rFonts w:ascii="Arial" w:hAnsi="Arial" w:cs="Arial"/>
                <w:noProof/>
              </w:rPr>
              <w:lastRenderedPageBreak/>
              <w:t>заасны дагуу Авлигатай тэмцэх газар, 38.4.2-т заасан мэдэгдлийг Тамгын газар бүртгэж, хадгална.”</w:t>
            </w:r>
          </w:p>
          <w:p w14:paraId="225E54E9" w14:textId="77777777" w:rsidR="009D613D" w:rsidRPr="009D613D" w:rsidRDefault="009D613D" w:rsidP="00400E29">
            <w:pPr>
              <w:jc w:val="both"/>
              <w:rPr>
                <w:rFonts w:ascii="Arial" w:hAnsi="Arial" w:cs="Arial"/>
                <w:b/>
                <w:bCs/>
                <w:noProof/>
              </w:rPr>
            </w:pPr>
          </w:p>
        </w:tc>
        <w:tc>
          <w:tcPr>
            <w:tcW w:w="5386" w:type="dxa"/>
          </w:tcPr>
          <w:p w14:paraId="17EC4411" w14:textId="77777777" w:rsidR="009D613D" w:rsidRPr="009D613D" w:rsidRDefault="009D613D" w:rsidP="00400E29">
            <w:pPr>
              <w:ind w:firstLine="720"/>
              <w:jc w:val="both"/>
              <w:rPr>
                <w:rFonts w:ascii="Arial" w:hAnsi="Arial" w:cs="Arial"/>
                <w:noProof/>
              </w:rPr>
            </w:pPr>
            <w:r w:rsidRPr="009D613D">
              <w:rPr>
                <w:rFonts w:ascii="Arial" w:hAnsi="Arial" w:cs="Arial"/>
                <w:noProof/>
              </w:rPr>
              <w:lastRenderedPageBreak/>
              <w:t>Дэлхийн ихэнх улс орны парламент үйл ажиллагааны ил тод, “шилэн” байдлаа хангахын тулд өөрийн гишүүдийн ашиг сонирхлын мэдүүлэг, бүртгэлийг тогтмол хөтөлж хэвшсэн. Тухайлбал, ИБУИНВУ-ын парламентад Ашиг сонирхлын бүртгэл (Register of Interests) тогтмол хөтөлдөг бөгөөд тухайн чуулганаар хэлэлцэж буй асуудлын талаар гишүүдийн хийсэн мэдэгдэл, тухайн гишүүний цалин хөлс, шагнал, урамшуулал, гадаад, дотоод томилолтод зарцуулсан зардал зэргийн талаар тогтмол мэдээлж хэвшжээ. Евро парламент өөрийн гишүүдийн Санхүүгийн ашиг сонирхлын бүртгэл (Register of Members’ Financial Interests)-ийг тогтмол хөтөлдөг бөгөөд уг бүртгэл парламентын албан ёсны вэб хуудаст нээлттэй байршдаг.</w:t>
            </w:r>
          </w:p>
          <w:p w14:paraId="5DFBF659" w14:textId="77777777" w:rsidR="009D613D" w:rsidRPr="009D613D" w:rsidRDefault="009D613D" w:rsidP="00400E29">
            <w:pPr>
              <w:ind w:firstLine="720"/>
              <w:jc w:val="both"/>
              <w:rPr>
                <w:rFonts w:ascii="Arial" w:hAnsi="Arial" w:cs="Arial"/>
                <w:noProof/>
              </w:rPr>
            </w:pPr>
          </w:p>
          <w:p w14:paraId="26269AB0" w14:textId="77777777" w:rsidR="009D613D" w:rsidRPr="009D613D" w:rsidRDefault="009D613D" w:rsidP="00400E29">
            <w:pPr>
              <w:ind w:firstLine="720"/>
              <w:jc w:val="both"/>
              <w:rPr>
                <w:rFonts w:ascii="Arial" w:hAnsi="Arial" w:cs="Arial"/>
                <w:noProof/>
                <w:shd w:val="clear" w:color="auto" w:fill="FFFFFF"/>
              </w:rPr>
            </w:pPr>
            <w:r w:rsidRPr="009D613D">
              <w:rPr>
                <w:rFonts w:ascii="Arial" w:hAnsi="Arial" w:cs="Arial"/>
                <w:noProof/>
                <w:shd w:val="clear" w:color="auto" w:fill="FFFFFF"/>
              </w:rPr>
              <w:t xml:space="preserve">Нийтийн албанд нийтийн болон хувийн ашиг сонирхлыг зохицуулах, ашиг сонирхлын зөрчлөөс урьдчилан сэргийлэх тухай хуулийн 25 дугаар зүйлийн </w:t>
            </w:r>
            <w:r w:rsidRPr="009D613D">
              <w:rPr>
                <w:rFonts w:ascii="Arial" w:hAnsi="Arial" w:cs="Arial"/>
                <w:noProof/>
              </w:rPr>
              <w:t xml:space="preserve">25.1-д “Албан тушаалтны хувийн ашиг сонирхлын мэдүүлэг нээлттэй байна.”, 25.2-д “Энэ хуулийн 24.1-д заасан байгууллага, албан тушаалтан иргэдийг албан тушаалтны хувийн ашиг сонирхлын мэдүүлэгтэй саадгүй танилцах боломжоор хангах үүрэгтэй.” гэж заасны дагуу Улсын Их Хурлын гишүүдийн </w:t>
            </w:r>
            <w:r w:rsidRPr="009D613D">
              <w:rPr>
                <w:rFonts w:ascii="Arial" w:hAnsi="Arial" w:cs="Arial"/>
                <w:noProof/>
                <w:shd w:val="clear" w:color="auto" w:fill="FFFFFF"/>
              </w:rPr>
              <w:t xml:space="preserve">хувийн ашиг сонирхлын мэдүүлэг, мөн </w:t>
            </w:r>
            <w:r w:rsidRPr="009D613D">
              <w:rPr>
                <w:rFonts w:ascii="Arial" w:hAnsi="Arial" w:cs="Arial"/>
                <w:iCs/>
                <w:noProof/>
              </w:rPr>
              <w:t>тухайн хэлэлцэж байгаа асуудалтай шууд холбоотой үйл ажиллагааны үр дүнд өөрөө болон түүнтэй хамаарал бүхий этгээд орлого олж байгаа, эсхүл бусад хэлбэрээр ашиг сонирхлын зөрчилтэй тухай гишүүний мэдэгдлийг</w:t>
            </w:r>
            <w:r w:rsidRPr="009D613D">
              <w:rPr>
                <w:rFonts w:ascii="Arial" w:hAnsi="Arial" w:cs="Arial"/>
                <w:noProof/>
                <w:shd w:val="clear" w:color="auto" w:fill="FFFFFF"/>
              </w:rPr>
              <w:t xml:space="preserve"> Улсын Их Хурал өөрийн албан ёсны цахим хуудастаа зэрэг нийтэлж, </w:t>
            </w:r>
            <w:r w:rsidRPr="009D613D">
              <w:rPr>
                <w:rFonts w:ascii="Arial" w:hAnsi="Arial" w:cs="Arial"/>
                <w:noProof/>
                <w:shd w:val="clear" w:color="auto" w:fill="FFFFFF"/>
              </w:rPr>
              <w:lastRenderedPageBreak/>
              <w:t>иргэдийн мэдэх эрхийг хангаж байх нь парламентын үйл ажиллагааны ил тод байдлыг хангахад эерэг үр нөлөөтэй гэж үзэв.</w:t>
            </w:r>
          </w:p>
          <w:p w14:paraId="32090A0F" w14:textId="77777777" w:rsidR="009D613D" w:rsidRPr="009D613D" w:rsidRDefault="009D613D" w:rsidP="00400E29">
            <w:pPr>
              <w:ind w:firstLine="720"/>
              <w:jc w:val="both"/>
              <w:rPr>
                <w:rFonts w:ascii="Arial" w:hAnsi="Arial" w:cs="Arial"/>
                <w:noProof/>
                <w:shd w:val="clear" w:color="auto" w:fill="FFFFFF"/>
              </w:rPr>
            </w:pPr>
          </w:p>
          <w:p w14:paraId="1FD3BD2A" w14:textId="77777777" w:rsidR="009D613D" w:rsidRPr="009D613D" w:rsidRDefault="009D613D" w:rsidP="00400E29">
            <w:pPr>
              <w:pStyle w:val="NormalWeb"/>
              <w:spacing w:before="0" w:beforeAutospacing="0" w:after="0" w:afterAutospacing="0"/>
              <w:ind w:firstLine="720"/>
              <w:jc w:val="both"/>
              <w:rPr>
                <w:rFonts w:ascii="Arial" w:hAnsi="Arial" w:cs="Arial"/>
                <w:noProof/>
              </w:rPr>
            </w:pPr>
            <w:r w:rsidRPr="009D613D">
              <w:rPr>
                <w:rFonts w:ascii="Arial" w:hAnsi="Arial" w:cs="Arial"/>
                <w:noProof/>
              </w:rPr>
              <w:t>Авлигын эсрэг хуулийн 14 дүгээр зүйлийн</w:t>
            </w:r>
            <w:r w:rsidRPr="009D613D">
              <w:rPr>
                <w:rFonts w:ascii="Arial" w:hAnsi="Arial" w:cs="Arial"/>
                <w:b/>
                <w:bCs/>
                <w:noProof/>
              </w:rPr>
              <w:t xml:space="preserve"> </w:t>
            </w:r>
            <w:r w:rsidRPr="009D613D">
              <w:rPr>
                <w:rFonts w:ascii="Arial" w:hAnsi="Arial" w:cs="Arial"/>
                <w:noProof/>
              </w:rPr>
              <w:t>14.1-т “Дараахь албан тушаалтны хөрөнгө, орлогын мэдүүлгийг тухайн оны 2 дугаар улиралд багтаан цахим мэдээллийн сүлжээнд байрлуулна:” гээд 14.1.2-т “Улсын Их Хурлын дарга, дэд дарга, гишүүн;” гэж заасан.</w:t>
            </w:r>
          </w:p>
        </w:tc>
      </w:tr>
      <w:tr w:rsidR="009D613D" w:rsidRPr="00CF31A4" w14:paraId="0813891E" w14:textId="77777777" w:rsidTr="00400E29">
        <w:tc>
          <w:tcPr>
            <w:tcW w:w="9350" w:type="dxa"/>
            <w:gridSpan w:val="2"/>
          </w:tcPr>
          <w:p w14:paraId="176E933F" w14:textId="77777777" w:rsidR="009D613D" w:rsidRPr="009D613D" w:rsidRDefault="009D613D" w:rsidP="00400E29">
            <w:pPr>
              <w:ind w:right="-34"/>
              <w:jc w:val="center"/>
              <w:rPr>
                <w:rFonts w:ascii="Arial" w:hAnsi="Arial" w:cs="Arial"/>
                <w:b/>
                <w:bCs/>
                <w:noProof/>
              </w:rPr>
            </w:pPr>
            <w:r w:rsidRPr="009D613D">
              <w:rPr>
                <w:rFonts w:ascii="Arial" w:hAnsi="Arial" w:cs="Arial"/>
                <w:b/>
                <w:bCs/>
                <w:noProof/>
              </w:rPr>
              <w:lastRenderedPageBreak/>
              <w:t>2 дугаар зүйл буюу хуульд оруулсан бусад нэмэлтийн үндэслэл, шаардлагын талаар</w:t>
            </w:r>
          </w:p>
        </w:tc>
      </w:tr>
      <w:tr w:rsidR="009D613D" w:rsidRPr="00CF31A4" w14:paraId="20A52380" w14:textId="77777777" w:rsidTr="00400E29">
        <w:tc>
          <w:tcPr>
            <w:tcW w:w="3964" w:type="dxa"/>
          </w:tcPr>
          <w:p w14:paraId="70800456" w14:textId="77777777" w:rsidR="009D613D" w:rsidRPr="009D613D" w:rsidRDefault="009D613D" w:rsidP="00400E29">
            <w:pPr>
              <w:shd w:val="clear" w:color="auto" w:fill="FFFFFF"/>
              <w:ind w:firstLine="720"/>
              <w:jc w:val="both"/>
              <w:rPr>
                <w:rFonts w:ascii="Arial" w:hAnsi="Arial" w:cs="Arial"/>
                <w:noProof/>
                <w:shd w:val="clear" w:color="auto" w:fill="FFFFFF"/>
              </w:rPr>
            </w:pPr>
            <w:r w:rsidRPr="009D613D">
              <w:rPr>
                <w:rFonts w:ascii="Arial" w:hAnsi="Arial" w:cs="Arial"/>
                <w:b/>
                <w:bCs/>
                <w:noProof/>
                <w:shd w:val="clear" w:color="auto" w:fill="FFFFFF"/>
              </w:rPr>
              <w:t>2 дугаар зүйл.</w:t>
            </w:r>
            <w:r w:rsidRPr="009D613D">
              <w:rPr>
                <w:rFonts w:ascii="Arial" w:hAnsi="Arial" w:cs="Arial"/>
                <w:noProof/>
                <w:shd w:val="clear" w:color="auto" w:fill="FFFFFF"/>
              </w:rPr>
              <w:t xml:space="preserve">Монгол Улсын Их Хурлын тухай хуулийн 44 дүгээр зүйлийн </w:t>
            </w:r>
            <w:r w:rsidRPr="009D613D">
              <w:rPr>
                <w:rStyle w:val="apple-converted-space"/>
                <w:rFonts w:ascii="Arial" w:hAnsi="Arial" w:cs="Arial"/>
                <w:noProof/>
              </w:rPr>
              <w:t>44.1.13 дахь заалтын “</w:t>
            </w:r>
            <w:r w:rsidRPr="009D613D">
              <w:rPr>
                <w:rFonts w:ascii="Arial" w:hAnsi="Arial" w:cs="Arial"/>
                <w:noProof/>
                <w:shd w:val="clear" w:color="auto" w:fill="FFFFFF"/>
              </w:rPr>
              <w:t>ашиг сонирхлын зөрчилтэй гэж үзвэл” гэсний дараа “хууль тогтоомжийн төслийг хэлэлцүүлэгт бэлтгэх,” гэж нэмсүгэй.</w:t>
            </w:r>
          </w:p>
          <w:p w14:paraId="7A33392C" w14:textId="77777777" w:rsidR="009D613D" w:rsidRPr="009D613D" w:rsidRDefault="009D613D" w:rsidP="00400E29">
            <w:pPr>
              <w:jc w:val="both"/>
              <w:rPr>
                <w:rFonts w:ascii="Arial" w:hAnsi="Arial" w:cs="Arial"/>
                <w:b/>
                <w:bCs/>
                <w:noProof/>
              </w:rPr>
            </w:pPr>
          </w:p>
        </w:tc>
        <w:tc>
          <w:tcPr>
            <w:tcW w:w="5386" w:type="dxa"/>
          </w:tcPr>
          <w:p w14:paraId="1A253669" w14:textId="77777777" w:rsidR="009D613D" w:rsidRPr="009D613D" w:rsidRDefault="009D613D" w:rsidP="00400E29">
            <w:pPr>
              <w:ind w:firstLine="720"/>
              <w:jc w:val="both"/>
              <w:rPr>
                <w:rFonts w:ascii="Arial" w:hAnsi="Arial" w:cs="Arial"/>
                <w:noProof/>
              </w:rPr>
            </w:pPr>
            <w:r w:rsidRPr="009D613D">
              <w:rPr>
                <w:rFonts w:ascii="Arial" w:hAnsi="Arial" w:cs="Arial"/>
                <w:noProof/>
              </w:rPr>
              <w:t>Одоо хүчин төгөлдөр үйлчилж буй Монгол Улсын Их Хурлын тухай хуулийн дагуу гишүүн тодорхой асуудлаар ашиг сонирхлын зөрчилтэй бол хянан шалгах чиг үүрэг бүхий ажлын хэсгийн бүрэлдэхүүнд орохыг хориглосон болно. Ашиг сонирхлын зөрчилтэй гишүүнд тавигдах энэхүү хязгаарлалтыг хууль тогтоомжийн төслийг хэлэлцүүлэгт бэлтгэх үүрэг бүхий ажлын хэсэгт мөн адил орохгүй байхаар зохицуулах нь Монгол Улсын Их Хурлын тухай хуулийн 8 дугаар зүйлийн 8.1.23-т “гишүүн хэлэлцэх гэж байгаа асуудалтай шууд холбоотой үйл ажиллагааны үр дүнд өөрөө болон гэр бүлийн гишүүд нь орлого олж байгаа, эсхүл бусад хэлбэрээр ашиг сонирхлын зөрчилтэй бол тухайн асуудлаар хэлэлцүүлэг, санал хураалтад оролцохоос татгалзах;” тухай гишүүний бүрэн эрхийг бодитой хэрэгжүүлэхэд дэмжлэг болно гэж үзэв.</w:t>
            </w:r>
          </w:p>
        </w:tc>
      </w:tr>
      <w:tr w:rsidR="009D613D" w:rsidRPr="00CF31A4" w14:paraId="5F6C69C9" w14:textId="77777777" w:rsidTr="00400E29">
        <w:tc>
          <w:tcPr>
            <w:tcW w:w="9350" w:type="dxa"/>
            <w:gridSpan w:val="2"/>
          </w:tcPr>
          <w:p w14:paraId="7A4FB8AB" w14:textId="77777777" w:rsidR="009D613D" w:rsidRPr="009D613D" w:rsidRDefault="009D613D" w:rsidP="00400E29">
            <w:pPr>
              <w:ind w:right="-34"/>
              <w:jc w:val="center"/>
              <w:rPr>
                <w:rFonts w:ascii="Arial" w:hAnsi="Arial" w:cs="Arial"/>
                <w:b/>
                <w:bCs/>
                <w:noProof/>
              </w:rPr>
            </w:pPr>
            <w:r w:rsidRPr="009D613D">
              <w:rPr>
                <w:rFonts w:ascii="Arial" w:hAnsi="Arial" w:cs="Arial"/>
                <w:b/>
                <w:bCs/>
                <w:noProof/>
              </w:rPr>
              <w:t>3 дугаар зүйл буюу хуулийн дараах зүйл, хэсэг, заалтыг өөрчлөн найруулах үндэслэл, шаардлагын талаар</w:t>
            </w:r>
          </w:p>
        </w:tc>
      </w:tr>
      <w:tr w:rsidR="009D613D" w:rsidRPr="00CF31A4" w14:paraId="48FF9D09" w14:textId="77777777" w:rsidTr="00400E29">
        <w:trPr>
          <w:trHeight w:val="3142"/>
        </w:trPr>
        <w:tc>
          <w:tcPr>
            <w:tcW w:w="3964" w:type="dxa"/>
          </w:tcPr>
          <w:p w14:paraId="5D2332FD" w14:textId="77777777" w:rsidR="009D613D" w:rsidRPr="009D613D" w:rsidRDefault="009D613D" w:rsidP="00400E29">
            <w:pPr>
              <w:shd w:val="clear" w:color="auto" w:fill="FFFFFF"/>
              <w:ind w:firstLine="720"/>
              <w:jc w:val="both"/>
              <w:rPr>
                <w:rFonts w:ascii="Arial" w:hAnsi="Arial" w:cs="Arial"/>
                <w:noProof/>
                <w:shd w:val="clear" w:color="auto" w:fill="FFFFFF"/>
              </w:rPr>
            </w:pPr>
            <w:r w:rsidRPr="009D613D">
              <w:rPr>
                <w:rFonts w:ascii="Arial" w:hAnsi="Arial" w:cs="Arial"/>
                <w:b/>
                <w:bCs/>
                <w:noProof/>
                <w:shd w:val="clear" w:color="auto" w:fill="FFFFFF"/>
              </w:rPr>
              <w:t>3 дугаар зүйл.</w:t>
            </w:r>
            <w:r w:rsidRPr="009D613D">
              <w:rPr>
                <w:rFonts w:ascii="Arial" w:hAnsi="Arial" w:cs="Arial"/>
                <w:noProof/>
                <w:shd w:val="clear" w:color="auto" w:fill="FFFFFF"/>
              </w:rPr>
              <w:t>Монгол Улсын Их Хурлын тухай хуулийн 8 дугаар зүйлийн 8.1.23 дахь заалтын “гэр бүлийн гишүүд” гэснийг “хамаарал бүхий этгээд” гэж өөрчилсүгэй.</w:t>
            </w:r>
          </w:p>
          <w:p w14:paraId="2A67EE20" w14:textId="77777777" w:rsidR="009D613D" w:rsidRPr="009D613D" w:rsidRDefault="009D613D" w:rsidP="00400E29">
            <w:pPr>
              <w:ind w:firstLine="720"/>
              <w:jc w:val="both"/>
              <w:rPr>
                <w:rFonts w:ascii="Arial" w:hAnsi="Arial" w:cs="Arial"/>
                <w:b/>
                <w:bCs/>
                <w:noProof/>
              </w:rPr>
            </w:pPr>
          </w:p>
        </w:tc>
        <w:tc>
          <w:tcPr>
            <w:tcW w:w="5386" w:type="dxa"/>
          </w:tcPr>
          <w:p w14:paraId="70270FC6" w14:textId="77777777" w:rsidR="009D613D" w:rsidRPr="009D613D" w:rsidRDefault="009D613D" w:rsidP="00400E29">
            <w:pPr>
              <w:pStyle w:val="NormalWeb"/>
              <w:spacing w:before="0" w:beforeAutospacing="0" w:after="0" w:afterAutospacing="0"/>
              <w:jc w:val="both"/>
              <w:rPr>
                <w:rFonts w:ascii="Arial" w:hAnsi="Arial" w:cs="Arial"/>
                <w:noProof/>
              </w:rPr>
            </w:pPr>
            <w:r w:rsidRPr="009D613D">
              <w:rPr>
                <w:rFonts w:ascii="Arial" w:hAnsi="Arial" w:cs="Arial"/>
                <w:noProof/>
              </w:rPr>
              <w:t>Нийтийн албанд нийтийн болон хувийн ашиг сонирхлыг зохицуулах, ашиг сонирхлын зөрчлөөс урьдчилан сэргийлэх тухай хуулийн 6 дугаар зүйлийн 6.3-т “Албан тушаалтан албаны бүрэн эрхээ хувийн болон өөртэй нь хамаарал бүхий этгээдийн хувийн зорилгод ашиглахгүй бөгөөд албан үүрэгт нь нөлөөлөхүйц аливаа харилцаанаас ангид байна.”, мөн зүйлийн 6.4-т “Албан тушаалтан ашиг сонирхлын зөрчилд орж болохуйц нөхцөл байдлыг мэдэгдэх, түүнээс татгалзах замаар урьдчилан сэргийлнэ.” гэж тус тус заасан.</w:t>
            </w:r>
          </w:p>
          <w:p w14:paraId="25950A14" w14:textId="77777777" w:rsidR="009D613D" w:rsidRPr="009D613D" w:rsidRDefault="009D613D" w:rsidP="00400E29">
            <w:pPr>
              <w:pStyle w:val="NormalWeb"/>
              <w:spacing w:before="0" w:beforeAutospacing="0" w:after="0" w:afterAutospacing="0"/>
              <w:jc w:val="both"/>
              <w:rPr>
                <w:rFonts w:ascii="Arial" w:hAnsi="Arial" w:cs="Arial"/>
                <w:noProof/>
              </w:rPr>
            </w:pPr>
          </w:p>
          <w:p w14:paraId="61B07183" w14:textId="77777777" w:rsidR="009D613D" w:rsidRPr="00CF31A4" w:rsidRDefault="009D613D" w:rsidP="00400E29">
            <w:pPr>
              <w:jc w:val="both"/>
              <w:rPr>
                <w:rFonts w:ascii="Arial" w:hAnsi="Arial" w:cs="Arial"/>
                <w:noProof/>
                <w:lang w:val="en-US"/>
              </w:rPr>
            </w:pPr>
            <w:r w:rsidRPr="00CF31A4">
              <w:rPr>
                <w:rFonts w:ascii="Arial" w:hAnsi="Arial" w:cs="Arial"/>
                <w:noProof/>
                <w:lang w:val="en-US"/>
              </w:rPr>
              <w:t xml:space="preserve">Иймд </w:t>
            </w:r>
            <w:r w:rsidRPr="00CF31A4">
              <w:rPr>
                <w:rFonts w:ascii="Arial" w:hAnsi="Arial" w:cs="Arial"/>
                <w:noProof/>
                <w:shd w:val="clear" w:color="auto" w:fill="FFFFFF"/>
                <w:lang w:val="en-US"/>
              </w:rPr>
              <w:t xml:space="preserve">Нийтийн албанд нийтийн болон хувийн ашиг сонирхлыг зохицуулах, ашиг сонирхлын зөрчлөөс урьдчилан сэргийлэх тухай хуульд заасан шаардлагад одоогийн зохицуулалтыг </w:t>
            </w:r>
            <w:r w:rsidRPr="00CF31A4">
              <w:rPr>
                <w:rFonts w:ascii="Arial" w:hAnsi="Arial" w:cs="Arial"/>
                <w:noProof/>
                <w:shd w:val="clear" w:color="auto" w:fill="FFFFFF"/>
                <w:lang w:val="en-US"/>
              </w:rPr>
              <w:lastRenderedPageBreak/>
              <w:t xml:space="preserve">нийцүүлж гишүүнийг зөвхөн </w:t>
            </w:r>
            <w:r w:rsidRPr="00CF31A4">
              <w:rPr>
                <w:rFonts w:ascii="Arial" w:hAnsi="Arial" w:cs="Arial"/>
                <w:noProof/>
                <w:lang w:val="en-US"/>
              </w:rPr>
              <w:t xml:space="preserve">өөрийг нь болон гэр бүлийн гишүүдээр нь хязгаарлахгүйгээр түүнтэй хамаарал бүхий этгээд буюу </w:t>
            </w:r>
            <w:r w:rsidRPr="00CF31A4">
              <w:rPr>
                <w:rFonts w:ascii="Arial" w:hAnsi="Arial" w:cs="Arial"/>
                <w:noProof/>
                <w:shd w:val="clear" w:color="auto" w:fill="FFFFFF"/>
                <w:lang w:val="en-US"/>
              </w:rPr>
              <w:t>нийтийн албан тушаалтны эцэг, эх, төрсөн ах, эгч, дүү, гэр бүлийн гишүүн, хамтран амьдрагч, эхнэр /нөхөр/-ийн эцэг, эх, төрсөн ах, эгч, дүү, бусад нэгдмэл сонирхолтой этгээдийг хуулийн үйлчлэлд хамааруулах нь зүйтэй байна.</w:t>
            </w:r>
          </w:p>
        </w:tc>
      </w:tr>
      <w:tr w:rsidR="009D613D" w:rsidRPr="00CF31A4" w14:paraId="33E5A12D" w14:textId="77777777" w:rsidTr="00400E29">
        <w:tc>
          <w:tcPr>
            <w:tcW w:w="9350" w:type="dxa"/>
            <w:gridSpan w:val="2"/>
          </w:tcPr>
          <w:p w14:paraId="11383212" w14:textId="77777777" w:rsidR="009D613D" w:rsidRPr="009D613D" w:rsidRDefault="009D613D" w:rsidP="00400E29">
            <w:pPr>
              <w:ind w:right="-34"/>
              <w:jc w:val="center"/>
              <w:rPr>
                <w:rFonts w:ascii="Arial" w:hAnsi="Arial" w:cs="Arial"/>
                <w:b/>
                <w:bCs/>
                <w:noProof/>
              </w:rPr>
            </w:pPr>
            <w:r w:rsidRPr="009D613D">
              <w:rPr>
                <w:rFonts w:ascii="Arial" w:hAnsi="Arial" w:cs="Arial"/>
                <w:b/>
                <w:bCs/>
                <w:noProof/>
              </w:rPr>
              <w:lastRenderedPageBreak/>
              <w:t>4 дүгээр зүйл буюу хуулийг дагаж мөрдөх журмын талаар</w:t>
            </w:r>
          </w:p>
        </w:tc>
      </w:tr>
      <w:tr w:rsidR="009D613D" w:rsidRPr="00CF31A4" w14:paraId="28D71249" w14:textId="77777777" w:rsidTr="00400E29">
        <w:trPr>
          <w:trHeight w:val="1066"/>
        </w:trPr>
        <w:tc>
          <w:tcPr>
            <w:tcW w:w="3964" w:type="dxa"/>
          </w:tcPr>
          <w:p w14:paraId="0B64FD83" w14:textId="77777777" w:rsidR="009D613D" w:rsidRPr="009D613D" w:rsidRDefault="009D613D" w:rsidP="00400E29">
            <w:pPr>
              <w:ind w:firstLine="720"/>
              <w:jc w:val="both"/>
              <w:rPr>
                <w:rFonts w:ascii="Arial" w:hAnsi="Arial" w:cs="Arial"/>
                <w:noProof/>
              </w:rPr>
            </w:pPr>
            <w:r w:rsidRPr="009D613D">
              <w:rPr>
                <w:rFonts w:ascii="Arial" w:hAnsi="Arial" w:cs="Arial"/>
                <w:b/>
                <w:bCs/>
                <w:noProof/>
              </w:rPr>
              <w:t>4 дүгээр зүйл.</w:t>
            </w:r>
            <w:r w:rsidRPr="009D613D">
              <w:rPr>
                <w:rFonts w:ascii="Arial" w:hAnsi="Arial" w:cs="Arial"/>
                <w:noProof/>
              </w:rPr>
              <w:t>Энэ хуулийг 2026 оны намрын ээлжит чуулган нээсэн өдрөөс эхлэн дагаж мөрдсүгэй.</w:t>
            </w:r>
          </w:p>
          <w:p w14:paraId="3C5E4CFA" w14:textId="77777777" w:rsidR="009D613D" w:rsidRPr="009D613D" w:rsidRDefault="009D613D" w:rsidP="00400E29">
            <w:pPr>
              <w:ind w:firstLine="1418"/>
              <w:jc w:val="both"/>
              <w:rPr>
                <w:rFonts w:ascii="Arial" w:hAnsi="Arial" w:cs="Arial"/>
                <w:noProof/>
              </w:rPr>
            </w:pPr>
          </w:p>
        </w:tc>
        <w:tc>
          <w:tcPr>
            <w:tcW w:w="5386" w:type="dxa"/>
          </w:tcPr>
          <w:p w14:paraId="08BBEA1E" w14:textId="77777777" w:rsidR="009D613D" w:rsidRPr="009D613D" w:rsidRDefault="009D613D" w:rsidP="00400E29">
            <w:pPr>
              <w:jc w:val="both"/>
              <w:rPr>
                <w:rFonts w:ascii="Arial" w:hAnsi="Arial" w:cs="Arial"/>
                <w:noProof/>
              </w:rPr>
            </w:pPr>
            <w:r w:rsidRPr="009D613D">
              <w:rPr>
                <w:rFonts w:ascii="Arial" w:hAnsi="Arial" w:cs="Arial"/>
                <w:noProof/>
              </w:rPr>
              <w:t>Энэхүү хуулийн төслийг 2026 оны хаврын ээлжит чуулганы хугацаанд хэлэлцүүлж, 2026 оны намрын ээлжит чуулган нээсэн өдрөөс эхлэн дагаж мөрдөхөөр боловсруулав.</w:t>
            </w:r>
          </w:p>
          <w:p w14:paraId="2C112577" w14:textId="77777777" w:rsidR="009D613D" w:rsidRPr="009D613D" w:rsidRDefault="009D613D" w:rsidP="00400E29">
            <w:pPr>
              <w:pStyle w:val="NormalWeb"/>
              <w:spacing w:before="0" w:beforeAutospacing="0" w:after="0" w:afterAutospacing="0"/>
              <w:jc w:val="both"/>
              <w:rPr>
                <w:rFonts w:ascii="Arial" w:hAnsi="Arial" w:cs="Arial"/>
                <w:noProof/>
              </w:rPr>
            </w:pPr>
          </w:p>
        </w:tc>
      </w:tr>
    </w:tbl>
    <w:p w14:paraId="5DE53C01" w14:textId="77777777" w:rsidR="009D613D" w:rsidRPr="009D613D" w:rsidRDefault="009D613D" w:rsidP="009D613D">
      <w:pPr>
        <w:pStyle w:val="Bodytext20"/>
        <w:shd w:val="clear" w:color="auto" w:fill="auto"/>
        <w:spacing w:after="0" w:line="240" w:lineRule="auto"/>
        <w:ind w:right="-34"/>
        <w:rPr>
          <w:noProof/>
          <w:lang w:val="mn-MN"/>
        </w:rPr>
      </w:pPr>
    </w:p>
    <w:p w14:paraId="3E3BE920" w14:textId="77777777" w:rsidR="009D613D" w:rsidRPr="009D613D" w:rsidRDefault="009D613D" w:rsidP="009D613D">
      <w:pPr>
        <w:pStyle w:val="Bodytext20"/>
        <w:shd w:val="clear" w:color="auto" w:fill="auto"/>
        <w:spacing w:after="0" w:line="240" w:lineRule="auto"/>
        <w:ind w:right="-34" w:firstLine="720"/>
        <w:rPr>
          <w:noProof/>
          <w:lang w:val="mn-MN"/>
        </w:rPr>
      </w:pPr>
      <w:r w:rsidRPr="009D613D">
        <w:rPr>
          <w:noProof/>
          <w:lang w:val="mn-MN"/>
        </w:rPr>
        <w:t>2.Зохицуулахаар тусгасан харилцааны агуулга, зохицуулалт нь Монгол Улсын Их Хурлын тухай хуульд нэмэлт, өөрчлөлт оруулах тухай хуулийн төслийн үзэл баримтлалд тусгагдсан бөгөөд үзэл баримтлалын хүрээнээс гажаагүй болно.</w:t>
      </w:r>
    </w:p>
    <w:p w14:paraId="1B6B46A5" w14:textId="77777777" w:rsidR="009D613D" w:rsidRPr="009D613D" w:rsidRDefault="009D613D" w:rsidP="009D613D">
      <w:pPr>
        <w:pStyle w:val="Bodytext20"/>
        <w:shd w:val="clear" w:color="auto" w:fill="auto"/>
        <w:spacing w:after="0" w:line="240" w:lineRule="auto"/>
        <w:ind w:right="-34"/>
        <w:rPr>
          <w:noProof/>
          <w:lang w:val="mn-MN"/>
        </w:rPr>
      </w:pPr>
    </w:p>
    <w:p w14:paraId="7D81EF7F" w14:textId="77777777" w:rsidR="009D613D" w:rsidRPr="009D613D" w:rsidRDefault="009D613D" w:rsidP="009D613D">
      <w:pPr>
        <w:pStyle w:val="Bodytext20"/>
        <w:shd w:val="clear" w:color="auto" w:fill="auto"/>
        <w:spacing w:after="0" w:line="240" w:lineRule="auto"/>
        <w:ind w:right="-34" w:firstLine="720"/>
        <w:rPr>
          <w:noProof/>
          <w:lang w:val="mn-MN"/>
        </w:rPr>
      </w:pPr>
      <w:r w:rsidRPr="009D613D">
        <w:rPr>
          <w:noProof/>
          <w:lang w:val="mn-MN"/>
        </w:rPr>
        <w:t>3.Монгол Улсын Их Хурлын тухай хуульд нэмэлт, өөрчлөлт оруулах тухай хуулийн төсөлд шинэ нэр томьёо, ухагдахуун оруулаагүй бөгөөд Монгол Улсын Үндсэн хууль, бусад хуульд хэрэглэсэн нэр томьёог хэрэглэж уг хуулийн төслийг боловсруулсан болно.</w:t>
      </w:r>
    </w:p>
    <w:p w14:paraId="7CCDC6E1" w14:textId="77777777" w:rsidR="009D613D" w:rsidRPr="009D613D" w:rsidRDefault="009D613D" w:rsidP="009D613D">
      <w:pPr>
        <w:pStyle w:val="Bodytext20"/>
        <w:shd w:val="clear" w:color="auto" w:fill="auto"/>
        <w:spacing w:after="0" w:line="240" w:lineRule="auto"/>
        <w:ind w:right="-34"/>
        <w:rPr>
          <w:noProof/>
          <w:lang w:val="mn-MN"/>
        </w:rPr>
      </w:pPr>
    </w:p>
    <w:p w14:paraId="7D53ADBB" w14:textId="77777777" w:rsidR="009D613D" w:rsidRPr="009D613D" w:rsidRDefault="009D613D" w:rsidP="009D613D">
      <w:pPr>
        <w:pStyle w:val="Bodytext20"/>
        <w:shd w:val="clear" w:color="auto" w:fill="auto"/>
        <w:spacing w:after="0" w:line="240" w:lineRule="auto"/>
        <w:ind w:right="-34"/>
        <w:rPr>
          <w:noProof/>
          <w:lang w:val="mn-MN"/>
        </w:rPr>
      </w:pPr>
    </w:p>
    <w:p w14:paraId="0E3CD2DA" w14:textId="77777777" w:rsidR="009D613D" w:rsidRPr="00CF31A4" w:rsidRDefault="009D613D" w:rsidP="009D613D">
      <w:pPr>
        <w:pStyle w:val="Bodytext20"/>
        <w:shd w:val="clear" w:color="auto" w:fill="auto"/>
        <w:spacing w:after="0" w:line="240" w:lineRule="auto"/>
        <w:ind w:right="-34" w:firstLine="754"/>
        <w:jc w:val="center"/>
        <w:rPr>
          <w:noProof/>
        </w:rPr>
      </w:pPr>
      <w:r w:rsidRPr="00CF31A4">
        <w:rPr>
          <w:noProof/>
        </w:rPr>
        <w:t>ХУУЛЬ САНААЧЛАГЧ</w:t>
      </w:r>
    </w:p>
    <w:p w14:paraId="4E71A8AC" w14:textId="77777777" w:rsidR="009D613D" w:rsidRPr="00CF31A4" w:rsidRDefault="009D613D" w:rsidP="009D613D">
      <w:pPr>
        <w:pStyle w:val="Bodytext20"/>
        <w:shd w:val="clear" w:color="auto" w:fill="auto"/>
        <w:spacing w:after="0" w:line="240" w:lineRule="auto"/>
        <w:ind w:right="-34" w:firstLine="754"/>
        <w:jc w:val="center"/>
        <w:rPr>
          <w:noProof/>
        </w:rPr>
      </w:pPr>
    </w:p>
    <w:p w14:paraId="7960A027" w14:textId="77777777" w:rsidR="009D613D" w:rsidRPr="00CF31A4" w:rsidRDefault="009D613D" w:rsidP="009D613D">
      <w:pPr>
        <w:pStyle w:val="Bodytext20"/>
        <w:shd w:val="clear" w:color="auto" w:fill="auto"/>
        <w:spacing w:after="0" w:line="240" w:lineRule="auto"/>
        <w:ind w:right="-34" w:firstLine="754"/>
        <w:jc w:val="center"/>
        <w:rPr>
          <w:noProof/>
        </w:rPr>
      </w:pPr>
      <w:r w:rsidRPr="00CF31A4">
        <w:rPr>
          <w:noProof/>
        </w:rPr>
        <w:t>--оОо—</w:t>
      </w:r>
    </w:p>
    <w:p w14:paraId="7179D3FB" w14:textId="77777777" w:rsidR="00DB4940" w:rsidRPr="009D613D" w:rsidRDefault="00DB4940" w:rsidP="009D613D"/>
    <w:sectPr w:rsidR="00DB4940" w:rsidRPr="009D613D" w:rsidSect="00CB4B54">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A7E"/>
    <w:rsid w:val="002D3237"/>
    <w:rsid w:val="00653794"/>
    <w:rsid w:val="00671A7E"/>
    <w:rsid w:val="0077189D"/>
    <w:rsid w:val="009D613D"/>
    <w:rsid w:val="00CB4B54"/>
    <w:rsid w:val="00DB4940"/>
  </w:rsids>
  <m:mathPr>
    <m:mathFont m:val="Cambria Math"/>
    <m:brkBin m:val="before"/>
    <m:brkBinSub m:val="--"/>
    <m:smallFrac m:val="0"/>
    <m:dispDef/>
    <m:lMargin m:val="0"/>
    <m:rMargin m:val="0"/>
    <m:defJc m:val="centerGroup"/>
    <m:wrapIndent m:val="1440"/>
    <m:intLim m:val="subSup"/>
    <m:naryLim m:val="undOvr"/>
  </m:mathPr>
  <w:themeFontLang w:val="en-US" w:eastAsia="ja-JP"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54A09"/>
  <w15:chartTrackingRefBased/>
  <w15:docId w15:val="{4B75C4E8-C7C4-4D6C-BC01-F42EF8FF2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4"/>
        <w:szCs w:val="24"/>
        <w:lang w:val="en-US" w:eastAsia="ja-JP" w:bidi="mn-Mong-MN"/>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A7E"/>
    <w:pPr>
      <w:widowControl w:val="0"/>
      <w:spacing w:after="0" w:line="240" w:lineRule="auto"/>
    </w:pPr>
    <w:rPr>
      <w:rFonts w:ascii="Courier New" w:eastAsia="Courier New" w:hAnsi="Courier New" w:cs="Courier New"/>
      <w:color w:val="000000"/>
      <w:lang w:val="mn-MN" w:eastAsia="mn-MN" w:bidi="mn-MN"/>
    </w:rPr>
  </w:style>
  <w:style w:type="paragraph" w:styleId="Heading1">
    <w:name w:val="heading 1"/>
    <w:basedOn w:val="Normal"/>
    <w:next w:val="Normal"/>
    <w:link w:val="Heading1Char"/>
    <w:uiPriority w:val="9"/>
    <w:qFormat/>
    <w:rsid w:val="00671A7E"/>
    <w:pPr>
      <w:keepNext/>
      <w:keepLines/>
      <w:widowControl/>
      <w:spacing w:before="360" w:after="80" w:line="278" w:lineRule="auto"/>
      <w:outlineLvl w:val="0"/>
    </w:pPr>
    <w:rPr>
      <w:rFonts w:asciiTheme="majorHAnsi" w:eastAsiaTheme="majorEastAsia" w:hAnsiTheme="majorHAnsi" w:cstheme="majorBidi"/>
      <w:color w:val="2F5496" w:themeColor="accent1" w:themeShade="BF"/>
      <w:sz w:val="40"/>
      <w:szCs w:val="50"/>
      <w:lang w:val="en-US" w:eastAsia="ja-JP" w:bidi="mn-Mong-MN"/>
    </w:rPr>
  </w:style>
  <w:style w:type="paragraph" w:styleId="Heading2">
    <w:name w:val="heading 2"/>
    <w:basedOn w:val="Normal"/>
    <w:next w:val="Normal"/>
    <w:link w:val="Heading2Char"/>
    <w:uiPriority w:val="9"/>
    <w:semiHidden/>
    <w:unhideWhenUsed/>
    <w:qFormat/>
    <w:rsid w:val="00671A7E"/>
    <w:pPr>
      <w:keepNext/>
      <w:keepLines/>
      <w:widowControl/>
      <w:spacing w:before="160" w:after="80" w:line="278" w:lineRule="auto"/>
      <w:outlineLvl w:val="1"/>
    </w:pPr>
    <w:rPr>
      <w:rFonts w:asciiTheme="majorHAnsi" w:eastAsiaTheme="majorEastAsia" w:hAnsiTheme="majorHAnsi" w:cstheme="majorBidi"/>
      <w:color w:val="2F5496" w:themeColor="accent1" w:themeShade="BF"/>
      <w:sz w:val="32"/>
      <w:szCs w:val="40"/>
      <w:lang w:val="en-US" w:eastAsia="ja-JP" w:bidi="mn-Mong-MN"/>
    </w:rPr>
  </w:style>
  <w:style w:type="paragraph" w:styleId="Heading3">
    <w:name w:val="heading 3"/>
    <w:basedOn w:val="Normal"/>
    <w:next w:val="Normal"/>
    <w:link w:val="Heading3Char"/>
    <w:uiPriority w:val="9"/>
    <w:semiHidden/>
    <w:unhideWhenUsed/>
    <w:qFormat/>
    <w:rsid w:val="00671A7E"/>
    <w:pPr>
      <w:keepNext/>
      <w:keepLines/>
      <w:widowControl/>
      <w:spacing w:before="160" w:after="80" w:line="278" w:lineRule="auto"/>
      <w:outlineLvl w:val="2"/>
    </w:pPr>
    <w:rPr>
      <w:rFonts w:asciiTheme="minorHAnsi" w:eastAsiaTheme="majorEastAsia" w:hAnsiTheme="minorHAnsi" w:cstheme="majorBidi"/>
      <w:color w:val="2F5496" w:themeColor="accent1" w:themeShade="BF"/>
      <w:sz w:val="28"/>
      <w:szCs w:val="35"/>
      <w:lang w:val="en-US" w:eastAsia="ja-JP" w:bidi="mn-Mong-MN"/>
    </w:rPr>
  </w:style>
  <w:style w:type="paragraph" w:styleId="Heading4">
    <w:name w:val="heading 4"/>
    <w:basedOn w:val="Normal"/>
    <w:next w:val="Normal"/>
    <w:link w:val="Heading4Char"/>
    <w:uiPriority w:val="9"/>
    <w:semiHidden/>
    <w:unhideWhenUsed/>
    <w:qFormat/>
    <w:rsid w:val="00671A7E"/>
    <w:pPr>
      <w:keepNext/>
      <w:keepLines/>
      <w:widowControl/>
      <w:spacing w:before="80" w:after="40" w:line="278" w:lineRule="auto"/>
      <w:outlineLvl w:val="3"/>
    </w:pPr>
    <w:rPr>
      <w:rFonts w:asciiTheme="minorHAnsi" w:eastAsiaTheme="majorEastAsia" w:hAnsiTheme="minorHAnsi" w:cstheme="majorBidi"/>
      <w:i/>
      <w:iCs/>
      <w:color w:val="2F5496" w:themeColor="accent1" w:themeShade="BF"/>
      <w:szCs w:val="30"/>
      <w:lang w:val="en-US" w:eastAsia="ja-JP" w:bidi="mn-Mong-MN"/>
    </w:rPr>
  </w:style>
  <w:style w:type="paragraph" w:styleId="Heading5">
    <w:name w:val="heading 5"/>
    <w:basedOn w:val="Normal"/>
    <w:next w:val="Normal"/>
    <w:link w:val="Heading5Char"/>
    <w:uiPriority w:val="9"/>
    <w:semiHidden/>
    <w:unhideWhenUsed/>
    <w:qFormat/>
    <w:rsid w:val="00671A7E"/>
    <w:pPr>
      <w:keepNext/>
      <w:keepLines/>
      <w:widowControl/>
      <w:spacing w:before="80" w:after="40" w:line="278" w:lineRule="auto"/>
      <w:outlineLvl w:val="4"/>
    </w:pPr>
    <w:rPr>
      <w:rFonts w:asciiTheme="minorHAnsi" w:eastAsiaTheme="majorEastAsia" w:hAnsiTheme="minorHAnsi" w:cstheme="majorBidi"/>
      <w:color w:val="2F5496" w:themeColor="accent1" w:themeShade="BF"/>
      <w:szCs w:val="30"/>
      <w:lang w:val="en-US" w:eastAsia="ja-JP" w:bidi="mn-Mong-MN"/>
    </w:rPr>
  </w:style>
  <w:style w:type="paragraph" w:styleId="Heading6">
    <w:name w:val="heading 6"/>
    <w:basedOn w:val="Normal"/>
    <w:next w:val="Normal"/>
    <w:link w:val="Heading6Char"/>
    <w:uiPriority w:val="9"/>
    <w:semiHidden/>
    <w:unhideWhenUsed/>
    <w:qFormat/>
    <w:rsid w:val="00671A7E"/>
    <w:pPr>
      <w:keepNext/>
      <w:keepLines/>
      <w:widowControl/>
      <w:spacing w:before="40" w:line="278" w:lineRule="auto"/>
      <w:outlineLvl w:val="5"/>
    </w:pPr>
    <w:rPr>
      <w:rFonts w:asciiTheme="minorHAnsi" w:eastAsiaTheme="majorEastAsia" w:hAnsiTheme="minorHAnsi" w:cstheme="majorBidi"/>
      <w:i/>
      <w:iCs/>
      <w:color w:val="595959" w:themeColor="text1" w:themeTint="A6"/>
      <w:szCs w:val="30"/>
      <w:lang w:val="en-US" w:eastAsia="ja-JP" w:bidi="mn-Mong-MN"/>
    </w:rPr>
  </w:style>
  <w:style w:type="paragraph" w:styleId="Heading7">
    <w:name w:val="heading 7"/>
    <w:basedOn w:val="Normal"/>
    <w:next w:val="Normal"/>
    <w:link w:val="Heading7Char"/>
    <w:uiPriority w:val="9"/>
    <w:semiHidden/>
    <w:unhideWhenUsed/>
    <w:qFormat/>
    <w:rsid w:val="00671A7E"/>
    <w:pPr>
      <w:keepNext/>
      <w:keepLines/>
      <w:widowControl/>
      <w:spacing w:before="40" w:line="278" w:lineRule="auto"/>
      <w:outlineLvl w:val="6"/>
    </w:pPr>
    <w:rPr>
      <w:rFonts w:asciiTheme="minorHAnsi" w:eastAsiaTheme="majorEastAsia" w:hAnsiTheme="minorHAnsi" w:cstheme="majorBidi"/>
      <w:color w:val="595959" w:themeColor="text1" w:themeTint="A6"/>
      <w:szCs w:val="30"/>
      <w:lang w:val="en-US" w:eastAsia="ja-JP" w:bidi="mn-Mong-MN"/>
    </w:rPr>
  </w:style>
  <w:style w:type="paragraph" w:styleId="Heading8">
    <w:name w:val="heading 8"/>
    <w:basedOn w:val="Normal"/>
    <w:next w:val="Normal"/>
    <w:link w:val="Heading8Char"/>
    <w:uiPriority w:val="9"/>
    <w:semiHidden/>
    <w:unhideWhenUsed/>
    <w:qFormat/>
    <w:rsid w:val="00671A7E"/>
    <w:pPr>
      <w:keepNext/>
      <w:keepLines/>
      <w:widowControl/>
      <w:spacing w:line="278" w:lineRule="auto"/>
      <w:outlineLvl w:val="7"/>
    </w:pPr>
    <w:rPr>
      <w:rFonts w:asciiTheme="minorHAnsi" w:eastAsiaTheme="majorEastAsia" w:hAnsiTheme="minorHAnsi" w:cstheme="majorBidi"/>
      <w:i/>
      <w:iCs/>
      <w:color w:val="272727" w:themeColor="text1" w:themeTint="D8"/>
      <w:szCs w:val="30"/>
      <w:lang w:val="en-US" w:eastAsia="ja-JP" w:bidi="mn-Mong-MN"/>
    </w:rPr>
  </w:style>
  <w:style w:type="paragraph" w:styleId="Heading9">
    <w:name w:val="heading 9"/>
    <w:basedOn w:val="Normal"/>
    <w:next w:val="Normal"/>
    <w:link w:val="Heading9Char"/>
    <w:uiPriority w:val="9"/>
    <w:semiHidden/>
    <w:unhideWhenUsed/>
    <w:qFormat/>
    <w:rsid w:val="00671A7E"/>
    <w:pPr>
      <w:keepNext/>
      <w:keepLines/>
      <w:widowControl/>
      <w:spacing w:line="278" w:lineRule="auto"/>
      <w:outlineLvl w:val="8"/>
    </w:pPr>
    <w:rPr>
      <w:rFonts w:asciiTheme="minorHAnsi" w:eastAsiaTheme="majorEastAsia" w:hAnsiTheme="minorHAnsi" w:cstheme="majorBidi"/>
      <w:color w:val="272727" w:themeColor="text1" w:themeTint="D8"/>
      <w:szCs w:val="30"/>
      <w:lang w:val="en-US" w:eastAsia="ja-JP" w:bidi="mn-Mong-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A7E"/>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671A7E"/>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671A7E"/>
    <w:rPr>
      <w:rFonts w:asciiTheme="minorHAnsi" w:eastAsiaTheme="majorEastAsia" w:hAnsiTheme="minorHAnsi"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671A7E"/>
    <w:rPr>
      <w:rFonts w:asciiTheme="minorHAnsi" w:eastAsiaTheme="majorEastAsia" w:hAnsiTheme="minorHAnsi" w:cstheme="majorBidi"/>
      <w:i/>
      <w:iCs/>
      <w:color w:val="2F5496" w:themeColor="accent1" w:themeShade="BF"/>
      <w:szCs w:val="30"/>
    </w:rPr>
  </w:style>
  <w:style w:type="character" w:customStyle="1" w:styleId="Heading5Char">
    <w:name w:val="Heading 5 Char"/>
    <w:basedOn w:val="DefaultParagraphFont"/>
    <w:link w:val="Heading5"/>
    <w:uiPriority w:val="9"/>
    <w:semiHidden/>
    <w:rsid w:val="00671A7E"/>
    <w:rPr>
      <w:rFonts w:asciiTheme="minorHAnsi" w:eastAsiaTheme="majorEastAsia" w:hAnsiTheme="minorHAnsi" w:cstheme="majorBidi"/>
      <w:color w:val="2F5496" w:themeColor="accent1" w:themeShade="BF"/>
      <w:szCs w:val="30"/>
    </w:rPr>
  </w:style>
  <w:style w:type="character" w:customStyle="1" w:styleId="Heading6Char">
    <w:name w:val="Heading 6 Char"/>
    <w:basedOn w:val="DefaultParagraphFont"/>
    <w:link w:val="Heading6"/>
    <w:uiPriority w:val="9"/>
    <w:semiHidden/>
    <w:rsid w:val="00671A7E"/>
    <w:rPr>
      <w:rFonts w:asciiTheme="minorHAnsi" w:eastAsiaTheme="majorEastAsia" w:hAnsiTheme="minorHAnsi" w:cstheme="majorBidi"/>
      <w:i/>
      <w:iCs/>
      <w:color w:val="595959" w:themeColor="text1" w:themeTint="A6"/>
      <w:szCs w:val="30"/>
    </w:rPr>
  </w:style>
  <w:style w:type="character" w:customStyle="1" w:styleId="Heading7Char">
    <w:name w:val="Heading 7 Char"/>
    <w:basedOn w:val="DefaultParagraphFont"/>
    <w:link w:val="Heading7"/>
    <w:uiPriority w:val="9"/>
    <w:semiHidden/>
    <w:rsid w:val="00671A7E"/>
    <w:rPr>
      <w:rFonts w:asciiTheme="minorHAnsi" w:eastAsiaTheme="majorEastAsia" w:hAnsiTheme="minorHAnsi" w:cstheme="majorBidi"/>
      <w:color w:val="595959" w:themeColor="text1" w:themeTint="A6"/>
      <w:szCs w:val="30"/>
    </w:rPr>
  </w:style>
  <w:style w:type="character" w:customStyle="1" w:styleId="Heading8Char">
    <w:name w:val="Heading 8 Char"/>
    <w:basedOn w:val="DefaultParagraphFont"/>
    <w:link w:val="Heading8"/>
    <w:uiPriority w:val="9"/>
    <w:semiHidden/>
    <w:rsid w:val="00671A7E"/>
    <w:rPr>
      <w:rFonts w:asciiTheme="minorHAnsi" w:eastAsiaTheme="majorEastAsia" w:hAnsiTheme="minorHAnsi" w:cstheme="majorBidi"/>
      <w:i/>
      <w:iCs/>
      <w:color w:val="272727" w:themeColor="text1" w:themeTint="D8"/>
      <w:szCs w:val="30"/>
    </w:rPr>
  </w:style>
  <w:style w:type="character" w:customStyle="1" w:styleId="Heading9Char">
    <w:name w:val="Heading 9 Char"/>
    <w:basedOn w:val="DefaultParagraphFont"/>
    <w:link w:val="Heading9"/>
    <w:uiPriority w:val="9"/>
    <w:semiHidden/>
    <w:rsid w:val="00671A7E"/>
    <w:rPr>
      <w:rFonts w:asciiTheme="minorHAnsi" w:eastAsiaTheme="majorEastAsia" w:hAnsiTheme="minorHAnsi" w:cstheme="majorBidi"/>
      <w:color w:val="272727" w:themeColor="text1" w:themeTint="D8"/>
      <w:szCs w:val="30"/>
    </w:rPr>
  </w:style>
  <w:style w:type="paragraph" w:styleId="Title">
    <w:name w:val="Title"/>
    <w:basedOn w:val="Normal"/>
    <w:next w:val="Normal"/>
    <w:link w:val="TitleChar"/>
    <w:uiPriority w:val="10"/>
    <w:qFormat/>
    <w:rsid w:val="00671A7E"/>
    <w:pPr>
      <w:widowControl/>
      <w:spacing w:after="80"/>
      <w:contextualSpacing/>
    </w:pPr>
    <w:rPr>
      <w:rFonts w:asciiTheme="majorHAnsi" w:eastAsiaTheme="majorEastAsia" w:hAnsiTheme="majorHAnsi" w:cstheme="majorBidi"/>
      <w:color w:val="auto"/>
      <w:spacing w:val="-10"/>
      <w:kern w:val="28"/>
      <w:sz w:val="56"/>
      <w:szCs w:val="71"/>
      <w:lang w:val="en-US" w:eastAsia="ja-JP" w:bidi="mn-Mong-MN"/>
    </w:rPr>
  </w:style>
  <w:style w:type="character" w:customStyle="1" w:styleId="TitleChar">
    <w:name w:val="Title Char"/>
    <w:basedOn w:val="DefaultParagraphFont"/>
    <w:link w:val="Title"/>
    <w:uiPriority w:val="10"/>
    <w:rsid w:val="00671A7E"/>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71A7E"/>
    <w:pPr>
      <w:widowControl/>
      <w:numPr>
        <w:ilvl w:val="1"/>
      </w:numPr>
      <w:spacing w:after="160" w:line="278" w:lineRule="auto"/>
    </w:pPr>
    <w:rPr>
      <w:rFonts w:asciiTheme="minorHAnsi" w:eastAsiaTheme="majorEastAsia" w:hAnsiTheme="minorHAnsi" w:cstheme="majorBidi"/>
      <w:color w:val="595959" w:themeColor="text1" w:themeTint="A6"/>
      <w:spacing w:val="15"/>
      <w:sz w:val="28"/>
      <w:szCs w:val="35"/>
      <w:lang w:val="en-US" w:eastAsia="ja-JP" w:bidi="mn-Mong-MN"/>
    </w:rPr>
  </w:style>
  <w:style w:type="character" w:customStyle="1" w:styleId="SubtitleChar">
    <w:name w:val="Subtitle Char"/>
    <w:basedOn w:val="DefaultParagraphFont"/>
    <w:link w:val="Subtitle"/>
    <w:uiPriority w:val="11"/>
    <w:rsid w:val="00671A7E"/>
    <w:rPr>
      <w:rFonts w:asciiTheme="minorHAnsi" w:eastAsiaTheme="majorEastAsia" w:hAnsiTheme="minorHAnsi" w:cstheme="majorBidi"/>
      <w:color w:val="595959" w:themeColor="text1" w:themeTint="A6"/>
      <w:spacing w:val="15"/>
      <w:sz w:val="28"/>
      <w:szCs w:val="35"/>
    </w:rPr>
  </w:style>
  <w:style w:type="paragraph" w:styleId="Quote">
    <w:name w:val="Quote"/>
    <w:basedOn w:val="Normal"/>
    <w:next w:val="Normal"/>
    <w:link w:val="QuoteChar"/>
    <w:uiPriority w:val="29"/>
    <w:qFormat/>
    <w:rsid w:val="00671A7E"/>
    <w:pPr>
      <w:widowControl/>
      <w:spacing w:before="160" w:after="160" w:line="278" w:lineRule="auto"/>
      <w:jc w:val="center"/>
    </w:pPr>
    <w:rPr>
      <w:rFonts w:ascii="Arial" w:eastAsiaTheme="minorEastAsia" w:hAnsi="Arial" w:cs="Arial"/>
      <w:i/>
      <w:iCs/>
      <w:color w:val="404040" w:themeColor="text1" w:themeTint="BF"/>
      <w:szCs w:val="30"/>
      <w:lang w:val="en-US" w:eastAsia="ja-JP" w:bidi="mn-Mong-MN"/>
    </w:rPr>
  </w:style>
  <w:style w:type="character" w:customStyle="1" w:styleId="QuoteChar">
    <w:name w:val="Quote Char"/>
    <w:basedOn w:val="DefaultParagraphFont"/>
    <w:link w:val="Quote"/>
    <w:uiPriority w:val="29"/>
    <w:rsid w:val="00671A7E"/>
    <w:rPr>
      <w:i/>
      <w:iCs/>
      <w:color w:val="404040" w:themeColor="text1" w:themeTint="BF"/>
      <w:szCs w:val="30"/>
    </w:rPr>
  </w:style>
  <w:style w:type="paragraph" w:styleId="ListParagraph">
    <w:name w:val="List Paragraph"/>
    <w:basedOn w:val="Normal"/>
    <w:uiPriority w:val="34"/>
    <w:qFormat/>
    <w:rsid w:val="00671A7E"/>
    <w:pPr>
      <w:widowControl/>
      <w:spacing w:after="160" w:line="278" w:lineRule="auto"/>
      <w:ind w:left="720"/>
      <w:contextualSpacing/>
    </w:pPr>
    <w:rPr>
      <w:rFonts w:ascii="Arial" w:eastAsiaTheme="minorEastAsia" w:hAnsi="Arial" w:cs="Arial"/>
      <w:color w:val="auto"/>
      <w:szCs w:val="30"/>
      <w:lang w:val="en-US" w:eastAsia="ja-JP" w:bidi="mn-Mong-MN"/>
    </w:rPr>
  </w:style>
  <w:style w:type="character" w:styleId="IntenseEmphasis">
    <w:name w:val="Intense Emphasis"/>
    <w:basedOn w:val="DefaultParagraphFont"/>
    <w:uiPriority w:val="21"/>
    <w:qFormat/>
    <w:rsid w:val="00671A7E"/>
    <w:rPr>
      <w:i/>
      <w:iCs/>
      <w:color w:val="2F5496" w:themeColor="accent1" w:themeShade="BF"/>
    </w:rPr>
  </w:style>
  <w:style w:type="paragraph" w:styleId="IntenseQuote">
    <w:name w:val="Intense Quote"/>
    <w:basedOn w:val="Normal"/>
    <w:next w:val="Normal"/>
    <w:link w:val="IntenseQuoteChar"/>
    <w:uiPriority w:val="30"/>
    <w:qFormat/>
    <w:rsid w:val="00671A7E"/>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Arial" w:eastAsiaTheme="minorEastAsia" w:hAnsi="Arial" w:cs="Arial"/>
      <w:i/>
      <w:iCs/>
      <w:color w:val="2F5496" w:themeColor="accent1" w:themeShade="BF"/>
      <w:szCs w:val="30"/>
      <w:lang w:val="en-US" w:eastAsia="ja-JP" w:bidi="mn-Mong-MN"/>
    </w:rPr>
  </w:style>
  <w:style w:type="character" w:customStyle="1" w:styleId="IntenseQuoteChar">
    <w:name w:val="Intense Quote Char"/>
    <w:basedOn w:val="DefaultParagraphFont"/>
    <w:link w:val="IntenseQuote"/>
    <w:uiPriority w:val="30"/>
    <w:rsid w:val="00671A7E"/>
    <w:rPr>
      <w:i/>
      <w:iCs/>
      <w:color w:val="2F5496" w:themeColor="accent1" w:themeShade="BF"/>
      <w:szCs w:val="30"/>
    </w:rPr>
  </w:style>
  <w:style w:type="character" w:styleId="IntenseReference">
    <w:name w:val="Intense Reference"/>
    <w:basedOn w:val="DefaultParagraphFont"/>
    <w:uiPriority w:val="32"/>
    <w:qFormat/>
    <w:rsid w:val="00671A7E"/>
    <w:rPr>
      <w:b/>
      <w:bCs/>
      <w:smallCaps/>
      <w:color w:val="2F5496" w:themeColor="accent1" w:themeShade="BF"/>
      <w:spacing w:val="5"/>
    </w:rPr>
  </w:style>
  <w:style w:type="paragraph" w:styleId="NormalWeb">
    <w:name w:val="Normal (Web)"/>
    <w:basedOn w:val="Normal"/>
    <w:uiPriority w:val="99"/>
    <w:unhideWhenUsed/>
    <w:rsid w:val="00671A7E"/>
    <w:pPr>
      <w:widowControl/>
      <w:spacing w:before="100" w:beforeAutospacing="1" w:after="100" w:afterAutospacing="1"/>
    </w:pPr>
    <w:rPr>
      <w:rFonts w:ascii="Times New Roman" w:eastAsia="Times New Roman" w:hAnsi="Times New Roman" w:cs="Times New Roman"/>
      <w:color w:val="auto"/>
      <w:lang w:eastAsia="en-US" w:bidi="ar-SA"/>
    </w:rPr>
  </w:style>
  <w:style w:type="character" w:customStyle="1" w:styleId="apple-converted-space">
    <w:name w:val="apple-converted-space"/>
    <w:basedOn w:val="DefaultParagraphFont"/>
    <w:rsid w:val="00671A7E"/>
  </w:style>
  <w:style w:type="character" w:customStyle="1" w:styleId="Bodytext2">
    <w:name w:val="Body text (2)_"/>
    <w:basedOn w:val="DefaultParagraphFont"/>
    <w:link w:val="Bodytext20"/>
    <w:rsid w:val="00671A7E"/>
    <w:rPr>
      <w:rFonts w:eastAsia="Arial"/>
      <w:shd w:val="clear" w:color="auto" w:fill="FFFFFF"/>
    </w:rPr>
  </w:style>
  <w:style w:type="paragraph" w:customStyle="1" w:styleId="Bodytext20">
    <w:name w:val="Body text (2)"/>
    <w:basedOn w:val="Normal"/>
    <w:link w:val="Bodytext2"/>
    <w:rsid w:val="00671A7E"/>
    <w:pPr>
      <w:shd w:val="clear" w:color="auto" w:fill="FFFFFF"/>
      <w:spacing w:after="240" w:line="274" w:lineRule="exact"/>
      <w:jc w:val="both"/>
    </w:pPr>
    <w:rPr>
      <w:rFonts w:ascii="Arial" w:eastAsia="Arial" w:hAnsi="Arial" w:cs="Arial"/>
      <w:color w:val="auto"/>
      <w:lang w:val="en-US" w:eastAsia="ja-JP" w:bidi="mn-Mong-MN"/>
    </w:rPr>
  </w:style>
  <w:style w:type="table" w:styleId="TableGrid">
    <w:name w:val="Table Grid"/>
    <w:basedOn w:val="TableNormal"/>
    <w:uiPriority w:val="39"/>
    <w:rsid w:val="00671A7E"/>
    <w:pPr>
      <w:spacing w:after="0" w:line="240" w:lineRule="auto"/>
    </w:pPr>
    <w:rPr>
      <w:rFonts w:asciiTheme="minorHAnsi" w:eastAsiaTheme="minorHAnsi" w:hAnsiTheme="minorHAnsi" w:cstheme="minorBidi"/>
      <w:kern w:val="2"/>
      <w:lang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5435</Characters>
  <Application>Microsoft Office Word</Application>
  <DocSecurity>0</DocSecurity>
  <Lines>45</Lines>
  <Paragraphs>12</Paragraphs>
  <ScaleCrop>false</ScaleCrop>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Амармэнд Амартүвшин</dc:creator>
  <cp:keywords/>
  <dc:description/>
  <cp:lastModifiedBy>Амармэнд Амартүвшин</cp:lastModifiedBy>
  <cp:revision>2</cp:revision>
  <dcterms:created xsi:type="dcterms:W3CDTF">2026-03-19T04:35:00Z</dcterms:created>
  <dcterms:modified xsi:type="dcterms:W3CDTF">2026-03-19T06:04:00Z</dcterms:modified>
</cp:coreProperties>
</file>