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74" w:rsidRPr="00366D74" w:rsidRDefault="00366D74" w:rsidP="00366D74">
      <w:pPr>
        <w:spacing w:after="0" w:line="276" w:lineRule="auto"/>
        <w:ind w:firstLine="720"/>
        <w:jc w:val="center"/>
        <w:rPr>
          <w:rFonts w:ascii="Arial" w:hAnsi="Arial" w:cs="Arial"/>
          <w:b/>
          <w:bCs/>
          <w:szCs w:val="24"/>
          <w:lang w:val="mn-MN"/>
        </w:rPr>
      </w:pPr>
      <w:bookmarkStart w:id="0" w:name="_GoBack"/>
      <w:bookmarkEnd w:id="0"/>
      <w:r w:rsidRPr="00366D74">
        <w:rPr>
          <w:rFonts w:ascii="Arial" w:eastAsia="Times New Roman" w:hAnsi="Arial" w:cs="Arial"/>
          <w:b/>
          <w:bCs/>
          <w:lang w:val="mn-MN"/>
        </w:rPr>
        <w:t xml:space="preserve">Аж ахуйн нэгжийн орлогын албан татварын тухай хуульд нэмэлт оруулах тухай хуулийн </w:t>
      </w:r>
      <w:r w:rsidRPr="00366D74">
        <w:rPr>
          <w:rFonts w:ascii="Arial" w:hAnsi="Arial" w:cs="Arial"/>
          <w:b/>
          <w:bCs/>
          <w:szCs w:val="24"/>
          <w:lang w:val="mn-MN"/>
        </w:rPr>
        <w:t>төсөлд ирүүлсэн саналын товчоо</w:t>
      </w:r>
    </w:p>
    <w:p w:rsidR="00366D74" w:rsidRPr="00AC45E1" w:rsidRDefault="00366D74" w:rsidP="00366D74">
      <w:pPr>
        <w:spacing w:after="0" w:line="276" w:lineRule="auto"/>
        <w:ind w:firstLine="720"/>
        <w:jc w:val="center"/>
        <w:rPr>
          <w:rFonts w:ascii="Arial" w:hAnsi="Arial" w:cs="Arial"/>
          <w:b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544"/>
        <w:gridCol w:w="3401"/>
      </w:tblGrid>
      <w:tr w:rsidR="00366D74" w:rsidTr="004B0657">
        <w:tc>
          <w:tcPr>
            <w:tcW w:w="421" w:type="dxa"/>
          </w:tcPr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984" w:type="dxa"/>
          </w:tcPr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Байгууллага, албан бичиг, огноо</w:t>
            </w:r>
          </w:p>
        </w:tc>
        <w:tc>
          <w:tcPr>
            <w:tcW w:w="3544" w:type="dxa"/>
          </w:tcPr>
          <w:p w:rsidR="00366D74" w:rsidRDefault="00366D74" w:rsidP="004B0657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  <w:p w:rsidR="00366D74" w:rsidRDefault="00366D74" w:rsidP="004B0657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Санал</w:t>
            </w:r>
          </w:p>
        </w:tc>
        <w:tc>
          <w:tcPr>
            <w:tcW w:w="3401" w:type="dxa"/>
          </w:tcPr>
          <w:p w:rsidR="00366D74" w:rsidRDefault="00366D74" w:rsidP="004B0657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  <w:p w:rsidR="00366D74" w:rsidRDefault="00366D74" w:rsidP="004B0657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Саналыг тусгасан байдал</w:t>
            </w:r>
          </w:p>
        </w:tc>
      </w:tr>
      <w:tr w:rsidR="00366D74" w:rsidTr="004B0657">
        <w:trPr>
          <w:trHeight w:val="5843"/>
        </w:trPr>
        <w:tc>
          <w:tcPr>
            <w:tcW w:w="421" w:type="dxa"/>
          </w:tcPr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1984" w:type="dxa"/>
          </w:tcPr>
          <w:p w:rsidR="00366D74" w:rsidRDefault="00366D74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 w:rsidRPr="00425C29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Монгол Улсын Засгийн газ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ар</w:t>
            </w:r>
          </w:p>
          <w:p w:rsidR="00411763" w:rsidRDefault="00411763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2025.12.10</w:t>
            </w:r>
          </w:p>
          <w:p w:rsidR="00411763" w:rsidRPr="00411763" w:rsidRDefault="00411763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ХЭГ</w:t>
            </w:r>
            <w:r>
              <w:rPr>
                <w:rFonts w:ascii="Arial" w:eastAsia="Times New Roman" w:hAnsi="Arial" w:cs="Arial"/>
                <w:kern w:val="0"/>
                <w:szCs w:val="24"/>
              </w:rPr>
              <w:t>/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3473</w:t>
            </w:r>
          </w:p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3544" w:type="dxa"/>
          </w:tcPr>
          <w:p w:rsidR="00366D74" w:rsidRDefault="00366D74" w:rsidP="004B0657">
            <w:pPr>
              <w:jc w:val="both"/>
              <w:rPr>
                <w:rFonts w:ascii="Arial" w:hAnsi="Arial" w:cs="Arial"/>
                <w:color w:val="333333"/>
                <w:szCs w:val="24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color w:val="333333"/>
                <w:szCs w:val="24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color w:val="333333"/>
                <w:szCs w:val="24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color w:val="333333"/>
                <w:szCs w:val="24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color w:val="333333"/>
                <w:szCs w:val="24"/>
                <w:lang w:val="mn-MN"/>
              </w:rPr>
            </w:pPr>
          </w:p>
          <w:p w:rsidR="00366D74" w:rsidRPr="00AC45E1" w:rsidRDefault="00366D74" w:rsidP="004B0657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3401" w:type="dxa"/>
          </w:tcPr>
          <w:p w:rsidR="00875E07" w:rsidRDefault="00366D74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202</w:t>
            </w:r>
            <w:r w:rsidR="00411763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5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.</w:t>
            </w:r>
            <w:r w:rsidR="00411763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09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.2</w:t>
            </w:r>
            <w:r w:rsidR="00411763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4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-н</w:t>
            </w:r>
            <w:r w:rsidR="00411763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ий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 өдөр </w:t>
            </w:r>
            <w:r w:rsidRPr="00425C29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УИХ-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дугаартай албан бичгээр санал авахаар хүргүүлсэн.</w:t>
            </w:r>
          </w:p>
          <w:p w:rsidR="00875E07" w:rsidRDefault="00875E07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</w:p>
          <w:p w:rsidR="00875E07" w:rsidRDefault="00875E07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1.Аж ахуйн нэгжийн орлогын албан татварын тухай хууль, Нэмэгдсэн өртгийн албан татварын тухай хууль,</w:t>
            </w:r>
            <w:r w:rsidR="009A5BC4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Гаалийн тариф, гаалийн албан татварын тухай хууль, 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 Засгийн газрын тусгай сангийн тухай хууль дахь спортыг дэмжих сан нь зөвхөн үндэсний спорт, олимпын, паралимпын төрөл,бие бялдрын спортын дэмжих зохицуулалттай /оюуны спортыг бус/  талаар хуулийн төслийн үзэл баримтлалд тодорхой тусгасан. Иймээс хуулийн дагуу бүрдүүлдэг Үндэсний шигшээ багийн төрлөөр дамжуулан хуулийн үйлчлэлд хамааруулах боломжтой гэж үзэн  хуулийн төсөл боловсруулсан. </w:t>
            </w:r>
          </w:p>
          <w:p w:rsidR="00875E07" w:rsidRDefault="00875E07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2.Саналыг хүлээн авч Хувь хүний орлогын албан татварын тухай хуулийн төслийг хассан.</w:t>
            </w:r>
          </w:p>
          <w:p w:rsidR="00875E07" w:rsidRDefault="00875E07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lastRenderedPageBreak/>
              <w:t>3.</w:t>
            </w:r>
          </w:p>
          <w:p w:rsidR="00366D74" w:rsidRPr="00AC45E1" w:rsidRDefault="00875E07" w:rsidP="00875E0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4.</w:t>
            </w:r>
            <w:r w:rsidR="00366D74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Хуулийн төслийн үйлчлэх хугацааг тухайн жилийн төсвийн тухай хуулийн үйлчлэх хугацаанд нийцүүлэн өөрчлөх замаар шийдвэрлэх боломжтой. </w:t>
            </w:r>
          </w:p>
        </w:tc>
      </w:tr>
      <w:tr w:rsidR="00366D74" w:rsidTr="004B0657">
        <w:trPr>
          <w:trHeight w:val="3817"/>
        </w:trPr>
        <w:tc>
          <w:tcPr>
            <w:tcW w:w="421" w:type="dxa"/>
          </w:tcPr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1984" w:type="dxa"/>
          </w:tcPr>
          <w:p w:rsidR="00366D74" w:rsidRDefault="00366D74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Монголын үндэсний худалдаа аж үйлдвэрийн танхим</w:t>
            </w:r>
          </w:p>
          <w:p w:rsidR="00366D74" w:rsidRPr="00411763" w:rsidRDefault="00366D74" w:rsidP="004B0657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n-MN"/>
              </w:rPr>
              <w:t>202</w:t>
            </w:r>
            <w:r w:rsidR="00411763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  <w:lang w:val="mn-MN"/>
              </w:rPr>
              <w:t>.1</w:t>
            </w:r>
            <w:r w:rsidR="00411763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  <w:lang w:val="mn-MN"/>
              </w:rPr>
              <w:t>.</w:t>
            </w:r>
            <w:r w:rsidR="00411763">
              <w:rPr>
                <w:rFonts w:ascii="Arial" w:eastAsia="Times New Roman" w:hAnsi="Arial" w:cs="Arial"/>
              </w:rPr>
              <w:t>11</w:t>
            </w:r>
          </w:p>
          <w:p w:rsidR="00366D74" w:rsidRPr="00411763" w:rsidRDefault="00411763" w:rsidP="004B0657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01/1135</w:t>
            </w:r>
          </w:p>
          <w:p w:rsidR="00366D74" w:rsidRDefault="00366D74" w:rsidP="004B0657">
            <w:pPr>
              <w:jc w:val="both"/>
              <w:rPr>
                <w:rFonts w:ascii="Arial" w:eastAsia="Times New Roman" w:hAnsi="Arial" w:cs="Arial"/>
                <w:lang w:val="mn-MN"/>
              </w:rPr>
            </w:pPr>
          </w:p>
          <w:p w:rsidR="00366D74" w:rsidRDefault="00366D74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3544" w:type="dxa"/>
          </w:tcPr>
          <w:p w:rsidR="00411763" w:rsidRDefault="00411763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</w:p>
          <w:p w:rsidR="00366D74" w:rsidRDefault="00411763" w:rsidP="004B0657">
            <w:pPr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“Аж ахуйн нэгжийн орлогын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mn-MN"/>
              </w:rPr>
              <w:t xml:space="preserve">албан татварын тухай хууль”-д нэмэлт оруулах тухай хуулийн </w:t>
            </w:r>
            <w:r w:rsidR="00366D74" w:rsidRPr="00425C29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төс</w:t>
            </w: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өлтэй танилцлаа. Монголын үндэсний худалдаа, аж үйлдвэрийн танхимын зүгээс хуулийн төсөлд саналгүй болно. </w:t>
            </w:r>
            <w:r w:rsidR="00366D74"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 xml:space="preserve"> </w:t>
            </w:r>
          </w:p>
        </w:tc>
        <w:tc>
          <w:tcPr>
            <w:tcW w:w="3401" w:type="dxa"/>
          </w:tcPr>
          <w:p w:rsidR="00366D74" w:rsidRDefault="00366D74" w:rsidP="004B0657">
            <w:pPr>
              <w:jc w:val="center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</w:p>
          <w:p w:rsidR="00366D74" w:rsidRDefault="00366D74" w:rsidP="004B0657">
            <w:pPr>
              <w:jc w:val="center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</w:p>
          <w:p w:rsidR="00366D74" w:rsidRDefault="00366D74" w:rsidP="004B0657">
            <w:pPr>
              <w:jc w:val="center"/>
              <w:rPr>
                <w:rFonts w:ascii="Arial" w:eastAsia="Times New Roman" w:hAnsi="Arial" w:cs="Arial"/>
                <w:kern w:val="0"/>
                <w:szCs w:val="24"/>
                <w:lang w:val="mn-MN"/>
              </w:rPr>
            </w:pPr>
          </w:p>
          <w:p w:rsidR="00366D74" w:rsidRDefault="00366D74" w:rsidP="004B0657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val="mn-MN"/>
              </w:rPr>
              <w:t>Дэмжсэн.</w:t>
            </w:r>
          </w:p>
        </w:tc>
      </w:tr>
    </w:tbl>
    <w:p w:rsidR="0082167C" w:rsidRDefault="0082167C"/>
    <w:sectPr w:rsidR="00821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74"/>
    <w:rsid w:val="00366D74"/>
    <w:rsid w:val="00411763"/>
    <w:rsid w:val="00507FD4"/>
    <w:rsid w:val="0082167C"/>
    <w:rsid w:val="00875E07"/>
    <w:rsid w:val="009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50724-F747-0D4C-B51D-C7375E0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74"/>
    <w:pPr>
      <w:spacing w:after="160" w:line="259" w:lineRule="auto"/>
    </w:pPr>
    <w:rPr>
      <w:rFonts w:ascii="Times New Roman" w:eastAsia="Calibri" w:hAnsi="Times New Roman" w:cs="Mongolian Baiti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</dc:creator>
  <cp:keywords/>
  <dc:description/>
  <cp:lastModifiedBy>Нарантунгалаг Төмөрхуяг</cp:lastModifiedBy>
  <cp:revision>2</cp:revision>
  <dcterms:created xsi:type="dcterms:W3CDTF">2026-03-04T02:44:00Z</dcterms:created>
  <dcterms:modified xsi:type="dcterms:W3CDTF">2026-03-04T02:44:00Z</dcterms:modified>
</cp:coreProperties>
</file>