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6F96" w:rsidRPr="00AA6B58" w:rsidRDefault="00D76F96" w:rsidP="00D76F96">
      <w:pPr>
        <w:pStyle w:val="Bodytext2"/>
        <w:shd w:val="clear" w:color="auto" w:fill="auto"/>
        <w:spacing w:after="120" w:line="276" w:lineRule="auto"/>
        <w:jc w:val="left"/>
        <w:rPr>
          <w:noProof/>
          <w:color w:val="auto"/>
          <w:sz w:val="24"/>
          <w:szCs w:val="24"/>
          <w:lang w:val="en-US"/>
        </w:rPr>
      </w:pPr>
    </w:p>
    <w:p w:rsidR="00D76F96" w:rsidRPr="00AA6B58" w:rsidRDefault="00D76F96" w:rsidP="00D76F96">
      <w:pPr>
        <w:shd w:val="clear" w:color="auto" w:fill="FFFFFF"/>
        <w:spacing w:after="0" w:line="240" w:lineRule="auto"/>
        <w:jc w:val="center"/>
        <w:rPr>
          <w:rFonts w:ascii="Arial" w:hAnsi="Arial" w:cs="Arial"/>
          <w:szCs w:val="24"/>
          <w:lang w:val="mn-MN"/>
        </w:rPr>
      </w:pPr>
    </w:p>
    <w:p w:rsidR="00D76F96" w:rsidRPr="00AA6B58" w:rsidRDefault="00D76F96" w:rsidP="00D76F96">
      <w:pPr>
        <w:spacing w:after="0" w:line="240" w:lineRule="auto"/>
        <w:jc w:val="center"/>
        <w:rPr>
          <w:rFonts w:ascii="Arial" w:hAnsi="Arial" w:cs="Arial"/>
          <w:b/>
          <w:szCs w:val="24"/>
          <w:lang w:val="mn-MN"/>
        </w:rPr>
      </w:pPr>
      <w:r w:rsidRPr="00AA6B58">
        <w:rPr>
          <w:rFonts w:ascii="Arial" w:hAnsi="Arial" w:cs="Arial"/>
          <w:b/>
          <w:szCs w:val="24"/>
          <w:lang w:val="mn-MN"/>
        </w:rPr>
        <w:t>ТӨРИЙН АЛБАНЫ ТУХАЙ ХУУЛЬД НЭМЭЛТ, ӨӨРЧЛӨЛТ ОРУУЛАХ</w:t>
      </w:r>
    </w:p>
    <w:p w:rsidR="00D76F96" w:rsidRPr="00AA6B58" w:rsidRDefault="00D76F96" w:rsidP="00D76F96">
      <w:pPr>
        <w:spacing w:after="0" w:line="240" w:lineRule="auto"/>
        <w:jc w:val="center"/>
        <w:rPr>
          <w:rFonts w:ascii="Arial" w:hAnsi="Arial" w:cs="Arial"/>
          <w:b/>
          <w:szCs w:val="24"/>
          <w:lang w:val="mn-MN"/>
        </w:rPr>
      </w:pPr>
      <w:r w:rsidRPr="00AA6B58">
        <w:rPr>
          <w:rFonts w:ascii="Arial" w:hAnsi="Arial" w:cs="Arial"/>
          <w:b/>
          <w:szCs w:val="24"/>
        </w:rPr>
        <w:t xml:space="preserve"> </w:t>
      </w:r>
      <w:r w:rsidRPr="00AA6B58">
        <w:rPr>
          <w:rFonts w:ascii="Arial" w:hAnsi="Arial" w:cs="Arial"/>
          <w:b/>
          <w:szCs w:val="24"/>
          <w:lang w:val="mn-MN"/>
        </w:rPr>
        <w:t xml:space="preserve">ТУХАЙ </w:t>
      </w:r>
      <w:r w:rsidRPr="00AA6B58">
        <w:rPr>
          <w:rFonts w:ascii="Arial" w:eastAsia="Times New Roman" w:hAnsi="Arial" w:cs="Arial"/>
          <w:b/>
          <w:bCs/>
          <w:szCs w:val="24"/>
        </w:rPr>
        <w:t>ХУУЛ</w:t>
      </w:r>
      <w:r w:rsidRPr="00AA6B58">
        <w:rPr>
          <w:rFonts w:ascii="Arial" w:eastAsia="Times New Roman" w:hAnsi="Arial" w:cs="Arial"/>
          <w:b/>
          <w:bCs/>
          <w:szCs w:val="24"/>
          <w:lang w:val="mn-MN"/>
        </w:rPr>
        <w:t>ИЙН</w:t>
      </w:r>
      <w:r w:rsidRPr="00AA6B58">
        <w:rPr>
          <w:rFonts w:ascii="Arial" w:eastAsia="Times New Roman" w:hAnsi="Arial" w:cs="Arial"/>
          <w:b/>
          <w:bCs/>
          <w:szCs w:val="24"/>
        </w:rPr>
        <w:t xml:space="preserve"> ТӨСЛИЙН ҮР НӨЛӨӨ</w:t>
      </w:r>
      <w:r w:rsidRPr="00AA6B58">
        <w:rPr>
          <w:rFonts w:ascii="Arial" w:eastAsia="Times New Roman" w:hAnsi="Arial" w:cs="Arial"/>
          <w:b/>
          <w:bCs/>
          <w:szCs w:val="24"/>
          <w:lang w:val="mn-MN"/>
        </w:rPr>
        <w:t>НИЙ ҮНЭЛГЭЭ</w:t>
      </w:r>
    </w:p>
    <w:p w:rsidR="00D76F96" w:rsidRPr="00AA6B58" w:rsidRDefault="00D76F96" w:rsidP="00D76F96">
      <w:pPr>
        <w:spacing w:after="0" w:line="240" w:lineRule="auto"/>
        <w:jc w:val="center"/>
        <w:rPr>
          <w:rFonts w:ascii="Arial" w:eastAsia="Times New Roman" w:hAnsi="Arial" w:cs="Arial"/>
          <w:b/>
          <w:bCs/>
          <w:szCs w:val="24"/>
        </w:rPr>
      </w:pPr>
    </w:p>
    <w:p w:rsidR="00D76F96" w:rsidRPr="00AA6B58" w:rsidRDefault="00D76F96" w:rsidP="00D76F96">
      <w:pPr>
        <w:pStyle w:val="NormalWeb"/>
        <w:spacing w:line="138" w:lineRule="atLeast"/>
        <w:ind w:firstLine="720"/>
        <w:jc w:val="both"/>
        <w:rPr>
          <w:rFonts w:ascii="Arial" w:hAnsi="Arial" w:cs="Arial"/>
          <w:lang w:val="mn-MN"/>
        </w:rPr>
      </w:pPr>
      <w:r w:rsidRPr="00AA6B58">
        <w:rPr>
          <w:rFonts w:ascii="Arial" w:hAnsi="Arial" w:cs="Arial"/>
        </w:rPr>
        <w:t>Хууль тогтоомжийн төслийн үр нөлөөг үнэлэх аргачлалын зорилт нь боловсруулж байгаа хууль тогтоомжийн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 чиглэсэн зөвлөмж өгөхөд оршино.</w:t>
      </w:r>
    </w:p>
    <w:p w:rsidR="00D76F96" w:rsidRPr="00AA6B58" w:rsidRDefault="00D76F96" w:rsidP="00D76F96">
      <w:pPr>
        <w:pStyle w:val="NormalWeb"/>
        <w:spacing w:line="138" w:lineRule="atLeast"/>
        <w:ind w:firstLine="720"/>
        <w:jc w:val="both"/>
        <w:rPr>
          <w:rFonts w:ascii="Arial" w:hAnsi="Arial" w:cs="Arial"/>
          <w:lang w:val="mn-MN"/>
        </w:rPr>
      </w:pPr>
      <w:r w:rsidRPr="00AA6B58">
        <w:rPr>
          <w:rFonts w:ascii="Arial" w:hAnsi="Arial" w:cs="Arial"/>
          <w:lang w:val="mn-MN"/>
        </w:rPr>
        <w:t>1</w:t>
      </w:r>
      <w:r w:rsidRPr="00AA6B58">
        <w:rPr>
          <w:rFonts w:ascii="Arial" w:hAnsi="Arial" w:cs="Arial"/>
        </w:rPr>
        <w:t xml:space="preserve">.“Зорилгод хүрэх байдал” </w:t>
      </w:r>
    </w:p>
    <w:p w:rsidR="00D76F96" w:rsidRPr="00AA6B58" w:rsidRDefault="00D76F96" w:rsidP="00D76F96">
      <w:pPr>
        <w:pStyle w:val="NormalWeb"/>
        <w:spacing w:line="138" w:lineRule="atLeast"/>
        <w:ind w:firstLine="720"/>
        <w:jc w:val="both"/>
        <w:rPr>
          <w:rFonts w:ascii="Arial" w:hAnsi="Arial" w:cs="Arial"/>
          <w:lang w:val="mn-MN"/>
        </w:rPr>
      </w:pPr>
      <w:r w:rsidRPr="00AA6B58">
        <w:rPr>
          <w:rFonts w:ascii="Arial" w:hAnsi="Arial" w:cs="Arial"/>
          <w:lang w:val="mn-MN"/>
        </w:rPr>
        <w:t xml:space="preserve">Юуны өмнө хуулийн төслийн зорилгыг үзэл баримтлалд тусгасаны дагуу </w:t>
      </w:r>
      <w:r w:rsidRPr="00AA6B58">
        <w:rPr>
          <w:rFonts w:ascii="Arial" w:hAnsi="Arial" w:cs="Arial"/>
          <w:noProof/>
          <w:shd w:val="clear" w:color="auto" w:fill="FFFFFF"/>
        </w:rPr>
        <w:t>төрийн үйл ажиллагааг нээлттэй, ил тод болгох, олон нийтэд төрийн байгууллагын үйл ажиллагааг тайлагнах ажилагааг улс төрийн зорилгоор ашиглахгүй байхад түлхэц болно.  Түүн</w:t>
      </w:r>
      <w:r w:rsidRPr="00AA6B58">
        <w:rPr>
          <w:rFonts w:ascii="Arial" w:hAnsi="Arial" w:cs="Arial"/>
          <w:noProof/>
          <w:shd w:val="clear" w:color="auto" w:fill="FFFFFF"/>
          <w:lang w:val="mn-MN"/>
        </w:rPr>
        <w:t>ч</w:t>
      </w:r>
      <w:r w:rsidRPr="00AA6B58">
        <w:rPr>
          <w:rFonts w:ascii="Arial" w:hAnsi="Arial" w:cs="Arial"/>
          <w:noProof/>
          <w:shd w:val="clear" w:color="auto" w:fill="FFFFFF"/>
        </w:rPr>
        <w:t>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w:t>
      </w:r>
      <w:r>
        <w:rPr>
          <w:rFonts w:ascii="Arial" w:hAnsi="Arial" w:cs="Arial"/>
          <w:noProof/>
          <w:shd w:val="clear" w:color="auto" w:fill="FFFFFF"/>
        </w:rPr>
        <w:t>рга бус өрсөлдөөнийг хязгаарла</w:t>
      </w:r>
      <w:r>
        <w:rPr>
          <w:rFonts w:ascii="Arial" w:hAnsi="Arial" w:cs="Arial"/>
          <w:noProof/>
          <w:shd w:val="clear" w:color="auto" w:fill="FFFFFF"/>
          <w:lang w:val="mn-MN"/>
        </w:rPr>
        <w:t>хад чиглэсэн</w:t>
      </w:r>
      <w:r>
        <w:rPr>
          <w:rFonts w:ascii="Arial" w:hAnsi="Arial" w:cs="Arial"/>
          <w:lang w:val="mn-MN"/>
        </w:rPr>
        <w:t xml:space="preserve"> </w:t>
      </w:r>
      <w:r w:rsidRPr="00AA6B58">
        <w:rPr>
          <w:rFonts w:ascii="Arial" w:hAnsi="Arial" w:cs="Arial"/>
          <w:lang w:val="mn-MN"/>
        </w:rPr>
        <w:t>зохицуулалтыг бий болгох гэж тодорхойлж болохоор байна.</w:t>
      </w:r>
    </w:p>
    <w:p w:rsidR="00D76F96" w:rsidRPr="00AA6B58" w:rsidRDefault="00D76F96" w:rsidP="00D76F96">
      <w:pPr>
        <w:pStyle w:val="NormalWeb"/>
        <w:spacing w:line="138" w:lineRule="atLeast"/>
        <w:ind w:firstLine="720"/>
        <w:jc w:val="both"/>
        <w:rPr>
          <w:rFonts w:ascii="Arial" w:eastAsiaTheme="minorEastAsia" w:hAnsi="Arial" w:cs="Arial"/>
          <w:lang w:val="mn-MN"/>
        </w:rPr>
      </w:pPr>
      <w:r w:rsidRPr="00AA6B58">
        <w:rPr>
          <w:rFonts w:ascii="Arial" w:eastAsiaTheme="minorEastAsia" w:hAnsi="Arial" w:cs="Arial"/>
          <w:lang w:val="mn-MN"/>
        </w:rPr>
        <w:t>Төрийн албаны</w:t>
      </w:r>
      <w:r>
        <w:rPr>
          <w:rFonts w:ascii="Arial" w:eastAsiaTheme="minorEastAsia" w:hAnsi="Arial" w:cs="Arial"/>
          <w:lang w:val="mn-MN"/>
        </w:rPr>
        <w:t xml:space="preserve"> тухай хуулиар тогтоох зохицуулалт нь </w:t>
      </w:r>
      <w:r w:rsidRPr="00AA6B58">
        <w:rPr>
          <w:rFonts w:ascii="Arial" w:eastAsiaTheme="minorEastAsia" w:hAnsi="Arial" w:cs="Arial"/>
          <w:lang w:val="mn-MN"/>
        </w:rPr>
        <w:t>төрийн албаны сахилга, хариуцлага, тэгш бус байдлыг арилга</w:t>
      </w:r>
      <w:r>
        <w:rPr>
          <w:rFonts w:ascii="Arial" w:eastAsiaTheme="minorEastAsia" w:hAnsi="Arial" w:cs="Arial"/>
          <w:lang w:val="mn-MN"/>
        </w:rPr>
        <w:t>х</w:t>
      </w:r>
      <w:r w:rsidRPr="00AA6B58">
        <w:rPr>
          <w:rFonts w:ascii="Arial" w:eastAsiaTheme="minorEastAsia" w:hAnsi="Arial" w:cs="Arial"/>
          <w:lang w:val="mn-MN"/>
        </w:rPr>
        <w:t>, аль нэг этгээдэд давуу байдал олгохгүй байх, үндсэн хуулийн зарчим хангагдах, төсвийн ерөнхийлөн захирагчийн үр нөлөө, үр дүнтэй байдал, үр ашиггүй за</w:t>
      </w:r>
      <w:r>
        <w:rPr>
          <w:rFonts w:ascii="Arial" w:eastAsiaTheme="minorEastAsia" w:hAnsi="Arial" w:cs="Arial"/>
          <w:lang w:val="mn-MN"/>
        </w:rPr>
        <w:t>рцуулахаас урьдчилан  сэргийлэх учиртай.</w:t>
      </w:r>
    </w:p>
    <w:p w:rsidR="00D76F96" w:rsidRPr="00AA6B58" w:rsidRDefault="00D76F96" w:rsidP="00D76F96">
      <w:pPr>
        <w:spacing w:after="0" w:line="240" w:lineRule="auto"/>
        <w:ind w:firstLine="720"/>
        <w:contextualSpacing/>
        <w:jc w:val="both"/>
        <w:rPr>
          <w:rFonts w:ascii="Arial" w:hAnsi="Arial" w:cs="Arial"/>
          <w:lang w:val="mn-MN"/>
        </w:rPr>
      </w:pPr>
      <w:r w:rsidRPr="00AA6B58">
        <w:rPr>
          <w:rFonts w:ascii="Arial" w:eastAsiaTheme="minorEastAsia" w:hAnsi="Arial" w:cs="Arial"/>
          <w:lang w:val="mn-MN"/>
        </w:rPr>
        <w:t>Төрийн албаны тухай хуулийн 39 дүгээр зүйлд хэсгийн “</w:t>
      </w:r>
      <w:r w:rsidRPr="00AA6B58">
        <w:rPr>
          <w:rFonts w:ascii="Arial" w:hAnsi="Arial" w:cs="Arial"/>
          <w:noProof/>
          <w:szCs w:val="24"/>
          <w:shd w:val="clear" w:color="auto" w:fill="FFFFFF"/>
          <w:lang w:val="mn-MN"/>
        </w:rPr>
        <w:t xml:space="preserve">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хуудасыг ашиглахыг хориглох зохицуулалт </w:t>
      </w:r>
      <w:r w:rsidRPr="00AA6B58">
        <w:rPr>
          <w:rFonts w:ascii="Arial" w:eastAsiaTheme="minorEastAsia" w:hAnsi="Arial" w:cs="Arial"/>
          <w:lang w:val="mn-MN"/>
        </w:rPr>
        <w:t xml:space="preserve">нэмэхээр боловсруулсан нь </w:t>
      </w:r>
      <w:r>
        <w:rPr>
          <w:rFonts w:ascii="Arial" w:hAnsi="Arial" w:cs="Arial"/>
          <w:lang w:val="mn-MN"/>
        </w:rPr>
        <w:t xml:space="preserve">хуулийн төслийн үзэл баримтлалаар тодорхойлсон </w:t>
      </w:r>
      <w:r w:rsidRPr="00AA6B58">
        <w:rPr>
          <w:rFonts w:ascii="Arial" w:hAnsi="Arial" w:cs="Arial"/>
          <w:lang w:val="mn-MN"/>
        </w:rPr>
        <w:t>зорилгод нийцэж байна.</w:t>
      </w:r>
    </w:p>
    <w:p w:rsidR="00D76F96" w:rsidRPr="00AA6B58" w:rsidRDefault="00D76F96" w:rsidP="00D76F96">
      <w:pPr>
        <w:spacing w:after="0" w:line="240" w:lineRule="auto"/>
        <w:ind w:firstLine="720"/>
        <w:contextualSpacing/>
        <w:jc w:val="both"/>
        <w:rPr>
          <w:rFonts w:ascii="Arial" w:hAnsi="Arial" w:cs="Arial"/>
          <w:noProof/>
          <w:szCs w:val="24"/>
          <w:shd w:val="clear" w:color="auto" w:fill="FFFFFF"/>
          <w:lang w:val="mn-MN"/>
        </w:rPr>
      </w:pPr>
    </w:p>
    <w:tbl>
      <w:tblPr>
        <w:tblStyle w:val="TableGrid"/>
        <w:tblW w:w="0" w:type="auto"/>
        <w:tblLook w:val="04A0" w:firstRow="1" w:lastRow="0" w:firstColumn="1" w:lastColumn="0" w:noHBand="0" w:noVBand="1"/>
      </w:tblPr>
      <w:tblGrid>
        <w:gridCol w:w="1793"/>
        <w:gridCol w:w="2430"/>
        <w:gridCol w:w="1790"/>
        <w:gridCol w:w="1784"/>
        <w:gridCol w:w="1553"/>
      </w:tblGrid>
      <w:tr w:rsidR="00D76F96" w:rsidRPr="00AA6B58" w:rsidTr="00A4034F">
        <w:tc>
          <w:tcPr>
            <w:tcW w:w="1824" w:type="dxa"/>
          </w:tcPr>
          <w:p w:rsidR="00D76F96" w:rsidRPr="00AA6B58" w:rsidRDefault="00D76F96" w:rsidP="00A4034F">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Шалгуур үзүүлэлт</w:t>
            </w:r>
          </w:p>
        </w:tc>
        <w:tc>
          <w:tcPr>
            <w:tcW w:w="2516" w:type="dxa"/>
          </w:tcPr>
          <w:p w:rsidR="00D76F96" w:rsidRPr="00AA6B58" w:rsidRDefault="00D76F96" w:rsidP="00A4034F">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Үнэлэх хэсэг</w:t>
            </w:r>
          </w:p>
        </w:tc>
        <w:tc>
          <w:tcPr>
            <w:tcW w:w="1822" w:type="dxa"/>
          </w:tcPr>
          <w:p w:rsidR="00D76F96" w:rsidRPr="00AA6B58" w:rsidRDefault="00D76F96" w:rsidP="00A4034F">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Шалгах хэрэгсэл</w:t>
            </w:r>
          </w:p>
        </w:tc>
        <w:tc>
          <w:tcPr>
            <w:tcW w:w="1817" w:type="dxa"/>
          </w:tcPr>
          <w:p w:rsidR="00D76F96" w:rsidRPr="00AA6B58" w:rsidRDefault="00D76F96" w:rsidP="00A4034F">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Үнэлэх</w:t>
            </w:r>
          </w:p>
        </w:tc>
        <w:tc>
          <w:tcPr>
            <w:tcW w:w="1628" w:type="dxa"/>
          </w:tcPr>
          <w:p w:rsidR="00D76F96" w:rsidRPr="00AA6B58" w:rsidRDefault="00D76F96" w:rsidP="00A4034F">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Дүгнэх</w:t>
            </w:r>
          </w:p>
        </w:tc>
      </w:tr>
      <w:tr w:rsidR="00D76F96" w:rsidRPr="00AA6B58" w:rsidTr="00A4034F">
        <w:tc>
          <w:tcPr>
            <w:tcW w:w="1824" w:type="dxa"/>
          </w:tcPr>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rPr>
              <w:t>Зорилгод хүрэх байдал</w:t>
            </w:r>
          </w:p>
        </w:tc>
        <w:tc>
          <w:tcPr>
            <w:tcW w:w="2516" w:type="dxa"/>
            <w:vMerge w:val="restart"/>
          </w:tcPr>
          <w:p w:rsidR="00D76F96" w:rsidRPr="00AA6B58" w:rsidRDefault="00D76F96" w:rsidP="00A4034F">
            <w:pPr>
              <w:spacing w:after="0" w:line="240" w:lineRule="auto"/>
              <w:contextualSpacing/>
              <w:jc w:val="both"/>
              <w:rPr>
                <w:rFonts w:ascii="Arial" w:hAnsi="Arial" w:cs="Arial"/>
                <w:noProof/>
                <w:sz w:val="20"/>
                <w:szCs w:val="20"/>
                <w:shd w:val="clear" w:color="auto" w:fill="FFFFFF"/>
                <w:lang w:val="mn-MN"/>
              </w:rPr>
            </w:pPr>
            <w:r w:rsidRPr="00AA6B58">
              <w:rPr>
                <w:rFonts w:ascii="Arial" w:hAnsi="Arial" w:cs="Arial"/>
                <w:noProof/>
                <w:sz w:val="20"/>
                <w:szCs w:val="20"/>
                <w:lang w:val="mn-MN"/>
              </w:rPr>
              <w:t>“</w:t>
            </w:r>
            <w:r w:rsidRPr="00AA6B58">
              <w:rPr>
                <w:rFonts w:ascii="Arial" w:hAnsi="Arial" w:cs="Arial"/>
                <w:noProof/>
                <w:sz w:val="20"/>
                <w:szCs w:val="20"/>
                <w:shd w:val="clear" w:color="auto" w:fill="FFFFFF"/>
                <w:lang w:val="mn-MN"/>
              </w:rPr>
              <w:t xml:space="preserve">39.1.18.Монгол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w:t>
            </w:r>
            <w:r w:rsidRPr="00AA6B58">
              <w:rPr>
                <w:rFonts w:ascii="Arial" w:hAnsi="Arial" w:cs="Arial"/>
                <w:noProof/>
                <w:sz w:val="20"/>
                <w:szCs w:val="20"/>
                <w:shd w:val="clear" w:color="auto" w:fill="FFFFFF"/>
                <w:lang w:val="mn-MN"/>
              </w:rPr>
              <w:lastRenderedPageBreak/>
              <w:t>гамшигаас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хуудасыг ашиглах</w:t>
            </w:r>
            <w:r w:rsidRPr="00AA6B58">
              <w:rPr>
                <w:rFonts w:ascii="Arial" w:hAnsi="Arial" w:cs="Arial"/>
                <w:noProof/>
                <w:sz w:val="20"/>
                <w:szCs w:val="20"/>
                <w:shd w:val="clear" w:color="auto" w:fill="FFFFFF"/>
              </w:rPr>
              <w:t>;</w:t>
            </w:r>
            <w:r w:rsidRPr="00AA6B58">
              <w:rPr>
                <w:rFonts w:ascii="Arial" w:hAnsi="Arial" w:cs="Arial"/>
                <w:noProof/>
                <w:sz w:val="20"/>
                <w:szCs w:val="20"/>
                <w:shd w:val="clear" w:color="auto" w:fill="FFFFFF"/>
                <w:lang w:val="mn-MN"/>
              </w:rPr>
              <w:t>”</w:t>
            </w:r>
          </w:p>
        </w:tc>
        <w:tc>
          <w:tcPr>
            <w:tcW w:w="1822" w:type="dxa"/>
          </w:tcPr>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eastAsia="Times New Roman" w:hAnsi="Arial" w:cs="Arial"/>
                <w:sz w:val="20"/>
                <w:szCs w:val="20"/>
              </w:rPr>
              <w:lastRenderedPageBreak/>
              <w:t>Зорилгод дүн шинжилгээ хийх</w:t>
            </w:r>
          </w:p>
        </w:tc>
        <w:tc>
          <w:tcPr>
            <w:tcW w:w="1817" w:type="dxa"/>
          </w:tcPr>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 xml:space="preserve">Үр нөлөөг үнэлэх </w:t>
            </w:r>
          </w:p>
        </w:tc>
        <w:tc>
          <w:tcPr>
            <w:tcW w:w="1628" w:type="dxa"/>
            <w:vMerge w:val="restart"/>
          </w:tcPr>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Дүгнэлт гаргах</w:t>
            </w:r>
          </w:p>
        </w:tc>
      </w:tr>
      <w:tr w:rsidR="00D76F96" w:rsidRPr="00AA6B58" w:rsidTr="00A4034F">
        <w:tc>
          <w:tcPr>
            <w:tcW w:w="1824" w:type="dxa"/>
          </w:tcPr>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rPr>
              <w:t>Хүлээн зөвшөөрөгдөх байдал</w:t>
            </w:r>
          </w:p>
        </w:tc>
        <w:tc>
          <w:tcPr>
            <w:tcW w:w="2516" w:type="dxa"/>
            <w:vMerge/>
          </w:tcPr>
          <w:p w:rsidR="00D76F96" w:rsidRPr="00AA6B58" w:rsidRDefault="00D76F96" w:rsidP="00A4034F">
            <w:pPr>
              <w:pStyle w:val="NormalWeb"/>
              <w:spacing w:line="138" w:lineRule="atLeast"/>
              <w:jc w:val="both"/>
              <w:rPr>
                <w:rFonts w:ascii="Arial" w:hAnsi="Arial" w:cs="Arial"/>
                <w:lang w:val="mn-MN"/>
              </w:rPr>
            </w:pPr>
          </w:p>
        </w:tc>
        <w:tc>
          <w:tcPr>
            <w:tcW w:w="1822" w:type="dxa"/>
          </w:tcPr>
          <w:p w:rsidR="00D76F96" w:rsidRPr="00AA6B58" w:rsidRDefault="00D76F96" w:rsidP="00A4034F">
            <w:pPr>
              <w:pStyle w:val="NormalWeb"/>
              <w:spacing w:line="138" w:lineRule="atLeast"/>
              <w:jc w:val="both"/>
              <w:rPr>
                <w:rFonts w:ascii="Arial" w:eastAsia="Times New Roman"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eastAsia="Times New Roman" w:hAnsi="Arial" w:cs="Arial"/>
                <w:sz w:val="20"/>
                <w:szCs w:val="20"/>
              </w:rPr>
              <w:t>Хүлээн зөвшөөрөгдөх байдлын судалгаа хийх</w:t>
            </w:r>
          </w:p>
        </w:tc>
        <w:tc>
          <w:tcPr>
            <w:tcW w:w="1817" w:type="dxa"/>
          </w:tcPr>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Хэрэгжүүлэх этгээдүүд хүлээн зөвшөөрөх, бүтэц зохион байгуулалт тодоохой эсэхийг үнэлэх</w:t>
            </w:r>
          </w:p>
        </w:tc>
        <w:tc>
          <w:tcPr>
            <w:tcW w:w="1628" w:type="dxa"/>
            <w:vMerge/>
          </w:tcPr>
          <w:p w:rsidR="00D76F96" w:rsidRPr="00AA6B58" w:rsidRDefault="00D76F96" w:rsidP="00A4034F">
            <w:pPr>
              <w:pStyle w:val="NormalWeb"/>
              <w:spacing w:line="138" w:lineRule="atLeast"/>
              <w:jc w:val="both"/>
              <w:rPr>
                <w:rFonts w:ascii="Arial" w:hAnsi="Arial" w:cs="Arial"/>
                <w:sz w:val="20"/>
                <w:szCs w:val="20"/>
                <w:lang w:val="mn-MN"/>
              </w:rPr>
            </w:pPr>
          </w:p>
        </w:tc>
      </w:tr>
      <w:tr w:rsidR="00D76F96" w:rsidRPr="00AA6B58" w:rsidTr="00A4034F">
        <w:tc>
          <w:tcPr>
            <w:tcW w:w="1824" w:type="dxa"/>
          </w:tcPr>
          <w:p w:rsidR="00D76F96" w:rsidRPr="00AA6B58" w:rsidRDefault="00D76F96" w:rsidP="00A4034F">
            <w:pPr>
              <w:pStyle w:val="NormalWeb"/>
              <w:spacing w:line="138" w:lineRule="atLeast"/>
              <w:jc w:val="both"/>
              <w:rPr>
                <w:rFonts w:ascii="Arial"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rPr>
              <w:t>Харилцан уялдаа</w:t>
            </w:r>
          </w:p>
        </w:tc>
        <w:tc>
          <w:tcPr>
            <w:tcW w:w="2516" w:type="dxa"/>
            <w:vMerge/>
          </w:tcPr>
          <w:p w:rsidR="00D76F96" w:rsidRPr="00AA6B58" w:rsidRDefault="00D76F96" w:rsidP="00A4034F">
            <w:pPr>
              <w:pStyle w:val="NormalWeb"/>
              <w:spacing w:line="138" w:lineRule="atLeast"/>
              <w:jc w:val="both"/>
              <w:rPr>
                <w:rFonts w:ascii="Arial" w:hAnsi="Arial" w:cs="Arial"/>
                <w:lang w:val="mn-MN"/>
              </w:rPr>
            </w:pPr>
          </w:p>
        </w:tc>
        <w:tc>
          <w:tcPr>
            <w:tcW w:w="1822" w:type="dxa"/>
          </w:tcPr>
          <w:p w:rsidR="00D76F96" w:rsidRPr="00AA6B58" w:rsidRDefault="00D76F96" w:rsidP="00A4034F">
            <w:pPr>
              <w:pStyle w:val="NormalWeb"/>
              <w:spacing w:line="138" w:lineRule="atLeast"/>
              <w:jc w:val="both"/>
              <w:rPr>
                <w:rFonts w:ascii="Arial" w:eastAsia="Times New Roman" w:hAnsi="Arial" w:cs="Arial"/>
                <w:sz w:val="20"/>
                <w:szCs w:val="20"/>
                <w:lang w:val="mn-MN"/>
              </w:rPr>
            </w:pPr>
          </w:p>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eastAsia="Times New Roman" w:hAnsi="Arial" w:cs="Arial"/>
                <w:sz w:val="20"/>
                <w:szCs w:val="20"/>
              </w:rPr>
              <w:t>Хуулийн төслийн уялдаа холбоог шалгах</w:t>
            </w:r>
          </w:p>
        </w:tc>
        <w:tc>
          <w:tcPr>
            <w:tcW w:w="1817" w:type="dxa"/>
          </w:tcPr>
          <w:p w:rsidR="00D76F96" w:rsidRPr="00AA6B58" w:rsidRDefault="00D76F96" w:rsidP="00A4034F">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Хуулийн төсөл боловсруулах шаардлагад нийцсэн эсэхийг Хавсралт асуултын дагуу шалгах</w:t>
            </w:r>
          </w:p>
        </w:tc>
        <w:tc>
          <w:tcPr>
            <w:tcW w:w="1628" w:type="dxa"/>
            <w:vMerge/>
          </w:tcPr>
          <w:p w:rsidR="00D76F96" w:rsidRPr="00AA6B58" w:rsidRDefault="00D76F96" w:rsidP="00A4034F">
            <w:pPr>
              <w:pStyle w:val="NormalWeb"/>
              <w:spacing w:line="138" w:lineRule="atLeast"/>
              <w:jc w:val="both"/>
              <w:rPr>
                <w:rFonts w:ascii="Arial" w:hAnsi="Arial" w:cs="Arial"/>
                <w:sz w:val="20"/>
                <w:szCs w:val="20"/>
                <w:lang w:val="mn-MN"/>
              </w:rPr>
            </w:pPr>
          </w:p>
        </w:tc>
      </w:tr>
    </w:tbl>
    <w:p w:rsidR="00D76F96" w:rsidRPr="00AA6B58" w:rsidRDefault="00D76F96" w:rsidP="00D76F96">
      <w:pPr>
        <w:pStyle w:val="NormalWeb"/>
        <w:spacing w:line="138" w:lineRule="atLeast"/>
        <w:ind w:firstLine="720"/>
        <w:jc w:val="both"/>
        <w:rPr>
          <w:rFonts w:ascii="Arial" w:hAnsi="Arial" w:cs="Arial"/>
        </w:rPr>
      </w:pPr>
    </w:p>
    <w:p w:rsidR="00D76F96" w:rsidRPr="00AE6794" w:rsidRDefault="00D76F96" w:rsidP="00D76F96">
      <w:pPr>
        <w:pStyle w:val="NormalWeb"/>
        <w:spacing w:line="138" w:lineRule="atLeast"/>
        <w:ind w:firstLine="720"/>
        <w:jc w:val="both"/>
        <w:rPr>
          <w:rFonts w:ascii="Arial" w:hAnsi="Arial" w:cs="Arial"/>
        </w:rPr>
      </w:pPr>
      <w:r w:rsidRPr="00AA6B58">
        <w:rPr>
          <w:rFonts w:ascii="Arial" w:hAnsi="Arial" w:cs="Arial"/>
        </w:rPr>
        <w:t xml:space="preserve">2.“Хүлээн зөвшөөрөгдөх байдал” </w:t>
      </w:r>
    </w:p>
    <w:p w:rsidR="00D76F96" w:rsidRPr="00AA6B58" w:rsidRDefault="00D76F96" w:rsidP="00D76F96">
      <w:pPr>
        <w:shd w:val="clear" w:color="auto" w:fill="FFFFFF"/>
        <w:spacing w:after="0" w:line="240" w:lineRule="auto"/>
        <w:ind w:firstLine="720"/>
        <w:jc w:val="both"/>
        <w:rPr>
          <w:rFonts w:ascii="Arial" w:eastAsia="Times New Roman" w:hAnsi="Arial" w:cs="Arial"/>
          <w:kern w:val="0"/>
          <w:szCs w:val="24"/>
          <w:lang w:val="mn-MN"/>
        </w:rPr>
      </w:pPr>
      <w:r>
        <w:rPr>
          <w:rFonts w:ascii="Arial" w:eastAsiaTheme="minorEastAsia" w:hAnsi="Arial" w:cs="Arial"/>
          <w:lang w:val="mn-MN"/>
        </w:rPr>
        <w:t xml:space="preserve">Хүчин төгөлдөр үйлчилж байгаа Төрийн албаны тухай хуулиар төрийн албан хаагчид  хориглох зохицуулалтад нэг заалт нэмж байх тул одоо үйлчилж байгаа механизмаар дамжин хэрэгжих боломжтой юм. </w:t>
      </w:r>
      <w:r w:rsidRPr="00AA6B58">
        <w:rPr>
          <w:rFonts w:ascii="Arial" w:eastAsia="Times New Roman" w:hAnsi="Arial" w:cs="Arial"/>
          <w:kern w:val="0"/>
          <w:szCs w:val="24"/>
          <w:lang w:val="mn-MN"/>
        </w:rPr>
        <w:t xml:space="preserve">Иймд тус хуулийг хэрэгжүүлэх этгээд </w:t>
      </w:r>
      <w:r>
        <w:rPr>
          <w:rFonts w:ascii="Arial" w:eastAsia="Times New Roman" w:hAnsi="Arial" w:cs="Arial"/>
          <w:kern w:val="0"/>
          <w:szCs w:val="24"/>
          <w:lang w:val="mn-MN"/>
        </w:rPr>
        <w:t xml:space="preserve">  төрийн албан хаагч,  төрийн байгууллагууд , хяналт   тавих этгээд нь төрийн албаны  төв байгууллага, төрийн холбодох  байгууллагууд, иргэд, олон нийт зэргээр </w:t>
      </w:r>
      <w:r w:rsidRPr="00AA6B58">
        <w:rPr>
          <w:rFonts w:ascii="Arial" w:eastAsia="Times New Roman" w:hAnsi="Arial" w:cs="Arial"/>
          <w:kern w:val="0"/>
          <w:szCs w:val="24"/>
          <w:lang w:val="mn-MN"/>
        </w:rPr>
        <w:t xml:space="preserve">тодорхой байна. </w:t>
      </w:r>
    </w:p>
    <w:p w:rsidR="00D76F96" w:rsidRPr="00AA6B58" w:rsidRDefault="00D76F96" w:rsidP="00D76F96">
      <w:pPr>
        <w:shd w:val="clear" w:color="auto" w:fill="FFFFFF"/>
        <w:spacing w:after="0" w:line="240" w:lineRule="auto"/>
        <w:ind w:firstLine="720"/>
        <w:jc w:val="both"/>
        <w:rPr>
          <w:rFonts w:ascii="Arial" w:eastAsia="Times New Roman" w:hAnsi="Arial" w:cs="Arial"/>
          <w:kern w:val="0"/>
          <w:szCs w:val="24"/>
          <w:lang w:val="mn-MN"/>
        </w:rPr>
      </w:pPr>
    </w:p>
    <w:p w:rsidR="00D76F96" w:rsidRPr="00AA6B58" w:rsidRDefault="00D76F96" w:rsidP="00D76F96">
      <w:pPr>
        <w:ind w:firstLine="720"/>
        <w:jc w:val="both"/>
        <w:rPr>
          <w:rFonts w:ascii="Arial" w:hAnsi="Arial" w:cs="Arial"/>
          <w:lang w:val="mn-MN"/>
        </w:rPr>
      </w:pPr>
      <w:r>
        <w:rPr>
          <w:rFonts w:ascii="Arial" w:hAnsi="Arial" w:cs="Arial"/>
          <w:lang w:val="mn-MN"/>
        </w:rPr>
        <w:t xml:space="preserve">Хуулийн төсөл дэх </w:t>
      </w:r>
      <w:r w:rsidRPr="00AA6B58">
        <w:rPr>
          <w:rFonts w:ascii="Arial" w:hAnsi="Arial" w:cs="Arial"/>
          <w:lang w:val="mn-MN"/>
        </w:rPr>
        <w:t>хоригл</w:t>
      </w:r>
      <w:r>
        <w:rPr>
          <w:rFonts w:ascii="Arial" w:hAnsi="Arial" w:cs="Arial"/>
          <w:lang w:val="mn-MN"/>
        </w:rPr>
        <w:t>о</w:t>
      </w:r>
      <w:r w:rsidRPr="00AA6B58">
        <w:rPr>
          <w:rFonts w:ascii="Arial" w:hAnsi="Arial" w:cs="Arial"/>
          <w:lang w:val="mn-MN"/>
        </w:rPr>
        <w:t>сон зохицуулалт нь заавал идэвхтэй үйлдэл</w:t>
      </w:r>
      <w:r>
        <w:rPr>
          <w:rFonts w:ascii="Arial" w:hAnsi="Arial" w:cs="Arial"/>
          <w:lang w:val="mn-MN"/>
        </w:rPr>
        <w:t xml:space="preserve"> хийхийг шаард</w:t>
      </w:r>
      <w:r w:rsidRPr="00AA6B58">
        <w:rPr>
          <w:rFonts w:ascii="Arial" w:hAnsi="Arial" w:cs="Arial"/>
          <w:lang w:val="mn-MN"/>
        </w:rPr>
        <w:t>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D76F96" w:rsidRPr="00AA6B58" w:rsidRDefault="00D76F96" w:rsidP="00D76F96">
      <w:pPr>
        <w:pStyle w:val="NormalWeb"/>
        <w:spacing w:line="138" w:lineRule="atLeast"/>
        <w:ind w:firstLine="720"/>
        <w:jc w:val="both"/>
        <w:rPr>
          <w:rFonts w:ascii="Arial" w:hAnsi="Arial" w:cs="Arial"/>
        </w:rPr>
      </w:pPr>
      <w:r w:rsidRPr="00AA6B58">
        <w:rPr>
          <w:rFonts w:ascii="Arial" w:hAnsi="Arial" w:cs="Arial"/>
          <w:lang w:val="mn-MN"/>
        </w:rPr>
        <w:t>3.</w:t>
      </w:r>
      <w:r>
        <w:rPr>
          <w:rFonts w:ascii="Arial" w:hAnsi="Arial" w:cs="Arial"/>
          <w:lang w:val="mn-MN"/>
        </w:rPr>
        <w:t>”</w:t>
      </w:r>
      <w:r w:rsidRPr="00AA6B58">
        <w:rPr>
          <w:rFonts w:ascii="Arial" w:hAnsi="Arial" w:cs="Arial"/>
        </w:rPr>
        <w:t>Хуулийн төслийн уялдаа холбоог шалгах” шалгах хэрэгслийн хүрээнд дараах асуултад хариулах замаар хуулийн төслийн уялдаа холбоог тогтоо</w:t>
      </w:r>
      <w:r w:rsidRPr="00AA6B58">
        <w:rPr>
          <w:rFonts w:ascii="Arial" w:hAnsi="Arial" w:cs="Arial"/>
          <w:lang w:val="mn-MN"/>
        </w:rPr>
        <w:t>в</w:t>
      </w:r>
      <w:r w:rsidRPr="00AA6B58">
        <w:rPr>
          <w:rFonts w:ascii="Arial" w:hAnsi="Arial" w:cs="Arial"/>
        </w:rPr>
        <w:t>:</w:t>
      </w:r>
    </w:p>
    <w:p w:rsidR="00D76F96" w:rsidRPr="00AA6B58" w:rsidRDefault="00D76F96" w:rsidP="00D76F96">
      <w:pPr>
        <w:pStyle w:val="ListParagraph"/>
        <w:numPr>
          <w:ilvl w:val="0"/>
          <w:numId w:val="2"/>
        </w:numPr>
        <w:spacing w:after="0" w:line="240" w:lineRule="auto"/>
        <w:jc w:val="both"/>
        <w:rPr>
          <w:rFonts w:ascii="Arial" w:hAnsi="Arial" w:cs="Arial"/>
        </w:rPr>
      </w:pPr>
      <w:r w:rsidRPr="00AA6B58">
        <w:rPr>
          <w:rFonts w:ascii="Arial" w:hAnsi="Arial" w:cs="Arial"/>
        </w:rPr>
        <w:t xml:space="preserve">хуулийн төслийн зохицуулалт тухайн </w:t>
      </w:r>
      <w:r w:rsidRPr="00AA6B58">
        <w:rPr>
          <w:rFonts w:ascii="Arial" w:hAnsi="Arial" w:cs="Arial"/>
          <w:szCs w:val="24"/>
          <w:lang w:val="mn-MN"/>
        </w:rPr>
        <w:t xml:space="preserve">Төрийн албаны тухай </w:t>
      </w:r>
      <w:r w:rsidRPr="00AA6B58">
        <w:rPr>
          <w:rFonts w:ascii="Arial" w:hAnsi="Arial" w:cs="Arial"/>
        </w:rPr>
        <w:t>хуулийн зорилттой</w:t>
      </w:r>
      <w:r w:rsidRPr="00AA6B58">
        <w:rPr>
          <w:rFonts w:ascii="Arial" w:hAnsi="Arial" w:cs="Arial"/>
          <w:lang w:val="mn-MN"/>
        </w:rPr>
        <w:t xml:space="preserve"> </w:t>
      </w:r>
      <w:r w:rsidRPr="00AA6B58">
        <w:rPr>
          <w:rFonts w:ascii="Arial" w:hAnsi="Arial" w:cs="Arial"/>
        </w:rPr>
        <w:t>нийцэж бай</w:t>
      </w:r>
      <w:r w:rsidRPr="00AA6B58">
        <w:rPr>
          <w:rFonts w:ascii="Arial" w:hAnsi="Arial" w:cs="Arial"/>
          <w:lang w:val="mn-MN"/>
        </w:rPr>
        <w:t xml:space="preserve">х бөгөөд </w:t>
      </w:r>
      <w:r w:rsidRPr="00AA6B58">
        <w:rPr>
          <w:rFonts w:ascii="Arial" w:hAnsi="Arial" w:cs="Arial"/>
        </w:rPr>
        <w:t>хуулийн төслийн “Хууль тогтоомж” гэсэн хэсэгт заасан хуулиудын нэр тухайн харилцаанд хамаарах хууль мөн</w:t>
      </w:r>
      <w:r w:rsidRPr="00AA6B58">
        <w:rPr>
          <w:rFonts w:ascii="Arial" w:hAnsi="Arial" w:cs="Arial"/>
          <w:lang w:val="mn-MN"/>
        </w:rPr>
        <w:t xml:space="preserve">  болно.</w:t>
      </w:r>
    </w:p>
    <w:p w:rsidR="00D76F96" w:rsidRPr="00AA6B58" w:rsidRDefault="00D76F96" w:rsidP="00D76F96">
      <w:pPr>
        <w:pStyle w:val="ListParagraph"/>
        <w:spacing w:after="0" w:line="240" w:lineRule="auto"/>
        <w:jc w:val="both"/>
        <w:rPr>
          <w:rFonts w:ascii="Arial" w:hAnsi="Arial" w:cs="Arial"/>
        </w:rPr>
      </w:pPr>
    </w:p>
    <w:p w:rsidR="00D76F96" w:rsidRPr="00AA6B58" w:rsidRDefault="00D76F96" w:rsidP="00D76F96">
      <w:pPr>
        <w:pStyle w:val="NormalWeb"/>
        <w:numPr>
          <w:ilvl w:val="0"/>
          <w:numId w:val="1"/>
        </w:numPr>
        <w:spacing w:line="138" w:lineRule="atLeast"/>
        <w:jc w:val="both"/>
        <w:rPr>
          <w:rFonts w:ascii="Arial" w:hAnsi="Arial" w:cs="Arial"/>
        </w:rPr>
      </w:pPr>
      <w:r>
        <w:rPr>
          <w:rFonts w:ascii="Arial" w:hAnsi="Arial" w:cs="Arial"/>
        </w:rPr>
        <w:t>хуулийн төсөлд т</w:t>
      </w:r>
      <w:r>
        <w:rPr>
          <w:rFonts w:ascii="Arial" w:hAnsi="Arial" w:cs="Arial"/>
          <w:lang w:val="mn-MN"/>
        </w:rPr>
        <w:t>усгасан</w:t>
      </w:r>
      <w:r w:rsidRPr="00AA6B58">
        <w:rPr>
          <w:rFonts w:ascii="Arial" w:hAnsi="Arial" w:cs="Arial"/>
        </w:rPr>
        <w:t xml:space="preserve"> </w:t>
      </w:r>
      <w:r w:rsidRPr="00AA6B58">
        <w:rPr>
          <w:rFonts w:ascii="Arial" w:hAnsi="Arial" w:cs="Arial"/>
          <w:lang w:val="mn-MN"/>
        </w:rPr>
        <w:t>“</w:t>
      </w:r>
      <w:r>
        <w:rPr>
          <w:rFonts w:ascii="Arial" w:hAnsi="Arial" w:cs="Arial"/>
          <w:noProof/>
          <w:shd w:val="clear" w:color="auto" w:fill="FFFFFF"/>
          <w:lang w:val="mn-MN"/>
        </w:rPr>
        <w:t xml:space="preserve">контент,” </w:t>
      </w:r>
      <w:r w:rsidRPr="00AA6B58">
        <w:rPr>
          <w:rFonts w:ascii="Arial" w:hAnsi="Arial" w:cs="Arial"/>
          <w:noProof/>
          <w:shd w:val="clear" w:color="auto" w:fill="FFFFFF"/>
          <w:lang w:val="mn-MN"/>
        </w:rPr>
        <w:t xml:space="preserve"> “нийгмийн сүлжээний цахим хуудас</w:t>
      </w:r>
      <w:r w:rsidRPr="00AA6B58">
        <w:rPr>
          <w:rFonts w:ascii="Arial" w:eastAsiaTheme="minorEastAsia" w:hAnsi="Arial" w:cs="Arial"/>
          <w:lang w:val="mn-MN"/>
        </w:rPr>
        <w:t>”</w:t>
      </w:r>
      <w:r w:rsidRPr="00AA6B58">
        <w:rPr>
          <w:rFonts w:ascii="Arial" w:hAnsi="Arial" w:cs="Arial"/>
        </w:rPr>
        <w:t xml:space="preserve"> </w:t>
      </w:r>
      <w:r>
        <w:rPr>
          <w:rFonts w:ascii="Arial" w:hAnsi="Arial" w:cs="Arial"/>
          <w:lang w:val="mn-MN"/>
        </w:rPr>
        <w:t xml:space="preserve">гэсэн </w:t>
      </w:r>
      <w:r w:rsidRPr="00AA6B58">
        <w:rPr>
          <w:rFonts w:ascii="Arial" w:hAnsi="Arial" w:cs="Arial"/>
        </w:rPr>
        <w:t xml:space="preserve">нэр томьёо </w:t>
      </w:r>
      <w:r>
        <w:rPr>
          <w:rFonts w:ascii="Arial" w:hAnsi="Arial" w:cs="Arial"/>
          <w:lang w:val="mn-MN"/>
        </w:rPr>
        <w:t xml:space="preserve">нь Өргөн нэвтрүүлгийн тухай болон бусад хуулиудад хэрэглэгдэж хэвшсэн  тодорхойлолтыг </w:t>
      </w:r>
      <w:r w:rsidRPr="00AA6B58">
        <w:rPr>
          <w:rFonts w:ascii="Arial" w:hAnsi="Arial" w:cs="Arial"/>
          <w:lang w:val="mn-MN"/>
        </w:rPr>
        <w:t>үндэслэн тусгасан байна</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төслийн зүйл, заалт тухайн хуулийн төсөл болон бусад хуулийн заалттай нийцэж байг</w:t>
      </w:r>
      <w:r w:rsidRPr="00AA6B58">
        <w:rPr>
          <w:rFonts w:ascii="Arial" w:hAnsi="Arial" w:cs="Arial"/>
          <w:lang w:val="mn-MN"/>
        </w:rPr>
        <w:t>аа болно</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төслийн зүйл, заалт тухайн хуулийн төслийн болон бусад хуулийн заалттай давхардсан</w:t>
      </w:r>
      <w:r w:rsidRPr="00AA6B58">
        <w:rPr>
          <w:rFonts w:ascii="Arial" w:hAnsi="Arial" w:cs="Arial"/>
          <w:lang w:val="mn-MN"/>
        </w:rPr>
        <w:t xml:space="preserve"> зохицуулалт байхгүй болно</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төслийг хэрэгжүүлэх этгээд</w:t>
      </w:r>
      <w:r w:rsidRPr="00AA6B58">
        <w:rPr>
          <w:rFonts w:ascii="Arial" w:hAnsi="Arial" w:cs="Arial"/>
          <w:lang w:val="mn-MN"/>
        </w:rPr>
        <w:t xml:space="preserve"> нь хүчин төгөлдөр  Төрийн албаны тухай  тухай хуульд тодорхой  заасан болно</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төсөлд орхигдуулсан</w:t>
      </w:r>
      <w:r w:rsidRPr="00AA6B58">
        <w:rPr>
          <w:rFonts w:ascii="Arial" w:hAnsi="Arial" w:cs="Arial"/>
          <w:lang w:val="mn-MN"/>
        </w:rPr>
        <w:t xml:space="preserve"> зохицуулалт байхгүй болно</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lastRenderedPageBreak/>
        <w:t xml:space="preserve">хуулийн төсөлд төрийн байгууллагын гүйцэтгэх чиг үүргийг давхардуулан тусгасан </w:t>
      </w:r>
      <w:r w:rsidRPr="00AA6B58">
        <w:rPr>
          <w:rFonts w:ascii="Arial" w:hAnsi="Arial" w:cs="Arial"/>
          <w:lang w:val="mn-MN"/>
        </w:rPr>
        <w:t>зохицуулалт байхгүй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төрийн байгууллагын чиг үүргийг төрийн бус байгууллага, мэргэжлийн холбоо</w:t>
      </w:r>
      <w:r>
        <w:rPr>
          <w:rFonts w:ascii="Arial" w:hAnsi="Arial" w:cs="Arial"/>
        </w:rPr>
        <w:t xml:space="preserve">доор гүйцэтгүүлэхтэй холбоотой зохицуулалт </w:t>
      </w:r>
      <w:r>
        <w:rPr>
          <w:rFonts w:ascii="Arial" w:hAnsi="Arial" w:cs="Arial"/>
          <w:lang w:val="mn-MN"/>
        </w:rPr>
        <w:t xml:space="preserve">шууд </w:t>
      </w:r>
      <w:r>
        <w:rPr>
          <w:rFonts w:ascii="Arial" w:hAnsi="Arial" w:cs="Arial"/>
        </w:rPr>
        <w:t>хамааралгүй болно</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татварын хуулиас бусад хуулийн төсөлд албан татвар, төлбөр, хураамж тогтоосон</w:t>
      </w:r>
      <w:r w:rsidRPr="00AA6B58">
        <w:rPr>
          <w:rFonts w:ascii="Arial" w:hAnsi="Arial" w:cs="Arial"/>
          <w:lang w:val="mn-MN"/>
        </w:rPr>
        <w:t xml:space="preserve"> зохицуулалт байхгүй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тухайн хуулийн төсөлд тусгасан зөвшөөрөлтэй холбоотой зохицуулал</w:t>
      </w:r>
      <w:r w:rsidRPr="00AA6B58">
        <w:rPr>
          <w:rFonts w:ascii="Arial" w:hAnsi="Arial" w:cs="Arial"/>
          <w:lang w:val="mn-MN"/>
        </w:rPr>
        <w:t>т байхгүй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Монгол Улсын Үндсэн хууль болон Монгол Улсын олон улсын гэрээнд заасан хүний эрхийг хязгаарласан зохицуулалт тусга</w:t>
      </w:r>
      <w:r w:rsidRPr="00AA6B58">
        <w:rPr>
          <w:rFonts w:ascii="Arial" w:hAnsi="Arial" w:cs="Arial"/>
          <w:lang w:val="mn-MN"/>
        </w:rPr>
        <w:t>агүй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төслийн зүйл, заалт жендэрийн эрх тэгш байдлыг хангасан;</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төсөлд шударга бус өрсөлдөөнийг бий болгоход чиглэсэн заалт тусгагд</w:t>
      </w:r>
      <w:r w:rsidRPr="00AA6B58">
        <w:rPr>
          <w:rFonts w:ascii="Arial" w:hAnsi="Arial" w:cs="Arial"/>
          <w:lang w:val="mn-MN"/>
        </w:rPr>
        <w:t>аагүй, харин ч шударга бус өрсөлдөөнийг хязгаарлах ач холбогдолтой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төсөлд авлига, хүнд суртлыг бий болгоход чиглэсэн заалт тусгагд</w:t>
      </w:r>
      <w:r w:rsidRPr="00AA6B58">
        <w:rPr>
          <w:rFonts w:ascii="Arial" w:hAnsi="Arial" w:cs="Arial"/>
          <w:lang w:val="mn-MN"/>
        </w:rPr>
        <w:t>аагүй</w:t>
      </w:r>
      <w:r w:rsidRPr="00AA6B58">
        <w:rPr>
          <w:rFonts w:ascii="Arial" w:hAnsi="Arial" w:cs="Arial"/>
        </w:rPr>
        <w:t>;</w:t>
      </w:r>
    </w:p>
    <w:p w:rsidR="00D76F96" w:rsidRPr="00AA6B58" w:rsidRDefault="00D76F96" w:rsidP="00D76F96">
      <w:pPr>
        <w:pStyle w:val="NormalWeb"/>
        <w:numPr>
          <w:ilvl w:val="0"/>
          <w:numId w:val="1"/>
        </w:numPr>
        <w:spacing w:line="138" w:lineRule="atLeast"/>
        <w:jc w:val="both"/>
        <w:rPr>
          <w:rFonts w:ascii="Arial" w:hAnsi="Arial" w:cs="Arial"/>
        </w:rPr>
      </w:pPr>
      <w:r w:rsidRPr="00AA6B58">
        <w:rPr>
          <w:rFonts w:ascii="Arial" w:hAnsi="Arial" w:cs="Arial"/>
        </w:rPr>
        <w:t>хуулийн төсөлд тусгасан хориглосон хэм хэмжээг зөрчсөн этгээдэд хүлээлгэх хариуцлагын талаар</w:t>
      </w:r>
      <w:r w:rsidRPr="00AA6B58">
        <w:rPr>
          <w:rFonts w:ascii="Arial" w:hAnsi="Arial" w:cs="Arial"/>
          <w:lang w:val="mn-MN"/>
        </w:rPr>
        <w:t xml:space="preserve"> тусгах шаардлагагүй. Төрийн албаны ту</w:t>
      </w:r>
      <w:r>
        <w:rPr>
          <w:rFonts w:ascii="Arial" w:hAnsi="Arial" w:cs="Arial"/>
          <w:lang w:val="mn-MN"/>
        </w:rPr>
        <w:t>хай хуулийн бусад зохицуулалтаар</w:t>
      </w:r>
      <w:r w:rsidRPr="00AA6B58">
        <w:rPr>
          <w:rFonts w:ascii="Arial" w:hAnsi="Arial" w:cs="Arial"/>
          <w:lang w:val="mn-MN"/>
        </w:rPr>
        <w:t xml:space="preserve"> хангагдах боломжтой.</w:t>
      </w:r>
    </w:p>
    <w:p w:rsidR="00D76F96" w:rsidRPr="00AA6B58" w:rsidRDefault="00D76F96" w:rsidP="00D76F96">
      <w:pPr>
        <w:pStyle w:val="NormalWeb"/>
        <w:numPr>
          <w:ilvl w:val="0"/>
          <w:numId w:val="1"/>
        </w:numPr>
        <w:spacing w:line="138" w:lineRule="atLeast"/>
        <w:jc w:val="both"/>
        <w:rPr>
          <w:rFonts w:ascii="Arial" w:hAnsi="Arial" w:cs="Arial"/>
          <w:lang w:val="mn-MN"/>
        </w:rPr>
      </w:pPr>
      <w:r w:rsidRPr="00AA6B58">
        <w:rPr>
          <w:rFonts w:ascii="Arial" w:hAnsi="Arial" w:cs="Arial"/>
          <w:lang w:val="mn-MN"/>
        </w:rPr>
        <w:t>т</w:t>
      </w:r>
      <w:r w:rsidRPr="00AA6B58">
        <w:rPr>
          <w:rFonts w:ascii="Arial" w:hAnsi="Arial" w:cs="Arial"/>
        </w:rPr>
        <w:t>ухайн хуулийн төсөлд хамаарах этгээдүүдээс санал авч, хуулийн төсөл, түүний зохицуулалтыг нэг мөр ойлгож, хэрэгжүүлэх боломжтой</w:t>
      </w:r>
      <w:r w:rsidRPr="00AA6B58">
        <w:rPr>
          <w:rFonts w:ascii="Arial" w:hAnsi="Arial" w:cs="Arial"/>
          <w:lang w:val="mn-MN"/>
        </w:rPr>
        <w:t>.</w:t>
      </w:r>
    </w:p>
    <w:p w:rsidR="00D76F96" w:rsidRPr="00AA6B58" w:rsidRDefault="00D76F96" w:rsidP="00D76F96">
      <w:pPr>
        <w:pStyle w:val="NormalWeb"/>
        <w:spacing w:line="138" w:lineRule="atLeast"/>
        <w:ind w:left="720"/>
        <w:jc w:val="both"/>
        <w:rPr>
          <w:rFonts w:ascii="Arial" w:hAnsi="Arial" w:cs="Arial"/>
          <w:lang w:val="mn-MN"/>
        </w:rPr>
      </w:pPr>
    </w:p>
    <w:p w:rsidR="00D76F96" w:rsidRPr="00AA6B58" w:rsidRDefault="00D76F96" w:rsidP="00D76F96">
      <w:pPr>
        <w:pStyle w:val="NormalWeb"/>
        <w:spacing w:line="138" w:lineRule="atLeast"/>
        <w:ind w:left="720"/>
        <w:jc w:val="center"/>
        <w:rPr>
          <w:rFonts w:ascii="Arial" w:hAnsi="Arial" w:cs="Arial"/>
          <w:b/>
          <w:lang w:val="mn-MN"/>
        </w:rPr>
      </w:pPr>
      <w:r w:rsidRPr="00AA6B58">
        <w:rPr>
          <w:rFonts w:ascii="Arial" w:hAnsi="Arial" w:cs="Arial"/>
          <w:b/>
          <w:lang w:val="mn-MN"/>
        </w:rPr>
        <w:t>ДҮГНЭЛТ</w:t>
      </w:r>
    </w:p>
    <w:p w:rsidR="00D76F96" w:rsidRPr="00AA6B58" w:rsidRDefault="00D76F96" w:rsidP="00D76F96">
      <w:pPr>
        <w:spacing w:after="0" w:line="240" w:lineRule="auto"/>
        <w:ind w:firstLine="720"/>
        <w:contextualSpacing/>
        <w:jc w:val="both"/>
        <w:rPr>
          <w:rFonts w:ascii="Arial" w:hAnsi="Arial" w:cs="Arial"/>
          <w:lang w:val="mn-MN"/>
        </w:rPr>
      </w:pPr>
      <w:r w:rsidRPr="00AA6B58">
        <w:rPr>
          <w:rFonts w:ascii="Arial" w:eastAsiaTheme="minorEastAsia" w:hAnsi="Arial" w:cs="Arial"/>
          <w:lang w:val="mn-MN"/>
        </w:rPr>
        <w:t>Төрийн албаны тухай хуулийн 39 дүгээр зүйлд “</w:t>
      </w:r>
      <w:r w:rsidRPr="00AA6B58">
        <w:rPr>
          <w:rFonts w:ascii="Arial" w:hAnsi="Arial" w:cs="Arial"/>
          <w:noProof/>
          <w:szCs w:val="24"/>
          <w:shd w:val="clear" w:color="auto" w:fill="FFFFFF"/>
          <w:lang w:val="mn-MN"/>
        </w:rPr>
        <w:t xml:space="preserve">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хуудасыг ашиглахыг хориглох зохицуулалтыг </w:t>
      </w:r>
      <w:r w:rsidRPr="00AA6B58">
        <w:rPr>
          <w:rFonts w:ascii="Arial" w:eastAsiaTheme="minorEastAsia" w:hAnsi="Arial" w:cs="Arial"/>
          <w:lang w:val="mn-MN"/>
        </w:rPr>
        <w:t xml:space="preserve">нэмэхээр боловсруулсан нь </w:t>
      </w:r>
      <w:r w:rsidRPr="00AA6B58">
        <w:rPr>
          <w:rFonts w:ascii="Arial" w:hAnsi="Arial" w:cs="Arial"/>
          <w:noProof/>
          <w:szCs w:val="24"/>
          <w:shd w:val="clear" w:color="auto" w:fill="FFFFFF"/>
        </w:rPr>
        <w:t>төрийн үйл ажиллагааг нээлттэй, ил тод болгох, олон нийтэд төрийн байгууллагын үйл ажиллагааг тайлагнах ажилагааг улс төрийн зорилгоор</w:t>
      </w:r>
      <w:r>
        <w:rPr>
          <w:rFonts w:ascii="Arial" w:hAnsi="Arial" w:cs="Arial"/>
          <w:noProof/>
          <w:szCs w:val="24"/>
          <w:shd w:val="clear" w:color="auto" w:fill="FFFFFF"/>
        </w:rPr>
        <w:t xml:space="preserve"> ашиглахгүй байхад түлхэц бол</w:t>
      </w:r>
      <w:r>
        <w:rPr>
          <w:rFonts w:ascii="Arial" w:hAnsi="Arial" w:cs="Arial"/>
          <w:noProof/>
          <w:szCs w:val="24"/>
          <w:shd w:val="clear" w:color="auto" w:fill="FFFFFF"/>
          <w:lang w:val="mn-MN"/>
        </w:rPr>
        <w:t>ох,</w:t>
      </w:r>
      <w:r>
        <w:rPr>
          <w:rFonts w:ascii="Arial" w:hAnsi="Arial" w:cs="Arial"/>
          <w:noProof/>
          <w:szCs w:val="24"/>
          <w:shd w:val="clear" w:color="auto" w:fill="FFFFFF"/>
        </w:rPr>
        <w:t xml:space="preserve"> </w:t>
      </w:r>
      <w:r w:rsidRPr="00AA6B58">
        <w:rPr>
          <w:rFonts w:ascii="Arial" w:hAnsi="Arial" w:cs="Arial"/>
          <w:noProof/>
          <w:szCs w:val="24"/>
          <w:shd w:val="clear" w:color="auto" w:fill="FFFFFF"/>
        </w:rPr>
        <w:t>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w:t>
      </w:r>
      <w:r>
        <w:rPr>
          <w:rFonts w:ascii="Arial" w:hAnsi="Arial" w:cs="Arial"/>
          <w:noProof/>
          <w:shd w:val="clear" w:color="auto" w:fill="FFFFFF"/>
        </w:rPr>
        <w:t>рга бус өрсөлдөөнийг хязгаарла</w:t>
      </w:r>
      <w:r>
        <w:rPr>
          <w:rFonts w:ascii="Arial" w:hAnsi="Arial" w:cs="Arial"/>
          <w:noProof/>
          <w:shd w:val="clear" w:color="auto" w:fill="FFFFFF"/>
          <w:lang w:val="mn-MN"/>
        </w:rPr>
        <w:t>хад чиглэсэн</w:t>
      </w:r>
      <w:r>
        <w:rPr>
          <w:rFonts w:ascii="Arial" w:hAnsi="Arial" w:cs="Arial"/>
          <w:lang w:val="mn-MN"/>
        </w:rPr>
        <w:t xml:space="preserve"> </w:t>
      </w:r>
      <w:r w:rsidRPr="00AA6B58">
        <w:rPr>
          <w:rFonts w:ascii="Arial" w:hAnsi="Arial" w:cs="Arial"/>
          <w:lang w:val="mn-MN"/>
        </w:rPr>
        <w:t xml:space="preserve">зохицуулалтыг бий болгох гэж  </w:t>
      </w:r>
      <w:r>
        <w:rPr>
          <w:rFonts w:ascii="Arial" w:hAnsi="Arial" w:cs="Arial"/>
          <w:lang w:val="mn-MN"/>
        </w:rPr>
        <w:t>хуулийн төслийн үзэл баримтлалаар тодоройлсон зорилгод чиглэгдэж</w:t>
      </w:r>
      <w:r w:rsidRPr="00AA6B58">
        <w:rPr>
          <w:rFonts w:ascii="Arial" w:hAnsi="Arial" w:cs="Arial"/>
          <w:lang w:val="mn-MN"/>
        </w:rPr>
        <w:t xml:space="preserve"> байна.</w:t>
      </w:r>
    </w:p>
    <w:p w:rsidR="00D76F96" w:rsidRPr="00AA6B58" w:rsidRDefault="00D76F96" w:rsidP="00D76F96">
      <w:pPr>
        <w:spacing w:after="0" w:line="240" w:lineRule="auto"/>
        <w:ind w:firstLine="720"/>
        <w:contextualSpacing/>
        <w:jc w:val="both"/>
        <w:rPr>
          <w:rFonts w:ascii="Arial" w:hAnsi="Arial" w:cs="Arial"/>
          <w:noProof/>
          <w:szCs w:val="24"/>
          <w:shd w:val="clear" w:color="auto" w:fill="FFFFFF"/>
          <w:lang w:val="mn-MN"/>
        </w:rPr>
      </w:pPr>
    </w:p>
    <w:p w:rsidR="00D76F96" w:rsidRPr="00AA6B58" w:rsidRDefault="00D76F96" w:rsidP="00D76F96">
      <w:pPr>
        <w:shd w:val="clear" w:color="auto" w:fill="FFFFFF"/>
        <w:spacing w:after="0" w:line="240" w:lineRule="auto"/>
        <w:ind w:firstLine="720"/>
        <w:jc w:val="both"/>
        <w:rPr>
          <w:rFonts w:ascii="Arial" w:eastAsia="Times New Roman" w:hAnsi="Arial" w:cs="Arial"/>
          <w:kern w:val="0"/>
          <w:szCs w:val="24"/>
          <w:lang w:val="mn-MN"/>
        </w:rPr>
      </w:pPr>
      <w:r>
        <w:rPr>
          <w:rFonts w:ascii="Arial" w:eastAsiaTheme="minorEastAsia" w:hAnsi="Arial" w:cs="Arial"/>
          <w:lang w:val="mn-MN"/>
        </w:rPr>
        <w:lastRenderedPageBreak/>
        <w:t xml:space="preserve">Хүчин төгөлдөр үйлчилж байгаа Төрийн албаны тухай хуулиар төрийн албан хаагчид  хориглох зохицуулалтад нэг заалт нэмжэхээр тусгасан байх тул одоо үйлчилж байгаа механизмаар дамжин хэрэгжих боломжтой юм. </w:t>
      </w:r>
      <w:r w:rsidRPr="00AA6B58">
        <w:rPr>
          <w:rFonts w:ascii="Arial" w:eastAsia="Times New Roman" w:hAnsi="Arial" w:cs="Arial"/>
          <w:kern w:val="0"/>
          <w:szCs w:val="24"/>
          <w:lang w:val="mn-MN"/>
        </w:rPr>
        <w:t xml:space="preserve">Иймд тус хуулийг хэрэгжүүлэх этгээд </w:t>
      </w:r>
      <w:r>
        <w:rPr>
          <w:rFonts w:ascii="Arial" w:eastAsia="Times New Roman" w:hAnsi="Arial" w:cs="Arial"/>
          <w:kern w:val="0"/>
          <w:szCs w:val="24"/>
          <w:lang w:val="mn-MN"/>
        </w:rPr>
        <w:t xml:space="preserve">  төрийн албан хаагч,  төрийн байгууллагууд , хяналт   тавих этгээд нь төрийн албаны  төв байгууллага, төрийн холбодох  байгууллагууд, иргэд, олон нийт зэргээр </w:t>
      </w:r>
      <w:r w:rsidRPr="00AA6B58">
        <w:rPr>
          <w:rFonts w:ascii="Arial" w:eastAsia="Times New Roman" w:hAnsi="Arial" w:cs="Arial"/>
          <w:kern w:val="0"/>
          <w:szCs w:val="24"/>
          <w:lang w:val="mn-MN"/>
        </w:rPr>
        <w:t xml:space="preserve">тодорхой байна. </w:t>
      </w:r>
    </w:p>
    <w:p w:rsidR="00D76F96" w:rsidRPr="00AA6B58" w:rsidRDefault="00D76F96" w:rsidP="00D76F96">
      <w:pPr>
        <w:shd w:val="clear" w:color="auto" w:fill="FFFFFF"/>
        <w:spacing w:after="0" w:line="240" w:lineRule="auto"/>
        <w:ind w:firstLine="720"/>
        <w:jc w:val="both"/>
        <w:rPr>
          <w:rFonts w:ascii="Arial" w:eastAsia="Times New Roman" w:hAnsi="Arial" w:cs="Arial"/>
          <w:kern w:val="0"/>
          <w:szCs w:val="24"/>
          <w:lang w:val="mn-MN"/>
        </w:rPr>
      </w:pPr>
    </w:p>
    <w:p w:rsidR="00D76F96" w:rsidRPr="00AE6794" w:rsidRDefault="00D76F96" w:rsidP="00D76F96">
      <w:pPr>
        <w:ind w:firstLine="720"/>
        <w:jc w:val="both"/>
        <w:rPr>
          <w:rFonts w:ascii="Arial" w:hAnsi="Arial" w:cs="Arial"/>
          <w:lang w:val="mn-MN"/>
        </w:rPr>
      </w:pPr>
      <w:r>
        <w:rPr>
          <w:rFonts w:ascii="Arial" w:hAnsi="Arial" w:cs="Arial"/>
          <w:lang w:val="mn-MN"/>
        </w:rPr>
        <w:t xml:space="preserve">Хуулийн төсөл тусгасан </w:t>
      </w:r>
      <w:r w:rsidRPr="00AA6B58">
        <w:rPr>
          <w:rFonts w:ascii="Arial" w:hAnsi="Arial" w:cs="Arial"/>
          <w:lang w:val="mn-MN"/>
        </w:rPr>
        <w:t>хоригл</w:t>
      </w:r>
      <w:r>
        <w:rPr>
          <w:rFonts w:ascii="Arial" w:hAnsi="Arial" w:cs="Arial"/>
          <w:lang w:val="mn-MN"/>
        </w:rPr>
        <w:t>о</w:t>
      </w:r>
      <w:r w:rsidRPr="00AA6B58">
        <w:rPr>
          <w:rFonts w:ascii="Arial" w:hAnsi="Arial" w:cs="Arial"/>
          <w:lang w:val="mn-MN"/>
        </w:rPr>
        <w:t>сон зохицуулалт нь заавал идэвхтэй үйлдэл хийхийг шаардлахгүй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D76F96" w:rsidRPr="00AA6B58" w:rsidRDefault="00D76F96" w:rsidP="00D76F96">
      <w:pPr>
        <w:pStyle w:val="NormalWeb"/>
        <w:spacing w:line="138" w:lineRule="atLeast"/>
        <w:ind w:firstLine="360"/>
        <w:jc w:val="both"/>
        <w:rPr>
          <w:rFonts w:ascii="Arial" w:hAnsi="Arial" w:cs="Arial"/>
          <w:lang w:val="mn-MN"/>
        </w:rPr>
      </w:pPr>
      <w:r w:rsidRPr="00AA6B58">
        <w:rPr>
          <w:rFonts w:ascii="Arial" w:hAnsi="Arial" w:cs="Arial"/>
          <w:lang w:val="mn-MN"/>
        </w:rPr>
        <w:t>Х</w:t>
      </w:r>
      <w:r w:rsidRPr="00AA6B58">
        <w:rPr>
          <w:rFonts w:ascii="Arial" w:hAnsi="Arial" w:cs="Arial"/>
        </w:rPr>
        <w:t>уулийн төслийг боловсруулахдаа Хууль тогтоомжийн тухай хууль</w:t>
      </w:r>
      <w:r w:rsidRPr="00AA6B58">
        <w:rPr>
          <w:rFonts w:ascii="Arial" w:hAnsi="Arial" w:cs="Arial"/>
          <w:lang w:val="mn-MN"/>
        </w:rPr>
        <w:t xml:space="preserve"> болон </w:t>
      </w:r>
      <w:r w:rsidRPr="00AA6B58">
        <w:rPr>
          <w:rFonts w:ascii="Arial" w:hAnsi="Arial" w:cs="Arial"/>
        </w:rPr>
        <w:t xml:space="preserve">“Хууль тогтоомжийн төсөл боловсруулах аргачлал”-ыг баримталсан </w:t>
      </w:r>
      <w:r w:rsidRPr="00AA6B58">
        <w:rPr>
          <w:rFonts w:ascii="Arial" w:hAnsi="Arial" w:cs="Arial"/>
          <w:lang w:val="mn-MN"/>
        </w:rPr>
        <w:t xml:space="preserve"> байна гэж үзлээ.</w:t>
      </w:r>
    </w:p>
    <w:p w:rsidR="00D76F96" w:rsidRPr="00AA6B58" w:rsidRDefault="00D76F96" w:rsidP="00D76F96">
      <w:pPr>
        <w:pStyle w:val="NormalWeb"/>
        <w:spacing w:line="138" w:lineRule="atLeast"/>
        <w:ind w:firstLine="360"/>
        <w:jc w:val="both"/>
        <w:rPr>
          <w:rFonts w:ascii="Arial" w:hAnsi="Arial" w:cs="Arial"/>
        </w:rPr>
      </w:pPr>
    </w:p>
    <w:p w:rsidR="00D76F96" w:rsidRDefault="00D76F96" w:rsidP="00D76F96">
      <w:pPr>
        <w:pStyle w:val="NormalWeb"/>
        <w:spacing w:line="138" w:lineRule="atLeast"/>
        <w:jc w:val="center"/>
        <w:rPr>
          <w:rFonts w:ascii="Arial" w:hAnsi="Arial" w:cs="Arial"/>
        </w:rPr>
      </w:pPr>
      <w:r w:rsidRPr="00AA6B58">
        <w:rPr>
          <w:rFonts w:ascii="Arial" w:hAnsi="Arial" w:cs="Arial"/>
        </w:rPr>
        <w:t>--</w:t>
      </w:r>
      <w:r w:rsidRPr="00AA6B58">
        <w:rPr>
          <w:rFonts w:ascii="Arial" w:hAnsi="Arial" w:cs="Arial"/>
          <w:lang w:val="mn-MN"/>
        </w:rPr>
        <w:t>-</w:t>
      </w:r>
      <w:r w:rsidRPr="00AA6B58">
        <w:rPr>
          <w:rFonts w:ascii="Arial" w:hAnsi="Arial" w:cs="Arial"/>
        </w:rPr>
        <w:t>o0o---</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51CF2"/>
    <w:multiLevelType w:val="hybridMultilevel"/>
    <w:tmpl w:val="49744D9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E3D57"/>
    <w:multiLevelType w:val="hybridMultilevel"/>
    <w:tmpl w:val="C51665F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322831">
    <w:abstractNumId w:val="0"/>
  </w:num>
  <w:num w:numId="2" w16cid:durableId="203885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96"/>
    <w:rsid w:val="003E6615"/>
    <w:rsid w:val="00616049"/>
    <w:rsid w:val="00950B97"/>
    <w:rsid w:val="00B435B3"/>
    <w:rsid w:val="00D76F96"/>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B5DE323-4908-E540-885F-65FF174B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96"/>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96"/>
    <w:pPr>
      <w:ind w:left="720"/>
      <w:contextualSpacing/>
    </w:pPr>
  </w:style>
  <w:style w:type="paragraph" w:styleId="NormalWeb">
    <w:name w:val="Normal (Web)"/>
    <w:basedOn w:val="Normal"/>
    <w:link w:val="NormalWebChar"/>
    <w:uiPriority w:val="99"/>
    <w:unhideWhenUsed/>
    <w:qFormat/>
    <w:rsid w:val="00D76F96"/>
    <w:rPr>
      <w:rFonts w:eastAsia="SimSun" w:cs="Times New Roman"/>
      <w:kern w:val="0"/>
      <w:szCs w:val="24"/>
    </w:rPr>
  </w:style>
  <w:style w:type="character" w:customStyle="1" w:styleId="NormalWebChar">
    <w:name w:val="Normal (Web) Char"/>
    <w:link w:val="NormalWeb"/>
    <w:uiPriority w:val="99"/>
    <w:locked/>
    <w:rsid w:val="00D76F96"/>
    <w:rPr>
      <w:rFonts w:ascii="Times New Roman" w:eastAsia="SimSun" w:hAnsi="Times New Roman" w:cs="Times New Roman"/>
      <w:kern w:val="0"/>
      <w:lang w:val="en-US"/>
      <w14:ligatures w14:val="none"/>
    </w:rPr>
  </w:style>
  <w:style w:type="paragraph" w:customStyle="1" w:styleId="Bodytext2">
    <w:name w:val="Body text (2)"/>
    <w:basedOn w:val="Normal"/>
    <w:link w:val="Bodytext20"/>
    <w:rsid w:val="00D76F96"/>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D76F96"/>
    <w:rPr>
      <w:rFonts w:ascii="Arial" w:eastAsia="Arial" w:hAnsi="Arial" w:cs="Arial"/>
      <w:color w:val="000000"/>
      <w:kern w:val="0"/>
      <w:sz w:val="22"/>
      <w:szCs w:val="22"/>
      <w:shd w:val="clear" w:color="auto" w:fill="FFFFFF"/>
      <w:lang w:val="mn-MN" w:eastAsia="mn-MN" w:bidi="mn-MN"/>
      <w14:ligatures w14:val="none"/>
    </w:rPr>
  </w:style>
  <w:style w:type="table" w:styleId="TableGrid">
    <w:name w:val="Table Grid"/>
    <w:basedOn w:val="TableNormal"/>
    <w:uiPriority w:val="59"/>
    <w:rsid w:val="00D76F96"/>
    <w:rPr>
      <w:rFonts w:ascii="Arial" w:hAnsi="Arial"/>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2026-04-03T11:27:00Z</dcterms:created>
  <dcterms:modified xsi:type="dcterms:W3CDTF">2026-04-03T11:27:00Z</dcterms:modified>
</cp:coreProperties>
</file>