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3504" w:rsidRPr="00AA6B58" w:rsidRDefault="00B33504" w:rsidP="00B33504">
      <w:pPr>
        <w:pStyle w:val="NormalWeb"/>
        <w:spacing w:line="138" w:lineRule="atLeast"/>
        <w:jc w:val="both"/>
        <w:rPr>
          <w:rFonts w:ascii="Arial" w:hAnsi="Arial" w:cs="Arial"/>
          <w:lang w:val="mn-MN"/>
        </w:rPr>
      </w:pPr>
    </w:p>
    <w:p w:rsidR="00B33504" w:rsidRPr="0050535E" w:rsidRDefault="00B33504" w:rsidP="00B33504">
      <w:pPr>
        <w:spacing w:after="0" w:line="240" w:lineRule="auto"/>
        <w:ind w:right="-446"/>
        <w:jc w:val="center"/>
        <w:rPr>
          <w:rFonts w:ascii="Arial" w:hAnsi="Arial" w:cs="Arial"/>
          <w:b/>
          <w:sz w:val="24"/>
          <w:szCs w:val="24"/>
          <w:lang w:val="mn-MN"/>
        </w:rPr>
      </w:pPr>
      <w:r w:rsidRPr="0050535E">
        <w:rPr>
          <w:rFonts w:ascii="Arial" w:hAnsi="Arial" w:cs="Arial"/>
          <w:b/>
          <w:sz w:val="24"/>
          <w:szCs w:val="24"/>
          <w:lang w:val="mn-MN"/>
        </w:rPr>
        <w:t xml:space="preserve">ХУУЛЬЧИЙН ЭРХ ЗҮЙН БАЙДЛЫН ТУХАЙ ХУУЛЬД НЭМЭЛТ, ӨӨРЧЛӨЛТ </w:t>
      </w:r>
    </w:p>
    <w:p w:rsidR="00B33504" w:rsidRDefault="00B33504" w:rsidP="00B33504">
      <w:pPr>
        <w:spacing w:after="0" w:line="240" w:lineRule="auto"/>
        <w:ind w:right="-446"/>
        <w:jc w:val="center"/>
        <w:rPr>
          <w:rFonts w:ascii="Arial" w:hAnsi="Arial" w:cs="Arial"/>
          <w:b/>
        </w:rPr>
      </w:pPr>
      <w:r w:rsidRPr="0050535E">
        <w:rPr>
          <w:rFonts w:ascii="Arial" w:hAnsi="Arial" w:cs="Arial"/>
          <w:b/>
          <w:sz w:val="24"/>
          <w:szCs w:val="24"/>
          <w:lang w:val="mn-MN"/>
        </w:rPr>
        <w:t>ОРУУЛАХ ТУХАЙ</w:t>
      </w:r>
      <w:r w:rsidRPr="0050535E">
        <w:rPr>
          <w:rFonts w:ascii="Arial" w:hAnsi="Arial" w:cs="Arial"/>
          <w:b/>
          <w:lang w:val="mn-MN"/>
        </w:rPr>
        <w:t xml:space="preserve"> </w:t>
      </w:r>
      <w:r w:rsidRPr="0050535E">
        <w:rPr>
          <w:rFonts w:ascii="Arial" w:eastAsia="DengXian" w:hAnsi="Arial" w:cs="Arial"/>
          <w:b/>
          <w:kern w:val="2"/>
          <w:sz w:val="24"/>
          <w:szCs w:val="24"/>
          <w:lang w:val="mn-MN"/>
        </w:rPr>
        <w:t xml:space="preserve">ХУУЛИЙГ ХЭРЭГЖҮҮЛЭХТЭЙ ХОЛБОГДОН </w:t>
      </w:r>
    </w:p>
    <w:p w:rsidR="00B33504" w:rsidRPr="0050535E" w:rsidRDefault="00B33504" w:rsidP="00B33504">
      <w:pPr>
        <w:spacing w:after="0" w:line="240" w:lineRule="auto"/>
        <w:ind w:right="-446"/>
        <w:jc w:val="center"/>
        <w:rPr>
          <w:rFonts w:ascii="Arial" w:hAnsi="Arial" w:cs="Arial"/>
          <w:b/>
          <w:lang w:val="mn-MN"/>
        </w:rPr>
      </w:pPr>
      <w:r>
        <w:rPr>
          <w:rFonts w:ascii="Arial" w:eastAsia="DengXian" w:hAnsi="Arial" w:cs="Arial"/>
          <w:b/>
          <w:kern w:val="2"/>
          <w:sz w:val="24"/>
          <w:szCs w:val="24"/>
          <w:lang w:val="mn-MN"/>
        </w:rPr>
        <w:t>ГАРАХ ЗАРДЛЫН ТООЦОО</w:t>
      </w:r>
    </w:p>
    <w:p w:rsidR="00B33504" w:rsidRPr="0050535E" w:rsidRDefault="00B33504" w:rsidP="00B33504">
      <w:pPr>
        <w:spacing w:after="0" w:line="240" w:lineRule="auto"/>
        <w:rPr>
          <w:rFonts w:ascii="Arial" w:eastAsia="DengXian" w:hAnsi="Arial" w:cs="Arial"/>
          <w:b/>
          <w:kern w:val="2"/>
          <w:sz w:val="24"/>
          <w:szCs w:val="24"/>
          <w:lang w:val="mn-MN"/>
        </w:rPr>
      </w:pPr>
    </w:p>
    <w:p w:rsidR="00B33504" w:rsidRPr="004E42B2" w:rsidRDefault="00B33504" w:rsidP="00B33504">
      <w:pPr>
        <w:spacing w:after="0" w:line="240" w:lineRule="auto"/>
        <w:jc w:val="both"/>
        <w:rPr>
          <w:rFonts w:ascii="Arial" w:eastAsia="DengXian" w:hAnsi="Arial" w:cs="Arial"/>
          <w:kern w:val="2"/>
          <w:sz w:val="24"/>
          <w:szCs w:val="24"/>
          <w:lang w:val="mn-MN"/>
        </w:rPr>
      </w:pPr>
      <w:r w:rsidRPr="004E42B2">
        <w:rPr>
          <w:rFonts w:ascii="Arial" w:eastAsia="DengXian" w:hAnsi="Arial" w:cs="Arial"/>
          <w:kern w:val="2"/>
          <w:sz w:val="24"/>
          <w:szCs w:val="24"/>
          <w:lang w:val="mn-MN"/>
        </w:rPr>
        <w:tab/>
        <w:t>Хууль тогтоомжийн тухай хуулийн</w:t>
      </w:r>
      <w:r w:rsidRPr="004E42B2">
        <w:rPr>
          <w:rFonts w:ascii="Arial" w:eastAsia="DengXian" w:hAnsi="Arial" w:cs="Arial"/>
          <w:kern w:val="2"/>
          <w:sz w:val="24"/>
          <w:szCs w:val="24"/>
          <w:vertAlign w:val="superscript"/>
          <w:lang w:val="mn-MN"/>
        </w:rPr>
        <w:footnoteReference w:id="1"/>
      </w:r>
      <w:r w:rsidRPr="004E42B2">
        <w:rPr>
          <w:rFonts w:ascii="Arial" w:eastAsia="DengXian" w:hAnsi="Arial" w:cs="Arial"/>
          <w:kern w:val="2"/>
          <w:sz w:val="24"/>
          <w:szCs w:val="24"/>
          <w:lang w:val="mn-MN"/>
        </w:rPr>
        <w:t xml:space="preserve"> 18 дугаар зүйлийн 18.1 дэх хэсэгт “</w:t>
      </w:r>
      <w:r w:rsidRPr="004E42B2">
        <w:rPr>
          <w:rFonts w:ascii="Arial" w:eastAsia="DengXian" w:hAnsi="Arial" w:cs="Arial"/>
          <w:kern w:val="2"/>
          <w:sz w:val="24"/>
          <w:szCs w:val="24"/>
        </w:rPr>
        <w:t>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w:t>
      </w:r>
      <w:r w:rsidRPr="004E42B2">
        <w:rPr>
          <w:rFonts w:ascii="Arial" w:eastAsia="DengXian" w:hAnsi="Arial" w:cs="Arial"/>
          <w:kern w:val="2"/>
          <w:sz w:val="24"/>
          <w:szCs w:val="24"/>
          <w:lang w:val="mn-MN"/>
        </w:rPr>
        <w:t xml:space="preserve">” гэж заасны дагуу </w:t>
      </w:r>
      <w:r>
        <w:rPr>
          <w:rFonts w:ascii="Arial" w:eastAsia="DengXian" w:hAnsi="Arial" w:cs="Arial"/>
          <w:kern w:val="2"/>
          <w:sz w:val="24"/>
          <w:szCs w:val="24"/>
          <w:lang w:val="mn-MN"/>
        </w:rPr>
        <w:t xml:space="preserve">Хуульчийн эрх зүйн байдлын тухай </w:t>
      </w:r>
      <w:r w:rsidRPr="004E42B2">
        <w:rPr>
          <w:rFonts w:ascii="Arial" w:eastAsia="DengXian" w:hAnsi="Arial" w:cs="Arial"/>
          <w:bCs/>
          <w:kern w:val="2"/>
          <w:sz w:val="24"/>
          <w:szCs w:val="24"/>
          <w:lang w:val="mn-MN"/>
        </w:rPr>
        <w:t>хуульд нэм</w:t>
      </w:r>
      <w:r>
        <w:rPr>
          <w:rFonts w:ascii="Arial" w:eastAsia="DengXian" w:hAnsi="Arial" w:cs="Arial"/>
          <w:bCs/>
          <w:kern w:val="2"/>
          <w:sz w:val="24"/>
          <w:szCs w:val="24"/>
          <w:lang w:val="mn-MN"/>
        </w:rPr>
        <w:t xml:space="preserve">элт оруулах тухай </w:t>
      </w:r>
      <w:r w:rsidRPr="004E42B2">
        <w:rPr>
          <w:rFonts w:ascii="Arial" w:eastAsia="DengXian" w:hAnsi="Arial" w:cs="Arial"/>
          <w:kern w:val="2"/>
          <w:sz w:val="24"/>
          <w:szCs w:val="24"/>
          <w:lang w:val="mn-MN"/>
        </w:rPr>
        <w:t xml:space="preserve">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гаргав. </w:t>
      </w:r>
    </w:p>
    <w:p w:rsidR="00B33504" w:rsidRPr="004E42B2" w:rsidRDefault="00B33504" w:rsidP="00B33504">
      <w:pPr>
        <w:spacing w:after="0" w:line="240" w:lineRule="auto"/>
        <w:jc w:val="both"/>
        <w:rPr>
          <w:rFonts w:ascii="Arial" w:eastAsia="DengXian" w:hAnsi="Arial" w:cs="Arial"/>
          <w:kern w:val="2"/>
          <w:sz w:val="24"/>
          <w:szCs w:val="24"/>
          <w:lang w:val="mn-MN"/>
        </w:rPr>
      </w:pPr>
    </w:p>
    <w:p w:rsidR="00B33504" w:rsidRPr="004E42B2" w:rsidRDefault="00B33504" w:rsidP="00B33504">
      <w:pPr>
        <w:spacing w:after="0" w:line="240" w:lineRule="auto"/>
        <w:jc w:val="both"/>
        <w:rPr>
          <w:rFonts w:ascii="Arial" w:eastAsia="DengXian" w:hAnsi="Arial" w:cs="Arial"/>
          <w:kern w:val="2"/>
          <w:sz w:val="24"/>
          <w:szCs w:val="24"/>
          <w:lang w:val="mn-MN"/>
        </w:rPr>
      </w:pPr>
      <w:r w:rsidRPr="004E42B2">
        <w:rPr>
          <w:rFonts w:ascii="Arial" w:eastAsia="DengXian" w:hAnsi="Arial" w:cs="Arial"/>
          <w:kern w:val="2"/>
          <w:sz w:val="24"/>
          <w:szCs w:val="24"/>
          <w:lang w:val="mn-MN"/>
        </w:rPr>
        <w:tab/>
      </w:r>
      <w:r>
        <w:rPr>
          <w:rFonts w:ascii="Arial" w:eastAsia="DengXian" w:hAnsi="Arial" w:cs="Arial"/>
          <w:kern w:val="2"/>
          <w:sz w:val="24"/>
          <w:szCs w:val="24"/>
          <w:lang w:val="mn-MN"/>
        </w:rPr>
        <w:t xml:space="preserve">Хуульчийн эрх зүйн байдлын тухай </w:t>
      </w:r>
      <w:r w:rsidRPr="004E42B2">
        <w:rPr>
          <w:rFonts w:ascii="Arial" w:eastAsia="DengXian" w:hAnsi="Arial" w:cs="Arial"/>
          <w:bCs/>
          <w:kern w:val="2"/>
          <w:sz w:val="24"/>
          <w:szCs w:val="24"/>
          <w:lang w:val="mn-MN"/>
        </w:rPr>
        <w:t xml:space="preserve">хуульд нэмэлт оруулах тухай хуулийн төсөл </w:t>
      </w:r>
      <w:r w:rsidRPr="004E42B2">
        <w:rPr>
          <w:rFonts w:ascii="Arial" w:eastAsia="DengXian" w:hAnsi="Arial" w:cs="Arial"/>
          <w:kern w:val="2"/>
          <w:sz w:val="24"/>
          <w:szCs w:val="24"/>
          <w:lang w:val="mn-MN"/>
        </w:rPr>
        <w:t>батлагдсанаар уг х</w:t>
      </w:r>
      <w:r w:rsidRPr="004E42B2">
        <w:rPr>
          <w:rFonts w:ascii="Arial" w:eastAsia="DengXian" w:hAnsi="Arial" w:cs="Arial"/>
          <w:kern w:val="2"/>
          <w:sz w:val="24"/>
          <w:szCs w:val="24"/>
        </w:rPr>
        <w:t>уулийг хэрэгжүүлэх иргэн, хуулийн этгээд, төрийн байгууллаг</w:t>
      </w:r>
      <w:r w:rsidRPr="004E42B2">
        <w:rPr>
          <w:rFonts w:ascii="Arial" w:eastAsia="DengXian" w:hAnsi="Arial" w:cs="Arial"/>
          <w:kern w:val="2"/>
          <w:sz w:val="24"/>
          <w:szCs w:val="24"/>
          <w:lang w:val="mn-MN"/>
        </w:rPr>
        <w:t xml:space="preserve">ад үүсэх зардал, </w:t>
      </w:r>
      <w:r w:rsidRPr="004E42B2">
        <w:rPr>
          <w:rFonts w:ascii="Arial" w:eastAsia="DengXian" w:hAnsi="Arial" w:cs="Arial"/>
          <w:kern w:val="2"/>
          <w:sz w:val="24"/>
          <w:szCs w:val="24"/>
        </w:rPr>
        <w:t xml:space="preserve">ачааллыг </w:t>
      </w:r>
      <w:r w:rsidRPr="004E42B2">
        <w:rPr>
          <w:rFonts w:ascii="Arial" w:eastAsia="DengXian" w:hAnsi="Arial" w:cs="Arial"/>
          <w:kern w:val="2"/>
          <w:sz w:val="24"/>
          <w:szCs w:val="24"/>
          <w:lang w:val="mn-MN"/>
        </w:rPr>
        <w:t xml:space="preserve">тооцож, үүнийг хялбарчлах, бууруулах талаар </w:t>
      </w:r>
      <w:r w:rsidRPr="004E42B2">
        <w:rPr>
          <w:rFonts w:ascii="Arial" w:eastAsia="DengXian" w:hAnsi="Arial" w:cs="Arial"/>
          <w:kern w:val="2"/>
          <w:sz w:val="24"/>
          <w:szCs w:val="24"/>
        </w:rPr>
        <w:t>санал боловсруулахад</w:t>
      </w:r>
      <w:r w:rsidRPr="004E42B2">
        <w:rPr>
          <w:rFonts w:ascii="Arial" w:eastAsia="DengXian" w:hAnsi="Arial" w:cs="Arial"/>
          <w:kern w:val="2"/>
          <w:sz w:val="24"/>
          <w:szCs w:val="24"/>
          <w:lang w:val="mn-MN"/>
        </w:rPr>
        <w:t xml:space="preserve"> </w:t>
      </w:r>
      <w:r w:rsidRPr="004E42B2">
        <w:rPr>
          <w:rFonts w:ascii="Arial" w:eastAsia="DengXian" w:hAnsi="Arial" w:cs="Arial"/>
          <w:kern w:val="2"/>
          <w:sz w:val="24"/>
          <w:szCs w:val="24"/>
        </w:rPr>
        <w:t xml:space="preserve"> энэхүү</w:t>
      </w:r>
      <w:r w:rsidRPr="004E42B2">
        <w:rPr>
          <w:rFonts w:ascii="Arial" w:eastAsia="DengXian" w:hAnsi="Arial" w:cs="Arial"/>
          <w:kern w:val="2"/>
          <w:sz w:val="24"/>
          <w:szCs w:val="24"/>
          <w:lang w:val="mn-MN"/>
        </w:rPr>
        <w:t xml:space="preserve"> тайлан чиглэгдэх болно. </w:t>
      </w:r>
    </w:p>
    <w:p w:rsidR="00B33504" w:rsidRPr="004E42B2" w:rsidRDefault="00B33504" w:rsidP="00B33504">
      <w:pPr>
        <w:spacing w:after="0" w:line="240" w:lineRule="auto"/>
        <w:jc w:val="both"/>
        <w:rPr>
          <w:rFonts w:ascii="Arial" w:eastAsia="DengXian" w:hAnsi="Arial" w:cs="Arial"/>
          <w:kern w:val="2"/>
          <w:sz w:val="24"/>
          <w:szCs w:val="24"/>
          <w:lang w:val="mn-MN"/>
        </w:rPr>
      </w:pPr>
    </w:p>
    <w:p w:rsidR="00B33504" w:rsidRPr="004E42B2" w:rsidRDefault="00B33504" w:rsidP="00B33504">
      <w:pPr>
        <w:spacing w:after="0" w:line="240" w:lineRule="auto"/>
        <w:jc w:val="both"/>
        <w:rPr>
          <w:rFonts w:ascii="Arial" w:eastAsia="DengXian" w:hAnsi="Arial" w:cs="Arial"/>
          <w:kern w:val="2"/>
          <w:sz w:val="24"/>
          <w:szCs w:val="24"/>
          <w:lang w:val="mn-MN"/>
        </w:rPr>
      </w:pPr>
      <w:r w:rsidRPr="004E42B2">
        <w:rPr>
          <w:rFonts w:ascii="Arial" w:eastAsia="DengXian" w:hAnsi="Arial" w:cs="Arial"/>
          <w:kern w:val="2"/>
          <w:sz w:val="24"/>
          <w:szCs w:val="24"/>
          <w:lang w:val="mn-MN"/>
        </w:rPr>
        <w:tab/>
        <w:t xml:space="preserve">Хуулийн төслийн зардлыг тооцохдоо бодит статистик болон хугацааг шууд ашиглах боломжгүй тохиолдолд аргачлалын 2.5.2, 4.4.2 дахь заалтуудыг тус тус үндэслэн адил төстэй ажил, үйлчилгээ байгаа эсэхийг судалж, баримжаалах авах, түүнчлэн хуулийн төслийн тандан судалгааны тайланд тусгасан судалгаа, тоо баримт, статистикийг ашиглаг хугацаа, тохиолдлын тоо зэргийг тогтоосон болно. </w:t>
      </w:r>
    </w:p>
    <w:p w:rsidR="00B33504" w:rsidRPr="004E42B2" w:rsidRDefault="00B33504" w:rsidP="00B33504">
      <w:pPr>
        <w:spacing w:after="0" w:line="240" w:lineRule="auto"/>
        <w:jc w:val="both"/>
        <w:rPr>
          <w:rFonts w:ascii="Arial" w:eastAsia="DengXian" w:hAnsi="Arial" w:cs="Arial"/>
          <w:kern w:val="2"/>
          <w:sz w:val="24"/>
          <w:szCs w:val="24"/>
          <w:lang w:val="mn-MN"/>
        </w:rPr>
      </w:pPr>
    </w:p>
    <w:p w:rsidR="00B33504" w:rsidRPr="007446A5" w:rsidRDefault="00B33504" w:rsidP="00B33504">
      <w:pPr>
        <w:spacing w:after="0" w:line="240" w:lineRule="auto"/>
        <w:ind w:firstLine="720"/>
        <w:rPr>
          <w:rFonts w:ascii="Arial" w:eastAsia="DengXian" w:hAnsi="Arial" w:cs="Arial"/>
          <w:b/>
          <w:kern w:val="2"/>
          <w:sz w:val="24"/>
          <w:szCs w:val="24"/>
          <w:lang w:val="mn-MN"/>
        </w:rPr>
      </w:pPr>
      <w:r w:rsidRPr="007446A5">
        <w:rPr>
          <w:rFonts w:ascii="Arial" w:eastAsia="DengXian" w:hAnsi="Arial" w:cs="Arial"/>
          <w:b/>
          <w:kern w:val="2"/>
          <w:sz w:val="24"/>
          <w:szCs w:val="24"/>
          <w:lang w:val="mn-MN"/>
        </w:rPr>
        <w:t>1.Хуулийн этгээдэд үүсэх зардлын тооцоо</w:t>
      </w:r>
    </w:p>
    <w:p w:rsidR="00B33504" w:rsidRPr="004E42B2" w:rsidRDefault="00B33504" w:rsidP="00B33504">
      <w:pPr>
        <w:spacing w:after="0" w:line="240" w:lineRule="auto"/>
        <w:jc w:val="center"/>
        <w:rPr>
          <w:rFonts w:ascii="Arial" w:eastAsia="DengXian" w:hAnsi="Arial" w:cs="Arial"/>
          <w:b/>
          <w:kern w:val="2"/>
          <w:sz w:val="24"/>
          <w:szCs w:val="24"/>
          <w:lang w:val="mn-MN"/>
        </w:rPr>
      </w:pPr>
    </w:p>
    <w:p w:rsidR="00B33504" w:rsidRDefault="00B33504" w:rsidP="00B33504">
      <w:pPr>
        <w:spacing w:after="0" w:line="240" w:lineRule="auto"/>
        <w:jc w:val="both"/>
        <w:rPr>
          <w:rFonts w:ascii="Arial" w:eastAsia="DengXian" w:hAnsi="Arial" w:cs="Arial"/>
          <w:kern w:val="2"/>
          <w:sz w:val="24"/>
          <w:szCs w:val="24"/>
          <w:lang w:val="mn-MN"/>
        </w:rPr>
      </w:pPr>
      <w:r w:rsidRPr="004E42B2">
        <w:rPr>
          <w:rFonts w:ascii="Arial" w:eastAsia="DengXian" w:hAnsi="Arial" w:cs="Arial"/>
          <w:kern w:val="2"/>
          <w:sz w:val="24"/>
          <w:szCs w:val="24"/>
          <w:lang w:val="mn-MN"/>
        </w:rPr>
        <w:tab/>
        <w:t xml:space="preserve">Энэ хэсэгт </w:t>
      </w:r>
      <w:r w:rsidRPr="004E42B2">
        <w:rPr>
          <w:rFonts w:ascii="Arial" w:eastAsia="DengXian" w:hAnsi="Arial" w:cs="Arial"/>
          <w:bCs/>
          <w:kern w:val="2"/>
          <w:sz w:val="24"/>
          <w:szCs w:val="24"/>
          <w:lang w:val="mn-MN"/>
        </w:rPr>
        <w:t>хуулийн</w:t>
      </w:r>
      <w:r w:rsidRPr="004E42B2">
        <w:rPr>
          <w:rFonts w:ascii="Arial" w:eastAsia="DengXian" w:hAnsi="Arial" w:cs="Arial"/>
          <w:b/>
          <w:kern w:val="2"/>
          <w:sz w:val="24"/>
          <w:szCs w:val="24"/>
          <w:lang w:val="mn-MN"/>
        </w:rPr>
        <w:t xml:space="preserve"> </w:t>
      </w:r>
      <w:r w:rsidRPr="004E42B2">
        <w:rPr>
          <w:rFonts w:ascii="Arial" w:eastAsia="DengXian" w:hAnsi="Arial" w:cs="Arial"/>
          <w:color w:val="000000"/>
          <w:kern w:val="2"/>
          <w:sz w:val="24"/>
          <w:szCs w:val="24"/>
          <w:lang w:val="mn-MN"/>
        </w:rPr>
        <w:t xml:space="preserve">төсөл </w:t>
      </w:r>
      <w:r w:rsidRPr="004E42B2">
        <w:rPr>
          <w:rFonts w:ascii="Arial" w:eastAsia="DengXian" w:hAnsi="Arial" w:cs="Arial"/>
          <w:kern w:val="2"/>
          <w:sz w:val="24"/>
          <w:szCs w:val="24"/>
          <w:lang w:val="mn-MN"/>
        </w:rPr>
        <w:t>батлагдсанаар хуулийн этгээдийн эрхлэх үйл ажиллагаатай холбоотой гүйцэтгэх үүргийн улмаас үүсэх зардлыг мөнгөн дүнгээр тооцоолон гаргана. Ийнхүү 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w:t>
      </w:r>
      <w:r>
        <w:rPr>
          <w:rFonts w:ascii="Arial" w:eastAsia="DengXian" w:hAnsi="Arial" w:cs="Arial"/>
          <w:kern w:val="2"/>
          <w:sz w:val="24"/>
          <w:szCs w:val="24"/>
          <w:lang w:val="mn-MN"/>
        </w:rPr>
        <w:t xml:space="preserve">араах үе шаттайгаар тооцоолно. </w:t>
      </w:r>
      <w:r w:rsidRPr="004E42B2">
        <w:rPr>
          <w:rFonts w:ascii="Arial" w:eastAsia="DengXian" w:hAnsi="Arial" w:cs="Arial"/>
          <w:kern w:val="2"/>
          <w:sz w:val="24"/>
          <w:szCs w:val="24"/>
          <w:lang w:val="mn-MN"/>
        </w:rPr>
        <w:t xml:space="preserve"> Үүнд:</w:t>
      </w:r>
    </w:p>
    <w:p w:rsidR="00B33504" w:rsidRPr="0050535E" w:rsidRDefault="00B33504" w:rsidP="00B33504">
      <w:pPr>
        <w:spacing w:after="0" w:line="240" w:lineRule="auto"/>
        <w:jc w:val="both"/>
        <w:rPr>
          <w:rFonts w:ascii="Arial" w:eastAsia="DengXian" w:hAnsi="Arial" w:cs="Arial"/>
          <w:kern w:val="2"/>
          <w:sz w:val="24"/>
          <w:szCs w:val="24"/>
          <w:lang w:val="mn-MN"/>
        </w:rPr>
      </w:pPr>
    </w:p>
    <w:p w:rsidR="00B33504" w:rsidRPr="004E42B2" w:rsidRDefault="00B33504" w:rsidP="00B33504">
      <w:pPr>
        <w:numPr>
          <w:ilvl w:val="0"/>
          <w:numId w:val="1"/>
        </w:numPr>
        <w:spacing w:after="0" w:line="240" w:lineRule="auto"/>
        <w:jc w:val="both"/>
        <w:rPr>
          <w:rFonts w:ascii="Arial" w:eastAsia="SimSun" w:hAnsi="Arial" w:cs="Arial"/>
          <w:sz w:val="24"/>
          <w:szCs w:val="24"/>
        </w:rPr>
      </w:pPr>
      <w:r w:rsidRPr="004E42B2">
        <w:rPr>
          <w:rFonts w:ascii="Arial" w:eastAsia="SimSun" w:hAnsi="Arial" w:cs="Arial"/>
          <w:sz w:val="24"/>
          <w:szCs w:val="24"/>
        </w:rPr>
        <w:t>хуулийн этгээдийн гүйцэтгэх үүргийг тогтоох</w:t>
      </w:r>
    </w:p>
    <w:p w:rsidR="00B33504" w:rsidRPr="004E42B2" w:rsidRDefault="00B33504" w:rsidP="00B33504">
      <w:pPr>
        <w:numPr>
          <w:ilvl w:val="0"/>
          <w:numId w:val="1"/>
        </w:numPr>
        <w:spacing w:after="0" w:line="240" w:lineRule="auto"/>
        <w:jc w:val="both"/>
        <w:rPr>
          <w:rFonts w:ascii="Arial" w:eastAsia="SimSun" w:hAnsi="Arial" w:cs="Arial"/>
          <w:sz w:val="24"/>
          <w:szCs w:val="24"/>
        </w:rPr>
      </w:pPr>
      <w:r w:rsidRPr="004E42B2">
        <w:rPr>
          <w:rFonts w:ascii="Arial" w:eastAsia="SimSun" w:hAnsi="Arial" w:cs="Arial"/>
          <w:sz w:val="24"/>
          <w:szCs w:val="24"/>
          <w:lang w:val="mn-MN"/>
        </w:rPr>
        <w:t xml:space="preserve">нэг бүрийн </w:t>
      </w:r>
      <w:r w:rsidRPr="004E42B2">
        <w:rPr>
          <w:rFonts w:ascii="Arial" w:eastAsia="SimSun" w:hAnsi="Arial" w:cs="Arial"/>
          <w:sz w:val="24"/>
          <w:szCs w:val="24"/>
        </w:rPr>
        <w:t>зардлыг тооцох</w:t>
      </w:r>
    </w:p>
    <w:p w:rsidR="00B33504" w:rsidRPr="004E42B2" w:rsidRDefault="00B33504" w:rsidP="00B33504">
      <w:pPr>
        <w:numPr>
          <w:ilvl w:val="0"/>
          <w:numId w:val="1"/>
        </w:numPr>
        <w:spacing w:after="0" w:line="240" w:lineRule="auto"/>
        <w:jc w:val="both"/>
        <w:rPr>
          <w:rFonts w:ascii="Arial" w:eastAsia="SimSun" w:hAnsi="Arial" w:cs="Arial"/>
          <w:sz w:val="24"/>
          <w:szCs w:val="24"/>
        </w:rPr>
      </w:pPr>
      <w:r w:rsidRPr="004E42B2">
        <w:rPr>
          <w:rFonts w:ascii="Arial" w:eastAsia="SimSun" w:hAnsi="Arial" w:cs="Arial"/>
          <w:sz w:val="24"/>
          <w:szCs w:val="24"/>
        </w:rPr>
        <w:t>тоон үзүүлэлтийг тооцох</w:t>
      </w:r>
    </w:p>
    <w:p w:rsidR="00B33504" w:rsidRPr="004E42B2" w:rsidRDefault="00B33504" w:rsidP="00B33504">
      <w:pPr>
        <w:numPr>
          <w:ilvl w:val="0"/>
          <w:numId w:val="1"/>
        </w:numPr>
        <w:spacing w:after="0" w:line="240" w:lineRule="auto"/>
        <w:jc w:val="both"/>
        <w:rPr>
          <w:rFonts w:ascii="Arial" w:eastAsia="SimSun" w:hAnsi="Arial" w:cs="Arial"/>
          <w:sz w:val="24"/>
          <w:szCs w:val="24"/>
        </w:rPr>
      </w:pPr>
      <w:r w:rsidRPr="004E42B2">
        <w:rPr>
          <w:rFonts w:ascii="Arial" w:eastAsia="SimSun" w:hAnsi="Arial" w:cs="Arial"/>
          <w:sz w:val="24"/>
          <w:szCs w:val="24"/>
        </w:rPr>
        <w:t>нийт зардлын дүнг тооцож гаргах</w:t>
      </w:r>
    </w:p>
    <w:p w:rsidR="00B33504" w:rsidRPr="004E42B2" w:rsidRDefault="00B33504" w:rsidP="00B33504">
      <w:pPr>
        <w:numPr>
          <w:ilvl w:val="0"/>
          <w:numId w:val="1"/>
        </w:numPr>
        <w:spacing w:after="0" w:line="240" w:lineRule="auto"/>
        <w:jc w:val="both"/>
        <w:rPr>
          <w:rFonts w:ascii="Arial" w:eastAsia="SimSun" w:hAnsi="Arial" w:cs="Arial"/>
          <w:sz w:val="24"/>
          <w:szCs w:val="24"/>
        </w:rPr>
      </w:pPr>
      <w:r w:rsidRPr="004E42B2">
        <w:rPr>
          <w:rFonts w:ascii="Arial" w:eastAsia="SimSun" w:hAnsi="Arial" w:cs="Arial"/>
          <w:sz w:val="24"/>
          <w:szCs w:val="24"/>
        </w:rPr>
        <w:t>хялбарчлах боломжийг шалгах</w:t>
      </w:r>
    </w:p>
    <w:p w:rsidR="00B33504" w:rsidRPr="004E42B2" w:rsidRDefault="00B33504" w:rsidP="00B33504">
      <w:pPr>
        <w:numPr>
          <w:ilvl w:val="0"/>
          <w:numId w:val="1"/>
        </w:numPr>
        <w:spacing w:after="0" w:line="240" w:lineRule="auto"/>
        <w:jc w:val="both"/>
        <w:rPr>
          <w:rFonts w:ascii="Arial" w:eastAsia="SimSun" w:hAnsi="Arial" w:cs="Arial"/>
          <w:sz w:val="24"/>
          <w:szCs w:val="24"/>
        </w:rPr>
      </w:pPr>
      <w:r w:rsidRPr="004E42B2">
        <w:rPr>
          <w:rFonts w:ascii="Arial" w:eastAsia="SimSun" w:hAnsi="Arial" w:cs="Arial"/>
          <w:sz w:val="24"/>
          <w:szCs w:val="24"/>
        </w:rPr>
        <w:t>нэмэлт зардлыг тооцох</w:t>
      </w:r>
    </w:p>
    <w:p w:rsidR="00B33504" w:rsidRPr="004E42B2" w:rsidRDefault="00B33504" w:rsidP="00B33504">
      <w:pPr>
        <w:spacing w:after="0"/>
        <w:ind w:left="1440"/>
        <w:jc w:val="both"/>
        <w:rPr>
          <w:rFonts w:ascii="Arial" w:eastAsia="SimSun" w:hAnsi="Arial" w:cs="Arial"/>
          <w:sz w:val="24"/>
          <w:szCs w:val="24"/>
        </w:rPr>
      </w:pPr>
    </w:p>
    <w:p w:rsidR="00B33504" w:rsidRPr="004E42B2" w:rsidRDefault="00B33504" w:rsidP="00B33504">
      <w:pPr>
        <w:spacing w:after="0" w:line="240" w:lineRule="auto"/>
        <w:ind w:firstLine="360"/>
        <w:jc w:val="both"/>
        <w:rPr>
          <w:rFonts w:ascii="Arial" w:eastAsia="DengXian" w:hAnsi="Arial" w:cs="Arial"/>
          <w:kern w:val="2"/>
          <w:sz w:val="24"/>
          <w:szCs w:val="24"/>
          <w:lang w:val="mn-MN"/>
        </w:rPr>
      </w:pPr>
      <w:r w:rsidRPr="0050535E">
        <w:rPr>
          <w:rFonts w:ascii="Arial" w:eastAsia="DengXian" w:hAnsi="Arial" w:cs="Arial"/>
          <w:kern w:val="2"/>
          <w:sz w:val="24"/>
          <w:szCs w:val="24"/>
          <w:lang w:val="mn-MN"/>
        </w:rPr>
        <w:t>Хуулийн этгээдийн гүйцэтгэх үүргийг тогтоох</w:t>
      </w:r>
      <w:r w:rsidRPr="004E42B2">
        <w:rPr>
          <w:rFonts w:ascii="Arial" w:eastAsia="DengXian" w:hAnsi="Arial" w:cs="Arial"/>
          <w:b/>
          <w:kern w:val="2"/>
          <w:sz w:val="24"/>
          <w:szCs w:val="24"/>
          <w:lang w:val="mn-MN"/>
        </w:rPr>
        <w:t>:</w:t>
      </w:r>
      <w:r w:rsidRPr="004E42B2">
        <w:rPr>
          <w:rFonts w:ascii="Arial" w:eastAsia="DengXian" w:hAnsi="Arial" w:cs="Arial"/>
          <w:kern w:val="2"/>
          <w:sz w:val="24"/>
          <w:szCs w:val="24"/>
          <w:lang w:val="mn-MN"/>
        </w:rPr>
        <w:t xml:space="preserve"> </w:t>
      </w:r>
    </w:p>
    <w:p w:rsidR="00B33504" w:rsidRPr="004E42B2" w:rsidRDefault="00B33504" w:rsidP="00B33504">
      <w:pPr>
        <w:spacing w:after="0" w:line="240" w:lineRule="auto"/>
        <w:ind w:firstLine="360"/>
        <w:jc w:val="both"/>
        <w:rPr>
          <w:rFonts w:ascii="Arial" w:eastAsia="DengXian" w:hAnsi="Arial" w:cs="Arial"/>
          <w:kern w:val="2"/>
          <w:sz w:val="24"/>
          <w:szCs w:val="24"/>
          <w:lang w:val="mn-MN"/>
        </w:rPr>
      </w:pPr>
    </w:p>
    <w:p w:rsidR="00B33504" w:rsidRPr="004E42B2" w:rsidRDefault="00B33504" w:rsidP="00B33504">
      <w:pPr>
        <w:spacing w:after="0" w:line="240" w:lineRule="auto"/>
        <w:ind w:firstLine="720"/>
        <w:jc w:val="both"/>
        <w:rPr>
          <w:rFonts w:ascii="Arial" w:eastAsia="DengXian" w:hAnsi="Arial" w:cs="Arial"/>
          <w:kern w:val="2"/>
          <w:sz w:val="24"/>
          <w:szCs w:val="24"/>
          <w:lang w:val="mn-MN"/>
        </w:rPr>
      </w:pPr>
      <w:r w:rsidRPr="004E42B2">
        <w:rPr>
          <w:rFonts w:ascii="Arial" w:eastAsia="DengXian" w:hAnsi="Arial" w:cs="Arial"/>
          <w:kern w:val="2"/>
          <w:sz w:val="24"/>
          <w:szCs w:val="24"/>
          <w:lang w:val="mn-MN"/>
        </w:rPr>
        <w:t>Хуулийн төслүүдийн хүрээнд хуулийн этгээдэд ямар үүргийг шинээр бий болгож байгааг тодорхойлж уг үүргийг гүйцэтгэхэд шаардлагатай баримт бичгийн агуулгыг тодорхойлсны үндсэн дээр зардлын тооцоог хийх болно.</w:t>
      </w:r>
    </w:p>
    <w:p w:rsidR="00B33504" w:rsidRPr="004E42B2" w:rsidRDefault="00B33504" w:rsidP="00B33504">
      <w:pPr>
        <w:spacing w:after="0" w:line="240" w:lineRule="auto"/>
        <w:jc w:val="both"/>
        <w:rPr>
          <w:rFonts w:ascii="Arial" w:eastAsia="DengXian" w:hAnsi="Arial" w:cs="Arial"/>
          <w:kern w:val="2"/>
          <w:sz w:val="24"/>
          <w:szCs w:val="24"/>
          <w:lang w:val="mn-MN"/>
        </w:rPr>
      </w:pPr>
    </w:p>
    <w:p w:rsidR="00B33504" w:rsidRPr="004E42B2" w:rsidRDefault="00B33504" w:rsidP="00B33504">
      <w:pPr>
        <w:spacing w:after="0" w:line="240" w:lineRule="auto"/>
        <w:ind w:firstLine="720"/>
        <w:jc w:val="both"/>
        <w:rPr>
          <w:rFonts w:ascii="Arial" w:eastAsia="DengXian" w:hAnsi="Arial" w:cs="Arial"/>
          <w:kern w:val="2"/>
          <w:sz w:val="24"/>
          <w:szCs w:val="24"/>
          <w:lang w:val="mn-MN"/>
        </w:rPr>
      </w:pPr>
      <w:r w:rsidRPr="004E42B2">
        <w:rPr>
          <w:rFonts w:ascii="Arial" w:eastAsia="DengXian" w:hAnsi="Arial" w:cs="Arial"/>
          <w:kern w:val="2"/>
          <w:sz w:val="24"/>
          <w:szCs w:val="24"/>
          <w:lang w:val="mn-MN"/>
        </w:rPr>
        <w:lastRenderedPageBreak/>
        <w:t xml:space="preserve">Засгийн газрын 2019 оны 59 дүгээр тогтоолын 4 дүгээр хавсралтаар батлагдсан “ Хууль тогтоомжийг хэрэгжүүлэхтэй холбогдон гарах зардлын тооцоо хийх аргачлал”-ын 2.2-т “ Хуулийн этгээдийн хувьд  хууль тогтоомжид заасан үүргийг гүйцэтгэхтэй холбогдуулан гарах </w:t>
      </w:r>
      <w:r w:rsidRPr="004E42B2">
        <w:rPr>
          <w:rFonts w:ascii="Arial" w:eastAsia="DengXian" w:hAnsi="Arial" w:cs="Arial"/>
          <w:b/>
          <w:kern w:val="2"/>
          <w:sz w:val="24"/>
          <w:szCs w:val="24"/>
          <w:lang w:val="mn-MN"/>
        </w:rPr>
        <w:t>мөнгөн зардлыг</w:t>
      </w:r>
      <w:r w:rsidRPr="004E42B2">
        <w:rPr>
          <w:rFonts w:ascii="Arial" w:eastAsia="DengXian" w:hAnsi="Arial" w:cs="Arial"/>
          <w:kern w:val="2"/>
          <w:sz w:val="24"/>
          <w:szCs w:val="24"/>
          <w:lang w:val="mn-MN"/>
        </w:rPr>
        <w:t xml:space="preserve"> тооцно.” гэж заасан. </w:t>
      </w:r>
    </w:p>
    <w:p w:rsidR="00B33504" w:rsidRPr="004E42B2" w:rsidRDefault="00B33504" w:rsidP="00B33504">
      <w:pPr>
        <w:spacing w:after="0" w:line="240" w:lineRule="auto"/>
        <w:jc w:val="both"/>
        <w:rPr>
          <w:rFonts w:ascii="Arial" w:eastAsia="DengXian" w:hAnsi="Arial" w:cs="Arial"/>
          <w:kern w:val="2"/>
          <w:sz w:val="24"/>
          <w:szCs w:val="24"/>
          <w:lang w:val="mn-MN"/>
        </w:rPr>
      </w:pPr>
    </w:p>
    <w:tbl>
      <w:tblPr>
        <w:tblStyle w:val="TableGrid7"/>
        <w:tblW w:w="0" w:type="auto"/>
        <w:tblLook w:val="04A0" w:firstRow="1" w:lastRow="0" w:firstColumn="1" w:lastColumn="0" w:noHBand="0" w:noVBand="1"/>
      </w:tblPr>
      <w:tblGrid>
        <w:gridCol w:w="9263"/>
      </w:tblGrid>
      <w:tr w:rsidR="00B33504" w:rsidRPr="004E42B2" w:rsidTr="0017073E">
        <w:tc>
          <w:tcPr>
            <w:tcW w:w="9263" w:type="dxa"/>
          </w:tcPr>
          <w:p w:rsidR="00B33504" w:rsidRDefault="00B33504" w:rsidP="0017073E">
            <w:pPr>
              <w:jc w:val="both"/>
              <w:rPr>
                <w:rFonts w:eastAsia="Calibri" w:cs="Arial"/>
                <w:i/>
                <w:iCs/>
                <w:color w:val="000000"/>
                <w:kern w:val="2"/>
                <w:szCs w:val="20"/>
                <w:lang w:val="mn-MN"/>
              </w:rPr>
            </w:pPr>
            <w:r w:rsidRPr="004E42B2">
              <w:rPr>
                <w:rFonts w:eastAsia="Calibri" w:cs="Arial"/>
                <w:i/>
                <w:iCs/>
                <w:color w:val="000000"/>
                <w:kern w:val="2"/>
                <w:sz w:val="24"/>
                <w:lang w:val="mn-MN"/>
              </w:rPr>
              <w:t>“</w:t>
            </w:r>
          </w:p>
          <w:p w:rsidR="00B33504" w:rsidRPr="0050535E" w:rsidRDefault="00B33504" w:rsidP="0017073E">
            <w:pPr>
              <w:spacing w:after="100" w:afterAutospacing="1"/>
              <w:ind w:firstLine="720"/>
              <w:contextualSpacing/>
              <w:jc w:val="both"/>
              <w:rPr>
                <w:rFonts w:cs="Arial"/>
                <w:b/>
                <w:color w:val="000000" w:themeColor="text1"/>
                <w:szCs w:val="20"/>
                <w:lang w:val="mn-MN"/>
              </w:rPr>
            </w:pPr>
            <w:r w:rsidRPr="004706CB">
              <w:rPr>
                <w:rFonts w:cs="Arial"/>
                <w:b/>
                <w:color w:val="000000" w:themeColor="text1"/>
                <w:sz w:val="24"/>
                <w:szCs w:val="24"/>
                <w:lang w:val="mn-MN"/>
              </w:rPr>
              <w:t>“</w:t>
            </w:r>
            <w:r w:rsidRPr="0050535E">
              <w:rPr>
                <w:rFonts w:cs="Arial"/>
                <w:b/>
                <w:color w:val="000000" w:themeColor="text1"/>
                <w:szCs w:val="20"/>
                <w:lang w:val="mn-MN"/>
              </w:rPr>
              <w:t xml:space="preserve">57 дугаар зүйл.Эрх зүйн бакалаврын сургалтын хөтөлбөр </w:t>
            </w:r>
          </w:p>
          <w:p w:rsidR="00B33504" w:rsidRPr="0050535E" w:rsidRDefault="00B33504" w:rsidP="0017073E">
            <w:pPr>
              <w:spacing w:after="100" w:afterAutospacing="1"/>
              <w:ind w:firstLine="720"/>
              <w:contextualSpacing/>
              <w:jc w:val="both"/>
              <w:rPr>
                <w:rFonts w:cs="Arial"/>
                <w:b/>
                <w:strike/>
                <w:color w:val="000000" w:themeColor="text1"/>
                <w:szCs w:val="20"/>
                <w:lang w:val="mn-MN"/>
              </w:rPr>
            </w:pPr>
          </w:p>
          <w:p w:rsidR="00B33504" w:rsidRPr="0050535E" w:rsidRDefault="00B33504" w:rsidP="0017073E">
            <w:pPr>
              <w:spacing w:after="100" w:afterAutospacing="1"/>
              <w:ind w:firstLine="720"/>
              <w:contextualSpacing/>
              <w:jc w:val="both"/>
              <w:rPr>
                <w:rFonts w:cs="Arial"/>
                <w:color w:val="000000" w:themeColor="text1"/>
                <w:szCs w:val="20"/>
                <w:lang w:val="mn-MN"/>
              </w:rPr>
            </w:pPr>
            <w:r w:rsidRPr="0050535E">
              <w:rPr>
                <w:rFonts w:cs="Arial"/>
                <w:color w:val="000000" w:themeColor="text1"/>
                <w:szCs w:val="20"/>
                <w:lang w:val="mn-MN"/>
              </w:rPr>
              <w:t>57.2.Эрх зүйн бакалаврын хөтөлбөр нь суралцагчаас Дээд боловсролын тухай хуульд заасан багц цагийн хүрээнд судлах ерөнхий суурь хичээлээс гадна хууль зүйн мэргэжлийн боловсролыг эзэмшүүлэхэд чиглэсэн хичээлийг 90-ээс доошгүй багц цаг судлахыг шаардана.</w:t>
            </w:r>
          </w:p>
          <w:p w:rsidR="00B33504" w:rsidRPr="0050535E" w:rsidRDefault="00B33504" w:rsidP="0017073E">
            <w:pPr>
              <w:spacing w:after="100" w:afterAutospacing="1"/>
              <w:contextualSpacing/>
              <w:jc w:val="both"/>
              <w:rPr>
                <w:rFonts w:cs="Arial"/>
                <w:color w:val="000000" w:themeColor="text1"/>
                <w:szCs w:val="20"/>
              </w:rPr>
            </w:pPr>
          </w:p>
          <w:p w:rsidR="00B33504" w:rsidRPr="0050535E" w:rsidRDefault="00B33504" w:rsidP="0017073E">
            <w:pPr>
              <w:spacing w:after="100" w:afterAutospacing="1"/>
              <w:ind w:firstLine="720"/>
              <w:contextualSpacing/>
              <w:jc w:val="both"/>
              <w:rPr>
                <w:rFonts w:cs="Arial"/>
                <w:color w:val="000000" w:themeColor="text1"/>
                <w:szCs w:val="20"/>
              </w:rPr>
            </w:pPr>
            <w:r w:rsidRPr="0050535E">
              <w:rPr>
                <w:rFonts w:cs="Arial"/>
                <w:color w:val="000000" w:themeColor="text1"/>
                <w:szCs w:val="20"/>
                <w:lang w:val="mn-MN"/>
              </w:rPr>
              <w:t>57.</w:t>
            </w:r>
            <w:r w:rsidRPr="0050535E">
              <w:rPr>
                <w:rFonts w:cs="Arial"/>
                <w:color w:val="000000" w:themeColor="text1"/>
                <w:szCs w:val="20"/>
              </w:rPr>
              <w:t>5</w:t>
            </w:r>
            <w:r w:rsidRPr="0050535E">
              <w:rPr>
                <w:rFonts w:cs="Arial"/>
                <w:color w:val="000000" w:themeColor="text1"/>
                <w:szCs w:val="20"/>
                <w:lang w:val="mn-MN"/>
              </w:rPr>
              <w:t>.Энэ хуулийн 57.3</w:t>
            </w:r>
            <w:r w:rsidRPr="0050535E">
              <w:rPr>
                <w:rFonts w:cs="Arial"/>
                <w:color w:val="000000" w:themeColor="text1"/>
                <w:szCs w:val="20"/>
              </w:rPr>
              <w:t>-т заасан хөтөлбөрийн багц цагийн заавал судлах болон сонгон судлах хичээлийн 40 хувь нь хувийн эрх зүйн чиглэлийн хичээл байна.</w:t>
            </w:r>
          </w:p>
          <w:p w:rsidR="00B33504" w:rsidRPr="0050535E" w:rsidRDefault="00B33504" w:rsidP="0017073E">
            <w:pPr>
              <w:spacing w:after="100" w:afterAutospacing="1"/>
              <w:ind w:firstLine="720"/>
              <w:contextualSpacing/>
              <w:jc w:val="both"/>
              <w:rPr>
                <w:rFonts w:cs="Arial"/>
                <w:color w:val="000000" w:themeColor="text1"/>
                <w:szCs w:val="20"/>
              </w:rPr>
            </w:pPr>
          </w:p>
          <w:p w:rsidR="00B33504" w:rsidRPr="0050535E" w:rsidRDefault="00B33504" w:rsidP="0017073E">
            <w:pPr>
              <w:spacing w:after="100" w:afterAutospacing="1"/>
              <w:ind w:firstLine="720"/>
              <w:contextualSpacing/>
              <w:jc w:val="both"/>
              <w:rPr>
                <w:rFonts w:cs="Arial"/>
                <w:color w:val="000000" w:themeColor="text1"/>
                <w:szCs w:val="20"/>
              </w:rPr>
            </w:pPr>
            <w:r w:rsidRPr="0050535E">
              <w:rPr>
                <w:rFonts w:cs="Arial"/>
                <w:color w:val="000000" w:themeColor="text1"/>
                <w:szCs w:val="20"/>
                <w:lang w:val="mn-MN"/>
              </w:rPr>
              <w:t>57</w:t>
            </w:r>
            <w:r w:rsidRPr="0050535E">
              <w:rPr>
                <w:rFonts w:cs="Arial"/>
                <w:color w:val="000000" w:themeColor="text1"/>
                <w:szCs w:val="20"/>
              </w:rPr>
              <w:t xml:space="preserve">.6.Суралцагч энэ хуулийн </w:t>
            </w:r>
            <w:r w:rsidRPr="0050535E">
              <w:rPr>
                <w:rFonts w:cs="Arial"/>
                <w:color w:val="000000" w:themeColor="text1"/>
                <w:szCs w:val="20"/>
                <w:lang w:val="mn-MN"/>
              </w:rPr>
              <w:t>57</w:t>
            </w:r>
            <w:r w:rsidRPr="0050535E">
              <w:rPr>
                <w:rFonts w:cs="Arial"/>
                <w:color w:val="000000" w:themeColor="text1"/>
                <w:szCs w:val="20"/>
              </w:rPr>
              <w:t>.3-т заасны дагуу хууль зүйн мэргэжлийн боловсрол эзэмшиж төгсөхдөө судалсан нийт багц цагийн 30-аас доошгүй хувь нь хувийн эрх зүйн чиглэлийн хичээл  байна.</w:t>
            </w:r>
          </w:p>
          <w:p w:rsidR="00B33504" w:rsidRPr="004E42B2" w:rsidRDefault="00B33504" w:rsidP="0017073E">
            <w:pPr>
              <w:jc w:val="both"/>
              <w:rPr>
                <w:rFonts w:eastAsia="DengXian" w:cs="Arial"/>
                <w:kern w:val="2"/>
                <w:sz w:val="24"/>
                <w:szCs w:val="24"/>
                <w:lang w:val="mn-MN"/>
              </w:rPr>
            </w:pPr>
          </w:p>
        </w:tc>
      </w:tr>
    </w:tbl>
    <w:p w:rsidR="00B33504" w:rsidRPr="004E42B2" w:rsidRDefault="00B33504" w:rsidP="00B33504">
      <w:pPr>
        <w:spacing w:after="0" w:line="240" w:lineRule="auto"/>
        <w:ind w:firstLine="720"/>
        <w:jc w:val="both"/>
        <w:rPr>
          <w:rFonts w:ascii="Arial" w:eastAsia="DengXian" w:hAnsi="Arial" w:cs="Arial"/>
          <w:kern w:val="2"/>
          <w:sz w:val="24"/>
          <w:szCs w:val="24"/>
          <w:lang w:val="mn-MN"/>
        </w:rPr>
      </w:pPr>
    </w:p>
    <w:p w:rsidR="00B33504" w:rsidRPr="004E42B2" w:rsidRDefault="00B33504" w:rsidP="00B33504">
      <w:pPr>
        <w:spacing w:after="0" w:line="276" w:lineRule="auto"/>
        <w:ind w:firstLine="720"/>
        <w:contextualSpacing/>
        <w:jc w:val="both"/>
        <w:rPr>
          <w:rFonts w:ascii="Arial" w:eastAsia="DengXian" w:hAnsi="Arial" w:cs="Arial"/>
          <w:kern w:val="2"/>
          <w:sz w:val="24"/>
          <w:lang w:val="mn-MN"/>
        </w:rPr>
      </w:pPr>
      <w:r w:rsidRPr="004E42B2">
        <w:rPr>
          <w:rFonts w:ascii="Arial" w:eastAsia="DengXian" w:hAnsi="Arial" w:cs="Arial"/>
          <w:kern w:val="2"/>
          <w:sz w:val="24"/>
          <w:lang w:val="mn-MN"/>
        </w:rPr>
        <w:t>Энэ шатанд өмнөх шатанд тодорхойлсон хуулийн этгээдийн хүлээж буй үүрэг, түүнийг гүйцэтгэхэд нэг хуулийн этгээдээс зарцуулах мөнгөн зардлыг тооцоолон гаргахад дараах дарааллыг баримтална. Үүнд:</w:t>
      </w:r>
    </w:p>
    <w:p w:rsidR="00B33504" w:rsidRPr="004E42B2" w:rsidRDefault="00B33504" w:rsidP="00B33504">
      <w:pPr>
        <w:spacing w:after="0" w:line="276" w:lineRule="auto"/>
        <w:jc w:val="both"/>
        <w:rPr>
          <w:rFonts w:ascii="Arial" w:eastAsia="DengXian" w:hAnsi="Arial" w:cs="Arial"/>
          <w:kern w:val="2"/>
          <w:sz w:val="24"/>
          <w:lang w:val="mn-MN"/>
        </w:rPr>
      </w:pPr>
    </w:p>
    <w:tbl>
      <w:tblPr>
        <w:tblStyle w:val="TableGrid7"/>
        <w:tblW w:w="9355" w:type="dxa"/>
        <w:tblLook w:val="04A0" w:firstRow="1" w:lastRow="0" w:firstColumn="1" w:lastColumn="0" w:noHBand="0" w:noVBand="1"/>
      </w:tblPr>
      <w:tblGrid>
        <w:gridCol w:w="1560"/>
        <w:gridCol w:w="3684"/>
        <w:gridCol w:w="2572"/>
        <w:gridCol w:w="1539"/>
      </w:tblGrid>
      <w:tr w:rsidR="00B33504" w:rsidRPr="004E42B2" w:rsidTr="0017073E">
        <w:tc>
          <w:tcPr>
            <w:tcW w:w="1438" w:type="dxa"/>
          </w:tcPr>
          <w:p w:rsidR="00B33504" w:rsidRPr="004E42B2" w:rsidRDefault="00B33504" w:rsidP="0017073E">
            <w:pPr>
              <w:spacing w:line="276" w:lineRule="auto"/>
              <w:contextualSpacing/>
              <w:jc w:val="center"/>
              <w:rPr>
                <w:rFonts w:eastAsia="DengXian" w:cs="Arial"/>
                <w:b/>
                <w:kern w:val="2"/>
                <w:szCs w:val="20"/>
                <w:lang w:val="mn-MN"/>
              </w:rPr>
            </w:pPr>
          </w:p>
          <w:p w:rsidR="00B33504" w:rsidRPr="004E42B2" w:rsidRDefault="00B33504" w:rsidP="0017073E">
            <w:pPr>
              <w:spacing w:line="276" w:lineRule="auto"/>
              <w:contextualSpacing/>
              <w:jc w:val="center"/>
              <w:rPr>
                <w:rFonts w:eastAsia="DengXian" w:cs="Arial"/>
                <w:b/>
                <w:kern w:val="2"/>
                <w:szCs w:val="20"/>
                <w:lang w:val="mn-MN"/>
              </w:rPr>
            </w:pPr>
            <w:r w:rsidRPr="004E42B2">
              <w:rPr>
                <w:rFonts w:eastAsia="DengXian" w:cs="Arial"/>
                <w:b/>
                <w:kern w:val="2"/>
                <w:szCs w:val="20"/>
                <w:lang w:val="mn-MN"/>
              </w:rPr>
              <w:t>Гүйцэтгэх үүрэг</w:t>
            </w:r>
          </w:p>
        </w:tc>
        <w:tc>
          <w:tcPr>
            <w:tcW w:w="3761" w:type="dxa"/>
          </w:tcPr>
          <w:p w:rsidR="00B33504" w:rsidRDefault="00B33504" w:rsidP="0017073E">
            <w:pPr>
              <w:spacing w:line="276" w:lineRule="auto"/>
              <w:contextualSpacing/>
              <w:jc w:val="center"/>
              <w:rPr>
                <w:rFonts w:eastAsia="DengXian" w:cs="Arial"/>
                <w:b/>
                <w:kern w:val="2"/>
                <w:szCs w:val="20"/>
                <w:lang w:val="mn-MN"/>
              </w:rPr>
            </w:pPr>
          </w:p>
          <w:p w:rsidR="00B33504" w:rsidRPr="004E42B2" w:rsidRDefault="00B33504" w:rsidP="0017073E">
            <w:pPr>
              <w:spacing w:line="276" w:lineRule="auto"/>
              <w:contextualSpacing/>
              <w:jc w:val="center"/>
              <w:rPr>
                <w:rFonts w:eastAsia="DengXian" w:cs="Arial"/>
                <w:b/>
                <w:kern w:val="2"/>
                <w:szCs w:val="20"/>
                <w:lang w:val="mn-MN"/>
              </w:rPr>
            </w:pPr>
            <w:r w:rsidRPr="004E42B2">
              <w:rPr>
                <w:rFonts w:eastAsia="DengXian" w:cs="Arial"/>
                <w:b/>
                <w:kern w:val="2"/>
                <w:szCs w:val="20"/>
                <w:lang w:val="mn-MN"/>
              </w:rPr>
              <w:t>Үүргийн мэдээллийн агуулга</w:t>
            </w:r>
          </w:p>
        </w:tc>
        <w:tc>
          <w:tcPr>
            <w:tcW w:w="2610" w:type="dxa"/>
          </w:tcPr>
          <w:p w:rsidR="00B33504" w:rsidRPr="004E42B2" w:rsidRDefault="00B33504" w:rsidP="0017073E">
            <w:pPr>
              <w:spacing w:line="276" w:lineRule="auto"/>
              <w:contextualSpacing/>
              <w:jc w:val="center"/>
              <w:rPr>
                <w:rFonts w:eastAsia="DengXian" w:cs="Arial"/>
                <w:b/>
                <w:kern w:val="2"/>
                <w:szCs w:val="20"/>
                <w:lang w:val="mn-MN"/>
              </w:rPr>
            </w:pPr>
          </w:p>
          <w:p w:rsidR="00B33504" w:rsidRPr="004E42B2" w:rsidRDefault="00B33504" w:rsidP="0017073E">
            <w:pPr>
              <w:spacing w:line="276" w:lineRule="auto"/>
              <w:contextualSpacing/>
              <w:jc w:val="center"/>
              <w:rPr>
                <w:rFonts w:eastAsia="DengXian" w:cs="Arial"/>
                <w:b/>
                <w:kern w:val="2"/>
                <w:szCs w:val="20"/>
                <w:lang w:val="mn-MN"/>
              </w:rPr>
            </w:pPr>
            <w:r w:rsidRPr="004E42B2">
              <w:rPr>
                <w:rFonts w:eastAsia="DengXian" w:cs="Arial"/>
                <w:b/>
                <w:kern w:val="2"/>
                <w:szCs w:val="20"/>
                <w:lang w:val="mn-MN"/>
              </w:rPr>
              <w:t>Стандарт үйл ажиллагаа</w:t>
            </w:r>
            <w:r w:rsidRPr="004E42B2">
              <w:rPr>
                <w:rFonts w:eastAsia="DengXian" w:cs="Arial"/>
                <w:kern w:val="2"/>
                <w:szCs w:val="20"/>
                <w:vertAlign w:val="superscript"/>
                <w:lang w:val="mn-MN"/>
              </w:rPr>
              <w:footnoteReference w:id="2"/>
            </w:r>
          </w:p>
        </w:tc>
        <w:tc>
          <w:tcPr>
            <w:tcW w:w="1546" w:type="dxa"/>
          </w:tcPr>
          <w:p w:rsidR="00B33504" w:rsidRPr="004E42B2" w:rsidRDefault="00B33504" w:rsidP="0017073E">
            <w:pPr>
              <w:spacing w:line="276" w:lineRule="auto"/>
              <w:contextualSpacing/>
              <w:jc w:val="center"/>
              <w:rPr>
                <w:rFonts w:eastAsia="DengXian" w:cs="Arial"/>
                <w:b/>
                <w:kern w:val="2"/>
                <w:szCs w:val="20"/>
                <w:lang w:val="mn-MN"/>
              </w:rPr>
            </w:pPr>
            <w:r w:rsidRPr="004E42B2">
              <w:rPr>
                <w:rFonts w:eastAsia="DengXian" w:cs="Arial"/>
                <w:b/>
                <w:kern w:val="2"/>
                <w:szCs w:val="20"/>
                <w:lang w:val="mn-MN"/>
              </w:rPr>
              <w:t>Зарцуулах хугацаа</w:t>
            </w:r>
          </w:p>
        </w:tc>
      </w:tr>
      <w:tr w:rsidR="00B33504" w:rsidRPr="004E42B2" w:rsidTr="0017073E">
        <w:trPr>
          <w:trHeight w:val="904"/>
        </w:trPr>
        <w:tc>
          <w:tcPr>
            <w:tcW w:w="1438" w:type="dxa"/>
            <w:vMerge w:val="restart"/>
          </w:tcPr>
          <w:p w:rsidR="00B33504" w:rsidRPr="00193C23" w:rsidRDefault="00B33504" w:rsidP="0017073E">
            <w:pPr>
              <w:spacing w:after="100" w:afterAutospacing="1"/>
              <w:contextualSpacing/>
              <w:jc w:val="both"/>
              <w:rPr>
                <w:rFonts w:cs="Arial"/>
                <w:b/>
                <w:color w:val="000000" w:themeColor="text1"/>
                <w:szCs w:val="20"/>
                <w:lang w:val="mn-MN"/>
              </w:rPr>
            </w:pPr>
            <w:r w:rsidRPr="00193C23">
              <w:rPr>
                <w:rFonts w:cs="Arial"/>
                <w:b/>
                <w:color w:val="000000" w:themeColor="text1"/>
                <w:szCs w:val="20"/>
                <w:lang w:val="mn-MN"/>
              </w:rPr>
              <w:t>57 дугаар зүйл.</w:t>
            </w:r>
          </w:p>
          <w:p w:rsidR="00B33504" w:rsidRDefault="00B33504" w:rsidP="0017073E">
            <w:pPr>
              <w:spacing w:after="100" w:afterAutospacing="1"/>
              <w:contextualSpacing/>
              <w:jc w:val="both"/>
              <w:rPr>
                <w:rFonts w:cs="Arial"/>
                <w:b/>
                <w:color w:val="000000" w:themeColor="text1"/>
                <w:szCs w:val="20"/>
                <w:lang w:val="mn-MN"/>
              </w:rPr>
            </w:pPr>
          </w:p>
          <w:p w:rsidR="00B33504" w:rsidRPr="00193C23" w:rsidRDefault="00B33504" w:rsidP="0017073E">
            <w:pPr>
              <w:spacing w:after="100" w:afterAutospacing="1"/>
              <w:contextualSpacing/>
              <w:jc w:val="both"/>
              <w:rPr>
                <w:rFonts w:cs="Arial"/>
                <w:b/>
                <w:color w:val="000000" w:themeColor="text1"/>
                <w:szCs w:val="20"/>
                <w:lang w:val="mn-MN"/>
              </w:rPr>
            </w:pPr>
            <w:r w:rsidRPr="00193C23">
              <w:rPr>
                <w:rFonts w:cs="Arial"/>
                <w:b/>
                <w:color w:val="000000" w:themeColor="text1"/>
                <w:szCs w:val="20"/>
                <w:lang w:val="mn-MN"/>
              </w:rPr>
              <w:t>Эрх зүй</w:t>
            </w:r>
            <w:r>
              <w:rPr>
                <w:rFonts w:cs="Arial"/>
                <w:b/>
                <w:color w:val="000000" w:themeColor="text1"/>
                <w:szCs w:val="20"/>
                <w:lang w:val="mn-MN"/>
              </w:rPr>
              <w:t>н бакалаврын сургалтын хөтөлбөрт тавигдах шаардлага</w:t>
            </w:r>
          </w:p>
          <w:p w:rsidR="00B33504" w:rsidRPr="004E42B2" w:rsidRDefault="00B33504" w:rsidP="0017073E">
            <w:pPr>
              <w:spacing w:after="100" w:afterAutospacing="1"/>
              <w:ind w:firstLine="720"/>
              <w:contextualSpacing/>
              <w:jc w:val="both"/>
              <w:rPr>
                <w:rFonts w:eastAsia="DengXian" w:cs="Arial"/>
                <w:kern w:val="2"/>
                <w:szCs w:val="20"/>
                <w:lang w:val="mn-MN"/>
              </w:rPr>
            </w:pPr>
          </w:p>
        </w:tc>
        <w:tc>
          <w:tcPr>
            <w:tcW w:w="3761" w:type="dxa"/>
            <w:vMerge w:val="restart"/>
          </w:tcPr>
          <w:p w:rsidR="00B33504" w:rsidRPr="00193C23" w:rsidRDefault="00B33504" w:rsidP="0017073E">
            <w:pPr>
              <w:spacing w:after="100" w:afterAutospacing="1"/>
              <w:contextualSpacing/>
              <w:jc w:val="both"/>
              <w:rPr>
                <w:rFonts w:cs="Arial"/>
                <w:color w:val="000000" w:themeColor="text1"/>
                <w:szCs w:val="20"/>
                <w:lang w:val="mn-MN"/>
              </w:rPr>
            </w:pPr>
            <w:r w:rsidRPr="00193C23">
              <w:rPr>
                <w:rFonts w:cs="Arial"/>
                <w:color w:val="000000" w:themeColor="text1"/>
                <w:szCs w:val="20"/>
                <w:lang w:val="mn-MN"/>
              </w:rPr>
              <w:t>57.2.Эрх зүйн бакалаврын хөтөлбөр нь суралцагчаас Дээд боловсролын тухай хуульд заасан багц цагийн хүрээнд судлах ерөнхий суурь хичээлээс гадна хууль зүйн мэргэжлийн боловсролыг эзэмшүүлэхэд чиглэсэн хичээлийг 90-ээс доошгүй багц цаг судлахыг шаардана.</w:t>
            </w:r>
          </w:p>
          <w:p w:rsidR="00B33504" w:rsidRPr="00193C23" w:rsidRDefault="00B33504" w:rsidP="0017073E">
            <w:pPr>
              <w:spacing w:after="100" w:afterAutospacing="1"/>
              <w:contextualSpacing/>
              <w:jc w:val="both"/>
              <w:rPr>
                <w:rFonts w:cs="Arial"/>
                <w:color w:val="000000" w:themeColor="text1"/>
                <w:szCs w:val="20"/>
              </w:rPr>
            </w:pPr>
          </w:p>
          <w:p w:rsidR="00B33504" w:rsidRPr="00193C23" w:rsidRDefault="00B33504" w:rsidP="0017073E">
            <w:pPr>
              <w:spacing w:after="100" w:afterAutospacing="1"/>
              <w:contextualSpacing/>
              <w:jc w:val="both"/>
              <w:rPr>
                <w:rFonts w:cs="Arial"/>
                <w:color w:val="000000" w:themeColor="text1"/>
                <w:szCs w:val="20"/>
              </w:rPr>
            </w:pPr>
            <w:r w:rsidRPr="00193C23">
              <w:rPr>
                <w:rFonts w:cs="Arial"/>
                <w:color w:val="000000" w:themeColor="text1"/>
                <w:szCs w:val="20"/>
                <w:lang w:val="mn-MN"/>
              </w:rPr>
              <w:t>57.</w:t>
            </w:r>
            <w:r w:rsidRPr="00193C23">
              <w:rPr>
                <w:rFonts w:cs="Arial"/>
                <w:color w:val="000000" w:themeColor="text1"/>
                <w:szCs w:val="20"/>
              </w:rPr>
              <w:t>5</w:t>
            </w:r>
            <w:r w:rsidRPr="00193C23">
              <w:rPr>
                <w:rFonts w:cs="Arial"/>
                <w:color w:val="000000" w:themeColor="text1"/>
                <w:szCs w:val="20"/>
                <w:lang w:val="mn-MN"/>
              </w:rPr>
              <w:t>.Энэ хуулийн 57.3</w:t>
            </w:r>
            <w:r w:rsidRPr="00193C23">
              <w:rPr>
                <w:rFonts w:cs="Arial"/>
                <w:color w:val="000000" w:themeColor="text1"/>
                <w:szCs w:val="20"/>
              </w:rPr>
              <w:t>-т заасан хөтөлбөрийн багц цагийн заавал судлах болон сонгон судлах хичээлийн 40 хувь нь хувийн эрх зүйн чиглэлийн хичээл байна.</w:t>
            </w:r>
          </w:p>
          <w:p w:rsidR="00B33504" w:rsidRPr="00193C23" w:rsidRDefault="00B33504" w:rsidP="0017073E">
            <w:pPr>
              <w:spacing w:after="100" w:afterAutospacing="1"/>
              <w:ind w:firstLine="720"/>
              <w:contextualSpacing/>
              <w:jc w:val="both"/>
              <w:rPr>
                <w:rFonts w:cs="Arial"/>
                <w:color w:val="000000" w:themeColor="text1"/>
                <w:szCs w:val="20"/>
              </w:rPr>
            </w:pPr>
          </w:p>
          <w:p w:rsidR="00B33504" w:rsidRPr="0050535E" w:rsidRDefault="00B33504" w:rsidP="0017073E">
            <w:pPr>
              <w:spacing w:after="100" w:afterAutospacing="1"/>
              <w:contextualSpacing/>
              <w:jc w:val="both"/>
              <w:rPr>
                <w:rFonts w:cs="Arial"/>
                <w:color w:val="000000" w:themeColor="text1"/>
                <w:szCs w:val="20"/>
              </w:rPr>
            </w:pPr>
            <w:r w:rsidRPr="00193C23">
              <w:rPr>
                <w:rFonts w:cs="Arial"/>
                <w:color w:val="000000" w:themeColor="text1"/>
                <w:szCs w:val="20"/>
                <w:lang w:val="mn-MN"/>
              </w:rPr>
              <w:t>57</w:t>
            </w:r>
            <w:r w:rsidRPr="00193C23">
              <w:rPr>
                <w:rFonts w:cs="Arial"/>
                <w:color w:val="000000" w:themeColor="text1"/>
                <w:szCs w:val="20"/>
              </w:rPr>
              <w:t xml:space="preserve">.6.Суралцагч энэ хуулийн </w:t>
            </w:r>
            <w:r w:rsidRPr="00193C23">
              <w:rPr>
                <w:rFonts w:cs="Arial"/>
                <w:color w:val="000000" w:themeColor="text1"/>
                <w:szCs w:val="20"/>
                <w:lang w:val="mn-MN"/>
              </w:rPr>
              <w:t>57</w:t>
            </w:r>
            <w:r w:rsidRPr="00193C23">
              <w:rPr>
                <w:rFonts w:cs="Arial"/>
                <w:color w:val="000000" w:themeColor="text1"/>
                <w:szCs w:val="20"/>
              </w:rPr>
              <w:t xml:space="preserve">.3-т заасны дагуу хууль зүйн </w:t>
            </w:r>
            <w:r w:rsidRPr="00193C23">
              <w:rPr>
                <w:rFonts w:cs="Arial"/>
                <w:color w:val="000000" w:themeColor="text1"/>
                <w:szCs w:val="20"/>
              </w:rPr>
              <w:lastRenderedPageBreak/>
              <w:t>мэргэжлийн боловсрол эзэмшиж төгсөхдөө судалсан нийт багц цагийн 30-аас доошгүй хувь нь хувийн эрх зүйн чиглэлийн хичээл  байна.</w:t>
            </w:r>
          </w:p>
        </w:tc>
        <w:tc>
          <w:tcPr>
            <w:tcW w:w="2610" w:type="dxa"/>
            <w:tcBorders>
              <w:top w:val="single" w:sz="4" w:space="0" w:color="auto"/>
              <w:left w:val="single" w:sz="4" w:space="0" w:color="auto"/>
              <w:right w:val="single" w:sz="4" w:space="0" w:color="auto"/>
            </w:tcBorders>
            <w:shd w:val="clear" w:color="auto" w:fill="auto"/>
            <w:vAlign w:val="bottom"/>
          </w:tcPr>
          <w:p w:rsidR="00B33504" w:rsidRPr="004E42B2" w:rsidRDefault="00B33504" w:rsidP="0017073E">
            <w:pPr>
              <w:jc w:val="both"/>
              <w:rPr>
                <w:rFonts w:eastAsia="DengXian" w:cs="Arial"/>
                <w:color w:val="000000"/>
                <w:kern w:val="2"/>
                <w:szCs w:val="20"/>
                <w:lang w:val="mn-MN"/>
              </w:rPr>
            </w:pPr>
            <w:r>
              <w:rPr>
                <w:rFonts w:eastAsia="DengXian" w:cs="Arial"/>
                <w:color w:val="000000"/>
                <w:kern w:val="2"/>
                <w:szCs w:val="20"/>
                <w:lang w:val="mn-MN"/>
              </w:rPr>
              <w:lastRenderedPageBreak/>
              <w:t>Хөтөлбөрийн м</w:t>
            </w:r>
            <w:r w:rsidRPr="004E42B2">
              <w:rPr>
                <w:rFonts w:eastAsia="DengXian" w:cs="Arial"/>
                <w:color w:val="000000"/>
                <w:kern w:val="2"/>
                <w:szCs w:val="20"/>
                <w:lang w:val="mn-MN"/>
              </w:rPr>
              <w:t xml:space="preserve">эдээлэл </w:t>
            </w:r>
            <w:r>
              <w:rPr>
                <w:rFonts w:eastAsia="DengXian" w:cs="Arial"/>
                <w:color w:val="000000"/>
                <w:kern w:val="2"/>
                <w:szCs w:val="20"/>
                <w:lang w:val="mn-MN"/>
              </w:rPr>
              <w:t>судлах</w:t>
            </w:r>
          </w:p>
        </w:tc>
        <w:tc>
          <w:tcPr>
            <w:tcW w:w="1546" w:type="dxa"/>
            <w:tcBorders>
              <w:top w:val="single" w:sz="4" w:space="0" w:color="auto"/>
              <w:left w:val="single" w:sz="4" w:space="0" w:color="auto"/>
              <w:right w:val="single" w:sz="4" w:space="0" w:color="auto"/>
            </w:tcBorders>
            <w:shd w:val="clear" w:color="auto" w:fill="auto"/>
            <w:vAlign w:val="center"/>
          </w:tcPr>
          <w:p w:rsidR="00B33504" w:rsidRPr="004E42B2" w:rsidRDefault="00B33504" w:rsidP="0017073E">
            <w:pPr>
              <w:jc w:val="center"/>
              <w:rPr>
                <w:rFonts w:eastAsia="DengXian" w:cs="Arial"/>
                <w:color w:val="000000"/>
                <w:kern w:val="2"/>
                <w:szCs w:val="20"/>
                <w:lang w:val="mn-MN"/>
              </w:rPr>
            </w:pPr>
            <w:r>
              <w:rPr>
                <w:rFonts w:eastAsia="DengXian" w:cs="Arial"/>
                <w:color w:val="000000"/>
                <w:kern w:val="2"/>
                <w:szCs w:val="20"/>
              </w:rPr>
              <w:t xml:space="preserve">2400 </w:t>
            </w:r>
            <w:r w:rsidRPr="004E42B2">
              <w:rPr>
                <w:rFonts w:eastAsia="DengXian" w:cs="Arial"/>
                <w:color w:val="000000"/>
                <w:kern w:val="2"/>
                <w:szCs w:val="20"/>
                <w:lang w:val="mn-MN"/>
              </w:rPr>
              <w:t>мин</w:t>
            </w:r>
          </w:p>
        </w:tc>
      </w:tr>
      <w:tr w:rsidR="00B33504" w:rsidRPr="004E42B2" w:rsidTr="0017073E">
        <w:trPr>
          <w:trHeight w:val="737"/>
        </w:trPr>
        <w:tc>
          <w:tcPr>
            <w:tcW w:w="1438" w:type="dxa"/>
            <w:vMerge/>
          </w:tcPr>
          <w:p w:rsidR="00B33504" w:rsidRPr="004E42B2" w:rsidRDefault="00B33504" w:rsidP="0017073E">
            <w:pPr>
              <w:spacing w:line="276" w:lineRule="auto"/>
              <w:contextualSpacing/>
              <w:jc w:val="both"/>
              <w:rPr>
                <w:rFonts w:eastAsia="DengXian" w:cs="Arial"/>
                <w:noProof/>
                <w:kern w:val="2"/>
                <w:szCs w:val="20"/>
                <w:lang w:val="mn-MN"/>
              </w:rPr>
            </w:pPr>
          </w:p>
        </w:tc>
        <w:tc>
          <w:tcPr>
            <w:tcW w:w="3761" w:type="dxa"/>
            <w:vMerge/>
          </w:tcPr>
          <w:p w:rsidR="00B33504" w:rsidRPr="004E42B2" w:rsidRDefault="00B33504" w:rsidP="0017073E">
            <w:pPr>
              <w:spacing w:line="276" w:lineRule="auto"/>
              <w:contextualSpacing/>
              <w:jc w:val="both"/>
              <w:rPr>
                <w:rFonts w:eastAsia="DengXian" w:cs="Arial"/>
                <w:noProof/>
                <w:kern w:val="2"/>
                <w:szCs w:val="20"/>
                <w:lang w:val="mn-MN"/>
              </w:rPr>
            </w:pPr>
          </w:p>
        </w:tc>
        <w:tc>
          <w:tcPr>
            <w:tcW w:w="2610" w:type="dxa"/>
            <w:tcBorders>
              <w:top w:val="single" w:sz="4" w:space="0" w:color="auto"/>
              <w:left w:val="single" w:sz="4" w:space="0" w:color="auto"/>
              <w:right w:val="single" w:sz="4" w:space="0" w:color="auto"/>
            </w:tcBorders>
            <w:shd w:val="clear" w:color="auto" w:fill="auto"/>
            <w:vAlign w:val="bottom"/>
          </w:tcPr>
          <w:p w:rsidR="00B33504" w:rsidRPr="004E42B2" w:rsidRDefault="00B33504" w:rsidP="0017073E">
            <w:pPr>
              <w:jc w:val="both"/>
              <w:rPr>
                <w:rFonts w:eastAsia="DengXian" w:cs="Arial"/>
                <w:color w:val="000000"/>
                <w:kern w:val="2"/>
                <w:szCs w:val="20"/>
                <w:lang w:val="mn-MN"/>
              </w:rPr>
            </w:pPr>
            <w:r>
              <w:rPr>
                <w:rFonts w:eastAsia="DengXian" w:cs="Arial"/>
                <w:color w:val="000000"/>
                <w:kern w:val="2"/>
                <w:szCs w:val="20"/>
                <w:lang w:val="mn-MN"/>
              </w:rPr>
              <w:t>Хөтөлбөрийн төсөл боловсруулах</w:t>
            </w:r>
          </w:p>
        </w:tc>
        <w:tc>
          <w:tcPr>
            <w:tcW w:w="1546" w:type="dxa"/>
            <w:tcBorders>
              <w:top w:val="single" w:sz="4" w:space="0" w:color="auto"/>
              <w:left w:val="single" w:sz="4" w:space="0" w:color="auto"/>
              <w:right w:val="single" w:sz="4" w:space="0" w:color="auto"/>
            </w:tcBorders>
            <w:shd w:val="clear" w:color="auto" w:fill="auto"/>
            <w:vAlign w:val="center"/>
          </w:tcPr>
          <w:p w:rsidR="00B33504" w:rsidRPr="004E42B2" w:rsidRDefault="00B33504" w:rsidP="0017073E">
            <w:pPr>
              <w:jc w:val="center"/>
              <w:rPr>
                <w:rFonts w:eastAsia="DengXian" w:cs="Arial"/>
                <w:color w:val="000000"/>
                <w:kern w:val="2"/>
                <w:szCs w:val="20"/>
                <w:lang w:val="mn-MN"/>
              </w:rPr>
            </w:pPr>
            <w:r>
              <w:rPr>
                <w:rFonts w:eastAsia="DengXian" w:cs="Arial"/>
                <w:color w:val="000000"/>
                <w:kern w:val="2"/>
                <w:szCs w:val="20"/>
              </w:rPr>
              <w:t xml:space="preserve">2400 </w:t>
            </w:r>
            <w:r w:rsidRPr="004E42B2">
              <w:rPr>
                <w:rFonts w:eastAsia="DengXian" w:cs="Arial"/>
                <w:color w:val="000000"/>
                <w:kern w:val="2"/>
                <w:szCs w:val="20"/>
                <w:lang w:val="mn-MN"/>
              </w:rPr>
              <w:t>мин</w:t>
            </w:r>
          </w:p>
        </w:tc>
      </w:tr>
      <w:tr w:rsidR="00B33504" w:rsidRPr="004E42B2" w:rsidTr="0017073E">
        <w:trPr>
          <w:trHeight w:val="737"/>
        </w:trPr>
        <w:tc>
          <w:tcPr>
            <w:tcW w:w="1438" w:type="dxa"/>
            <w:vMerge/>
          </w:tcPr>
          <w:p w:rsidR="00B33504" w:rsidRPr="004E42B2" w:rsidRDefault="00B33504" w:rsidP="0017073E">
            <w:pPr>
              <w:spacing w:line="276" w:lineRule="auto"/>
              <w:contextualSpacing/>
              <w:jc w:val="both"/>
              <w:rPr>
                <w:rFonts w:eastAsia="DengXian" w:cs="Arial"/>
                <w:noProof/>
                <w:kern w:val="2"/>
                <w:szCs w:val="20"/>
                <w:lang w:val="mn-MN"/>
              </w:rPr>
            </w:pPr>
          </w:p>
        </w:tc>
        <w:tc>
          <w:tcPr>
            <w:tcW w:w="3761" w:type="dxa"/>
            <w:vMerge/>
          </w:tcPr>
          <w:p w:rsidR="00B33504" w:rsidRPr="004E42B2" w:rsidRDefault="00B33504" w:rsidP="0017073E">
            <w:pPr>
              <w:spacing w:line="276" w:lineRule="auto"/>
              <w:contextualSpacing/>
              <w:jc w:val="both"/>
              <w:rPr>
                <w:rFonts w:eastAsia="DengXian" w:cs="Arial"/>
                <w:noProof/>
                <w:kern w:val="2"/>
                <w:szCs w:val="20"/>
                <w:lang w:val="mn-MN"/>
              </w:rPr>
            </w:pPr>
          </w:p>
        </w:tc>
        <w:tc>
          <w:tcPr>
            <w:tcW w:w="2610" w:type="dxa"/>
            <w:tcBorders>
              <w:top w:val="single" w:sz="4" w:space="0" w:color="auto"/>
              <w:left w:val="single" w:sz="4" w:space="0" w:color="auto"/>
              <w:right w:val="single" w:sz="4" w:space="0" w:color="auto"/>
            </w:tcBorders>
            <w:shd w:val="clear" w:color="auto" w:fill="auto"/>
            <w:vAlign w:val="bottom"/>
          </w:tcPr>
          <w:p w:rsidR="00B33504" w:rsidRPr="004E42B2" w:rsidRDefault="00B33504" w:rsidP="0017073E">
            <w:pPr>
              <w:jc w:val="both"/>
              <w:rPr>
                <w:rFonts w:eastAsia="DengXian" w:cs="Arial"/>
                <w:color w:val="000000"/>
                <w:kern w:val="2"/>
                <w:szCs w:val="20"/>
                <w:lang w:val="mn-MN"/>
              </w:rPr>
            </w:pPr>
            <w:r>
              <w:rPr>
                <w:rFonts w:eastAsia="DengXian" w:cs="Arial"/>
                <w:color w:val="000000"/>
                <w:kern w:val="2"/>
                <w:szCs w:val="20"/>
                <w:lang w:val="mn-MN"/>
              </w:rPr>
              <w:t>Хөтөлбөрийн төслийг хянах</w:t>
            </w:r>
          </w:p>
        </w:tc>
        <w:tc>
          <w:tcPr>
            <w:tcW w:w="1546" w:type="dxa"/>
            <w:tcBorders>
              <w:top w:val="single" w:sz="4" w:space="0" w:color="auto"/>
              <w:left w:val="single" w:sz="4" w:space="0" w:color="auto"/>
              <w:right w:val="single" w:sz="4" w:space="0" w:color="auto"/>
            </w:tcBorders>
            <w:shd w:val="clear" w:color="auto" w:fill="auto"/>
            <w:vAlign w:val="center"/>
          </w:tcPr>
          <w:p w:rsidR="00B33504" w:rsidRPr="004E42B2" w:rsidRDefault="00B33504" w:rsidP="0017073E">
            <w:pPr>
              <w:jc w:val="center"/>
              <w:rPr>
                <w:rFonts w:eastAsia="DengXian" w:cs="Arial"/>
                <w:color w:val="000000"/>
                <w:kern w:val="2"/>
                <w:szCs w:val="20"/>
                <w:lang w:val="mn-MN"/>
              </w:rPr>
            </w:pPr>
            <w:r>
              <w:rPr>
                <w:rFonts w:eastAsia="DengXian" w:cs="Arial"/>
                <w:color w:val="000000"/>
                <w:kern w:val="2"/>
                <w:szCs w:val="20"/>
                <w:lang w:val="mn-MN"/>
              </w:rPr>
              <w:t>1</w:t>
            </w:r>
            <w:r>
              <w:rPr>
                <w:rFonts w:eastAsia="DengXian" w:cs="Arial"/>
                <w:color w:val="000000"/>
                <w:kern w:val="2"/>
                <w:szCs w:val="20"/>
              </w:rPr>
              <w:t>44</w:t>
            </w:r>
            <w:r w:rsidRPr="004E42B2">
              <w:rPr>
                <w:rFonts w:eastAsia="DengXian" w:cs="Arial"/>
                <w:color w:val="000000"/>
                <w:kern w:val="2"/>
                <w:szCs w:val="20"/>
              </w:rPr>
              <w:t xml:space="preserve">0 </w:t>
            </w:r>
            <w:r w:rsidRPr="004E42B2">
              <w:rPr>
                <w:rFonts w:eastAsia="DengXian" w:cs="Arial"/>
                <w:color w:val="000000"/>
                <w:kern w:val="2"/>
                <w:szCs w:val="20"/>
                <w:lang w:val="mn-MN"/>
              </w:rPr>
              <w:t>мин</w:t>
            </w:r>
          </w:p>
        </w:tc>
      </w:tr>
      <w:tr w:rsidR="00B33504" w:rsidRPr="004E42B2" w:rsidTr="0017073E">
        <w:trPr>
          <w:trHeight w:val="767"/>
        </w:trPr>
        <w:tc>
          <w:tcPr>
            <w:tcW w:w="1438" w:type="dxa"/>
            <w:vMerge/>
          </w:tcPr>
          <w:p w:rsidR="00B33504" w:rsidRPr="004E42B2" w:rsidRDefault="00B33504" w:rsidP="0017073E">
            <w:pPr>
              <w:spacing w:line="276" w:lineRule="auto"/>
              <w:contextualSpacing/>
              <w:jc w:val="both"/>
              <w:rPr>
                <w:rFonts w:eastAsia="DengXian" w:cs="Arial"/>
                <w:kern w:val="2"/>
                <w:szCs w:val="20"/>
                <w:lang w:val="mn-MN"/>
              </w:rPr>
            </w:pPr>
          </w:p>
        </w:tc>
        <w:tc>
          <w:tcPr>
            <w:tcW w:w="3761" w:type="dxa"/>
            <w:vMerge/>
          </w:tcPr>
          <w:p w:rsidR="00B33504" w:rsidRPr="004E42B2" w:rsidRDefault="00B33504" w:rsidP="0017073E">
            <w:pPr>
              <w:spacing w:line="276" w:lineRule="auto"/>
              <w:contextualSpacing/>
              <w:jc w:val="both"/>
              <w:rPr>
                <w:rFonts w:eastAsia="DengXian" w:cs="Arial"/>
                <w:kern w:val="2"/>
                <w:szCs w:val="20"/>
                <w:lang w:val="mn-MN"/>
              </w:rPr>
            </w:pPr>
          </w:p>
        </w:tc>
        <w:tc>
          <w:tcPr>
            <w:tcW w:w="2610" w:type="dxa"/>
          </w:tcPr>
          <w:p w:rsidR="00B33504" w:rsidRPr="004E42B2" w:rsidRDefault="00B33504" w:rsidP="0017073E">
            <w:pPr>
              <w:jc w:val="both"/>
              <w:rPr>
                <w:rFonts w:eastAsia="DengXian" w:cs="Arial"/>
                <w:color w:val="000000"/>
                <w:kern w:val="2"/>
                <w:szCs w:val="20"/>
                <w:lang w:val="mn-MN"/>
              </w:rPr>
            </w:pPr>
            <w:r>
              <w:rPr>
                <w:rFonts w:eastAsia="DengXian" w:cs="Arial"/>
                <w:color w:val="000000"/>
                <w:kern w:val="2"/>
                <w:szCs w:val="20"/>
                <w:lang w:val="mn-MN"/>
              </w:rPr>
              <w:t>Хөтөлбөрийн төслийг хэлэлцэ батлах</w:t>
            </w:r>
          </w:p>
        </w:tc>
        <w:tc>
          <w:tcPr>
            <w:tcW w:w="1546" w:type="dxa"/>
          </w:tcPr>
          <w:p w:rsidR="00B33504" w:rsidRPr="004E42B2" w:rsidRDefault="00B33504" w:rsidP="0017073E">
            <w:pPr>
              <w:spacing w:line="276" w:lineRule="auto"/>
              <w:contextualSpacing/>
              <w:jc w:val="center"/>
              <w:rPr>
                <w:rFonts w:eastAsia="DengXian" w:cs="Arial"/>
                <w:kern w:val="2"/>
                <w:szCs w:val="20"/>
                <w:lang w:val="mn-MN"/>
              </w:rPr>
            </w:pPr>
          </w:p>
          <w:p w:rsidR="00B33504" w:rsidRPr="004E42B2" w:rsidRDefault="00B33504" w:rsidP="0017073E">
            <w:pPr>
              <w:spacing w:line="276" w:lineRule="auto"/>
              <w:contextualSpacing/>
              <w:jc w:val="center"/>
              <w:rPr>
                <w:rFonts w:eastAsia="DengXian" w:cs="Arial"/>
                <w:kern w:val="2"/>
                <w:szCs w:val="20"/>
                <w:lang w:val="mn-MN"/>
              </w:rPr>
            </w:pPr>
            <w:r w:rsidRPr="004E42B2">
              <w:rPr>
                <w:rFonts w:eastAsia="DengXian" w:cs="Arial"/>
                <w:kern w:val="2"/>
                <w:szCs w:val="20"/>
                <w:lang w:val="mn-MN"/>
              </w:rPr>
              <w:t xml:space="preserve"> </w:t>
            </w:r>
            <w:r>
              <w:rPr>
                <w:rFonts w:eastAsia="DengXian" w:cs="Arial"/>
                <w:kern w:val="2"/>
                <w:szCs w:val="20"/>
              </w:rPr>
              <w:t>480</w:t>
            </w:r>
            <w:r w:rsidRPr="004E42B2">
              <w:rPr>
                <w:rFonts w:eastAsia="DengXian" w:cs="Arial"/>
                <w:kern w:val="2"/>
                <w:szCs w:val="20"/>
              </w:rPr>
              <w:t xml:space="preserve"> </w:t>
            </w:r>
            <w:r w:rsidRPr="004E42B2">
              <w:rPr>
                <w:rFonts w:eastAsia="DengXian" w:cs="Arial"/>
                <w:kern w:val="2"/>
                <w:szCs w:val="20"/>
                <w:lang w:val="mn-MN"/>
              </w:rPr>
              <w:t>мин</w:t>
            </w:r>
          </w:p>
        </w:tc>
      </w:tr>
      <w:tr w:rsidR="00B33504" w:rsidRPr="004E42B2" w:rsidTr="0017073E">
        <w:trPr>
          <w:trHeight w:val="449"/>
        </w:trPr>
        <w:tc>
          <w:tcPr>
            <w:tcW w:w="1438" w:type="dxa"/>
          </w:tcPr>
          <w:p w:rsidR="00B33504" w:rsidRPr="004E42B2" w:rsidRDefault="00B33504" w:rsidP="0017073E">
            <w:pPr>
              <w:spacing w:line="276" w:lineRule="auto"/>
              <w:contextualSpacing/>
              <w:jc w:val="both"/>
              <w:rPr>
                <w:rFonts w:eastAsia="DengXian" w:cs="Arial"/>
                <w:kern w:val="2"/>
                <w:szCs w:val="20"/>
                <w:lang w:val="mn-MN"/>
              </w:rPr>
            </w:pPr>
          </w:p>
        </w:tc>
        <w:tc>
          <w:tcPr>
            <w:tcW w:w="3761" w:type="dxa"/>
          </w:tcPr>
          <w:p w:rsidR="00B33504" w:rsidRPr="004E42B2" w:rsidRDefault="00B33504" w:rsidP="0017073E">
            <w:pPr>
              <w:spacing w:line="276" w:lineRule="auto"/>
              <w:contextualSpacing/>
              <w:jc w:val="both"/>
              <w:rPr>
                <w:rFonts w:eastAsia="DengXian" w:cs="Arial"/>
                <w:kern w:val="2"/>
                <w:szCs w:val="20"/>
                <w:lang w:val="mn-MN"/>
              </w:rPr>
            </w:pPr>
          </w:p>
        </w:tc>
        <w:tc>
          <w:tcPr>
            <w:tcW w:w="2610" w:type="dxa"/>
          </w:tcPr>
          <w:p w:rsidR="00B33504" w:rsidRDefault="00B33504" w:rsidP="0017073E">
            <w:pPr>
              <w:jc w:val="both"/>
              <w:rPr>
                <w:rFonts w:eastAsia="DengXian" w:cs="Arial"/>
                <w:color w:val="000000"/>
                <w:kern w:val="2"/>
                <w:szCs w:val="20"/>
                <w:lang w:val="mn-MN"/>
              </w:rPr>
            </w:pPr>
            <w:r>
              <w:rPr>
                <w:rFonts w:eastAsia="DengXian" w:cs="Arial"/>
                <w:color w:val="000000"/>
                <w:kern w:val="2"/>
                <w:szCs w:val="20"/>
                <w:lang w:val="mn-MN"/>
              </w:rPr>
              <w:t>Баталсан хөтөлбөрийг мэдээлэх</w:t>
            </w:r>
          </w:p>
        </w:tc>
        <w:tc>
          <w:tcPr>
            <w:tcW w:w="1546" w:type="dxa"/>
          </w:tcPr>
          <w:p w:rsidR="00B33504" w:rsidRPr="004E42B2" w:rsidRDefault="00B33504" w:rsidP="0017073E">
            <w:pPr>
              <w:spacing w:line="276" w:lineRule="auto"/>
              <w:contextualSpacing/>
              <w:jc w:val="center"/>
              <w:rPr>
                <w:rFonts w:eastAsia="DengXian" w:cs="Arial"/>
                <w:kern w:val="2"/>
                <w:szCs w:val="20"/>
                <w:lang w:val="mn-MN"/>
              </w:rPr>
            </w:pPr>
            <w:r>
              <w:rPr>
                <w:rFonts w:eastAsia="DengXian" w:cs="Arial"/>
                <w:kern w:val="2"/>
                <w:szCs w:val="20"/>
                <w:lang w:val="mn-MN"/>
              </w:rPr>
              <w:t>480 мин</w:t>
            </w:r>
          </w:p>
        </w:tc>
      </w:tr>
      <w:tr w:rsidR="00B33504" w:rsidRPr="004E42B2" w:rsidTr="0017073E">
        <w:trPr>
          <w:trHeight w:val="422"/>
        </w:trPr>
        <w:tc>
          <w:tcPr>
            <w:tcW w:w="7809" w:type="dxa"/>
            <w:gridSpan w:val="3"/>
          </w:tcPr>
          <w:p w:rsidR="00B33504" w:rsidRPr="004E42B2" w:rsidRDefault="00B33504" w:rsidP="0017073E">
            <w:pPr>
              <w:spacing w:line="276" w:lineRule="auto"/>
              <w:contextualSpacing/>
              <w:jc w:val="center"/>
              <w:rPr>
                <w:rFonts w:eastAsia="DengXian" w:cs="Arial"/>
                <w:b/>
                <w:kern w:val="2"/>
                <w:szCs w:val="20"/>
                <w:lang w:val="mn-MN"/>
              </w:rPr>
            </w:pPr>
          </w:p>
          <w:p w:rsidR="00B33504" w:rsidRPr="004E42B2" w:rsidRDefault="00B33504" w:rsidP="0017073E">
            <w:pPr>
              <w:spacing w:line="276" w:lineRule="auto"/>
              <w:contextualSpacing/>
              <w:jc w:val="center"/>
              <w:rPr>
                <w:rFonts w:eastAsia="DengXian" w:cs="Arial"/>
                <w:b/>
                <w:kern w:val="2"/>
                <w:szCs w:val="20"/>
                <w:lang w:val="mn-MN"/>
              </w:rPr>
            </w:pPr>
            <w:r w:rsidRPr="004E42B2">
              <w:rPr>
                <w:rFonts w:eastAsia="DengXian" w:cs="Arial"/>
                <w:b/>
                <w:kern w:val="2"/>
                <w:szCs w:val="20"/>
                <w:lang w:val="mn-MN"/>
              </w:rPr>
              <w:t>Нийт хугацаа</w:t>
            </w:r>
          </w:p>
        </w:tc>
        <w:tc>
          <w:tcPr>
            <w:tcW w:w="1546" w:type="dxa"/>
          </w:tcPr>
          <w:p w:rsidR="00B33504" w:rsidRPr="004E42B2" w:rsidRDefault="00B33504" w:rsidP="0017073E">
            <w:pPr>
              <w:spacing w:line="276" w:lineRule="auto"/>
              <w:contextualSpacing/>
              <w:rPr>
                <w:rFonts w:eastAsia="DengXian" w:cs="Arial"/>
                <w:b/>
                <w:kern w:val="2"/>
                <w:szCs w:val="20"/>
                <w:lang w:val="mn-MN"/>
              </w:rPr>
            </w:pPr>
            <w:r w:rsidRPr="004E42B2">
              <w:rPr>
                <w:rFonts w:eastAsia="DengXian" w:cs="Arial"/>
                <w:b/>
                <w:kern w:val="2"/>
                <w:szCs w:val="20"/>
                <w:lang w:val="mn-MN"/>
              </w:rPr>
              <w:t xml:space="preserve">       </w:t>
            </w:r>
          </w:p>
          <w:p w:rsidR="00B33504" w:rsidRPr="004E42B2" w:rsidRDefault="00B33504" w:rsidP="0017073E">
            <w:pPr>
              <w:spacing w:line="276" w:lineRule="auto"/>
              <w:contextualSpacing/>
              <w:rPr>
                <w:rFonts w:eastAsia="DengXian" w:cs="Arial"/>
                <w:b/>
                <w:kern w:val="2"/>
                <w:szCs w:val="20"/>
                <w:lang w:val="mn-MN"/>
              </w:rPr>
            </w:pPr>
            <w:r>
              <w:rPr>
                <w:rFonts w:eastAsia="DengXian" w:cs="Arial"/>
                <w:b/>
                <w:kern w:val="2"/>
                <w:szCs w:val="20"/>
                <w:lang w:val="mn-MN"/>
              </w:rPr>
              <w:t xml:space="preserve">  7200</w:t>
            </w:r>
            <w:r w:rsidRPr="004E42B2">
              <w:rPr>
                <w:rFonts w:eastAsia="DengXian" w:cs="Arial"/>
                <w:b/>
                <w:kern w:val="2"/>
                <w:szCs w:val="20"/>
                <w:lang w:val="mn-MN"/>
              </w:rPr>
              <w:t xml:space="preserve"> </w:t>
            </w:r>
            <w:r>
              <w:rPr>
                <w:rFonts w:eastAsia="DengXian" w:cs="Arial"/>
                <w:b/>
                <w:kern w:val="2"/>
                <w:szCs w:val="20"/>
                <w:lang w:val="mn-MN"/>
              </w:rPr>
              <w:t>мин</w:t>
            </w:r>
          </w:p>
        </w:tc>
      </w:tr>
    </w:tbl>
    <w:p w:rsidR="00B33504" w:rsidRPr="004E42B2" w:rsidRDefault="00B33504" w:rsidP="00B33504">
      <w:pPr>
        <w:spacing w:before="100" w:beforeAutospacing="1" w:after="100" w:afterAutospacing="1" w:line="276" w:lineRule="auto"/>
        <w:ind w:firstLine="720"/>
        <w:jc w:val="both"/>
        <w:rPr>
          <w:rFonts w:ascii="Arial" w:eastAsia="Times New Roman" w:hAnsi="Arial" w:cs="Arial"/>
          <w:kern w:val="2"/>
          <w:sz w:val="24"/>
          <w:szCs w:val="24"/>
          <w:lang w:val="mn-MN"/>
        </w:rPr>
      </w:pPr>
      <w:r w:rsidRPr="004E42B2">
        <w:rPr>
          <w:rFonts w:ascii="Arial" w:eastAsia="Times New Roman" w:hAnsi="Arial" w:cs="Arial"/>
          <w:kern w:val="2"/>
          <w:sz w:val="24"/>
          <w:szCs w:val="24"/>
          <w:lang w:val="mn-MN"/>
        </w:rPr>
        <w:t>Ажлын хөлсийг</w:t>
      </w:r>
      <w:r w:rsidRPr="004E42B2">
        <w:rPr>
          <w:rFonts w:ascii="Arial" w:eastAsia="Times New Roman" w:hAnsi="Arial" w:cs="Arial"/>
          <w:b/>
          <w:kern w:val="2"/>
          <w:sz w:val="24"/>
          <w:szCs w:val="24"/>
          <w:lang w:val="mn-MN"/>
        </w:rPr>
        <w:t xml:space="preserve"> </w:t>
      </w:r>
      <w:r w:rsidRPr="004E42B2">
        <w:rPr>
          <w:rFonts w:ascii="Arial" w:eastAsia="Times New Roman" w:hAnsi="Arial" w:cs="Arial"/>
          <w:kern w:val="2"/>
          <w:sz w:val="24"/>
          <w:szCs w:val="24"/>
          <w:lang w:val="mn-MN"/>
        </w:rPr>
        <w:t xml:space="preserve">тооцож гаргахдаа дундаж ажилтанд олгох сарын үндсэн цалинг Хөдөлмөрийн тухай хуульд заасан нэг ажилтны ажиллах цагийн горимоор тогтоосон хугацаанд хувааж ажлын хөлсийг өдөр, цаг, минутаар гаргана. </w:t>
      </w:r>
    </w:p>
    <w:p w:rsidR="00B33504" w:rsidRPr="004E42B2" w:rsidRDefault="00B33504" w:rsidP="00B33504">
      <w:pPr>
        <w:spacing w:before="120" w:after="120" w:line="276" w:lineRule="auto"/>
        <w:jc w:val="both"/>
        <w:rPr>
          <w:rFonts w:ascii="Arial" w:eastAsia="DengXian" w:hAnsi="Arial" w:cs="Arial"/>
          <w:kern w:val="2"/>
          <w:sz w:val="24"/>
          <w:lang w:val="mn-MN"/>
        </w:rPr>
      </w:pPr>
      <w:r w:rsidRPr="004E42B2">
        <w:rPr>
          <w:rFonts w:ascii="Arial" w:eastAsia="DengXian" w:hAnsi="Arial" w:cs="Arial"/>
          <w:iCs/>
          <w:kern w:val="2"/>
          <w:sz w:val="24"/>
          <w:szCs w:val="24"/>
          <w:shd w:val="clear" w:color="auto" w:fill="FFFFFF"/>
          <w:lang w:val="mn-MN"/>
        </w:rPr>
        <w:tab/>
      </w:r>
      <w:r w:rsidRPr="004E42B2">
        <w:rPr>
          <w:rFonts w:ascii="Arial" w:eastAsia="DengXian" w:hAnsi="Arial" w:cs="Arial"/>
          <w:kern w:val="2"/>
          <w:sz w:val="24"/>
          <w:lang w:val="mn-MN"/>
        </w:rPr>
        <w:t xml:space="preserve"> Үндэсний статистикийн хорооноос гаргасан судалгаагаар </w:t>
      </w:r>
      <w:r>
        <w:rPr>
          <w:rFonts w:ascii="Arial" w:eastAsia="DengXian" w:hAnsi="Arial" w:cs="Arial"/>
          <w:kern w:val="2"/>
          <w:sz w:val="24"/>
        </w:rPr>
        <w:t>2026 оны 1</w:t>
      </w:r>
      <w:r w:rsidRPr="004E42B2">
        <w:rPr>
          <w:rFonts w:ascii="Arial" w:eastAsia="DengXian" w:hAnsi="Arial" w:cs="Arial"/>
          <w:kern w:val="2"/>
          <w:sz w:val="24"/>
        </w:rPr>
        <w:t xml:space="preserve"> </w:t>
      </w:r>
      <w:r w:rsidRPr="004E42B2">
        <w:rPr>
          <w:rFonts w:ascii="Arial" w:eastAsia="DengXian" w:hAnsi="Arial" w:cs="Arial"/>
          <w:kern w:val="2"/>
          <w:sz w:val="24"/>
          <w:lang w:val="mn-MN"/>
        </w:rPr>
        <w:t>дүгээр улирлын байдлаар</w:t>
      </w:r>
      <w:r w:rsidRPr="004E42B2">
        <w:rPr>
          <w:rFonts w:ascii="Arial" w:eastAsia="DengXian" w:hAnsi="Arial" w:cs="Arial"/>
          <w:kern w:val="2"/>
          <w:sz w:val="24"/>
        </w:rPr>
        <w:t xml:space="preserve"> аж ахуйн нэгж байгууллагын ажиллагсдын сарын </w:t>
      </w:r>
      <w:r>
        <w:rPr>
          <w:rFonts w:ascii="Arial" w:eastAsia="DengXian" w:hAnsi="Arial" w:cs="Arial"/>
          <w:kern w:val="2"/>
          <w:sz w:val="24"/>
          <w:lang w:val="mn-MN"/>
        </w:rPr>
        <w:t>дундаж цалин 2</w:t>
      </w:r>
      <w:r w:rsidRPr="004E42B2">
        <w:rPr>
          <w:rFonts w:ascii="Arial" w:eastAsia="DengXian" w:hAnsi="Arial" w:cs="Arial"/>
          <w:kern w:val="2"/>
          <w:sz w:val="24"/>
          <w:lang w:val="mn-MN"/>
        </w:rPr>
        <w:t>,</w:t>
      </w:r>
      <w:r>
        <w:rPr>
          <w:rFonts w:ascii="Arial" w:eastAsia="DengXian" w:hAnsi="Arial" w:cs="Arial"/>
          <w:kern w:val="2"/>
          <w:sz w:val="24"/>
        </w:rPr>
        <w:t>400</w:t>
      </w:r>
      <w:r w:rsidRPr="004E42B2">
        <w:rPr>
          <w:rFonts w:ascii="Arial" w:eastAsia="DengXian" w:hAnsi="Arial" w:cs="Arial"/>
          <w:kern w:val="2"/>
          <w:sz w:val="24"/>
          <w:lang w:val="mn-MN"/>
        </w:rPr>
        <w:t>,000</w:t>
      </w:r>
      <w:r w:rsidRPr="004E42B2">
        <w:rPr>
          <w:rFonts w:ascii="Arial" w:eastAsia="DengXian" w:hAnsi="Arial" w:cs="Arial"/>
          <w:kern w:val="2"/>
          <w:sz w:val="24"/>
        </w:rPr>
        <w:t xml:space="preserve"> төгрөг байна.</w:t>
      </w:r>
      <w:r w:rsidRPr="004E42B2">
        <w:rPr>
          <w:rFonts w:ascii="Arial" w:eastAsia="DengXian" w:hAnsi="Arial" w:cs="Arial"/>
          <w:kern w:val="2"/>
          <w:sz w:val="24"/>
          <w:vertAlign w:val="superscript"/>
          <w:lang w:val="mn-MN"/>
        </w:rPr>
        <w:footnoteReference w:id="3"/>
      </w:r>
      <w:r w:rsidRPr="004E42B2">
        <w:rPr>
          <w:rFonts w:ascii="Arial" w:eastAsia="DengXian" w:hAnsi="Arial" w:cs="Arial"/>
          <w:kern w:val="2"/>
          <w:sz w:val="24"/>
          <w:lang w:val="mn-MN"/>
        </w:rPr>
        <w:t xml:space="preserve">   </w:t>
      </w:r>
      <w:r w:rsidRPr="004E42B2">
        <w:rPr>
          <w:rFonts w:ascii="Arial" w:eastAsia="Times New Roman" w:hAnsi="Arial" w:cs="Arial"/>
          <w:kern w:val="2"/>
          <w:sz w:val="24"/>
          <w:szCs w:val="24"/>
          <w:lang w:val="mn-MN"/>
        </w:rPr>
        <w:t>Ажиллах хугацааг Хөдөлмөрийн тухай хуульд заасан ажлын цагийг баримтлав.</w:t>
      </w:r>
    </w:p>
    <w:p w:rsidR="00B33504" w:rsidRPr="004E42B2" w:rsidRDefault="00B33504" w:rsidP="00B33504">
      <w:pPr>
        <w:spacing w:after="0" w:line="276" w:lineRule="auto"/>
        <w:ind w:firstLine="720"/>
        <w:rPr>
          <w:rFonts w:ascii="Arial" w:eastAsia="Times New Roman" w:hAnsi="Arial" w:cs="Arial"/>
          <w:kern w:val="2"/>
          <w:sz w:val="24"/>
          <w:szCs w:val="24"/>
        </w:rPr>
      </w:pPr>
    </w:p>
    <w:tbl>
      <w:tblPr>
        <w:tblStyle w:val="TableGrid7"/>
        <w:tblW w:w="9445" w:type="dxa"/>
        <w:tblLook w:val="04A0" w:firstRow="1" w:lastRow="0" w:firstColumn="1" w:lastColumn="0" w:noHBand="0" w:noVBand="1"/>
      </w:tblPr>
      <w:tblGrid>
        <w:gridCol w:w="9445"/>
      </w:tblGrid>
      <w:tr w:rsidR="00B33504" w:rsidRPr="004E42B2" w:rsidTr="0017073E">
        <w:tc>
          <w:tcPr>
            <w:tcW w:w="9445" w:type="dxa"/>
          </w:tcPr>
          <w:p w:rsidR="00B33504" w:rsidRPr="004E42B2" w:rsidRDefault="00B33504" w:rsidP="0017073E">
            <w:pPr>
              <w:spacing w:before="100" w:beforeAutospacing="1" w:after="100" w:afterAutospacing="1" w:line="276" w:lineRule="auto"/>
              <w:jc w:val="center"/>
              <w:rPr>
                <w:rFonts w:eastAsia="Times New Roman" w:cs="Arial"/>
                <w:b/>
                <w:kern w:val="2"/>
                <w:szCs w:val="20"/>
                <w:lang w:val="mn-MN"/>
              </w:rPr>
            </w:pPr>
            <w:r w:rsidRPr="004E42B2">
              <w:rPr>
                <w:rFonts w:eastAsia="Times New Roman" w:cs="Arial"/>
                <w:b/>
                <w:kern w:val="2"/>
                <w:szCs w:val="20"/>
                <w:lang w:val="mn-MN"/>
              </w:rPr>
              <w:t>Ажлын хөлс = Үндсэн цалинг : ажиллах хугацаа</w:t>
            </w:r>
          </w:p>
        </w:tc>
      </w:tr>
      <w:tr w:rsidR="00B33504" w:rsidRPr="004E42B2" w:rsidTr="0017073E">
        <w:tc>
          <w:tcPr>
            <w:tcW w:w="9445" w:type="dxa"/>
          </w:tcPr>
          <w:p w:rsidR="00B33504" w:rsidRPr="004E42B2" w:rsidRDefault="00B33504" w:rsidP="0017073E">
            <w:pPr>
              <w:spacing w:before="100" w:beforeAutospacing="1" w:after="100" w:afterAutospacing="1" w:line="276" w:lineRule="auto"/>
              <w:rPr>
                <w:rFonts w:eastAsia="Times New Roman" w:cs="Arial"/>
                <w:kern w:val="2"/>
                <w:szCs w:val="20"/>
                <w:lang w:val="mn-MN"/>
              </w:rPr>
            </w:pPr>
            <w:r>
              <w:rPr>
                <w:rFonts w:eastAsia="Times New Roman" w:cs="Arial"/>
                <w:kern w:val="2"/>
                <w:szCs w:val="20"/>
                <w:lang w:val="mn-MN"/>
              </w:rPr>
              <w:t xml:space="preserve">                        2.40</w:t>
            </w:r>
            <w:r w:rsidRPr="004E42B2">
              <w:rPr>
                <w:rFonts w:eastAsia="Times New Roman" w:cs="Arial"/>
                <w:kern w:val="2"/>
                <w:szCs w:val="20"/>
                <w:lang w:val="mn-MN"/>
              </w:rPr>
              <w:t xml:space="preserve">0.000 : 22 өдөр : 8 цаг  = </w:t>
            </w:r>
            <w:r>
              <w:rPr>
                <w:rFonts w:eastAsia="Times New Roman" w:cs="Arial"/>
                <w:kern w:val="2"/>
                <w:szCs w:val="20"/>
              </w:rPr>
              <w:t>13636</w:t>
            </w:r>
            <w:r w:rsidRPr="004E42B2">
              <w:rPr>
                <w:rFonts w:eastAsia="Times New Roman" w:cs="Arial"/>
                <w:kern w:val="2"/>
                <w:szCs w:val="20"/>
                <w:lang w:val="mn-MN"/>
              </w:rPr>
              <w:t xml:space="preserve"> төгрөг /нэг цагийн ажлын дундаж хөлс/</w:t>
            </w:r>
          </w:p>
          <w:p w:rsidR="00B33504" w:rsidRPr="004E42B2" w:rsidRDefault="00B33504" w:rsidP="0017073E">
            <w:pPr>
              <w:spacing w:before="100" w:beforeAutospacing="1" w:after="100" w:afterAutospacing="1" w:line="276" w:lineRule="auto"/>
              <w:jc w:val="center"/>
              <w:rPr>
                <w:rFonts w:eastAsia="Times New Roman" w:cs="Arial"/>
                <w:kern w:val="2"/>
                <w:szCs w:val="20"/>
                <w:lang w:val="mn-MN"/>
              </w:rPr>
            </w:pPr>
            <w:r>
              <w:rPr>
                <w:rFonts w:eastAsia="Times New Roman" w:cs="Arial"/>
                <w:kern w:val="2"/>
                <w:szCs w:val="20"/>
                <w:lang w:val="mn-MN"/>
              </w:rPr>
              <w:t>13636 : 60 минут = 227</w:t>
            </w:r>
            <w:r w:rsidRPr="004E42B2">
              <w:rPr>
                <w:rFonts w:eastAsia="Times New Roman" w:cs="Arial"/>
                <w:kern w:val="2"/>
                <w:szCs w:val="20"/>
                <w:lang w:val="mn-MN"/>
              </w:rPr>
              <w:t xml:space="preserve"> төгрөг /нэг минутын цалин/ </w:t>
            </w:r>
          </w:p>
        </w:tc>
      </w:tr>
    </w:tbl>
    <w:p w:rsidR="00B33504" w:rsidRPr="004E42B2" w:rsidRDefault="00B33504" w:rsidP="00B33504">
      <w:pPr>
        <w:spacing w:after="0" w:line="276" w:lineRule="auto"/>
        <w:ind w:firstLine="720"/>
        <w:jc w:val="both"/>
        <w:rPr>
          <w:rFonts w:ascii="Arial" w:eastAsia="Times New Roman" w:hAnsi="Arial" w:cs="Arial"/>
          <w:kern w:val="2"/>
          <w:sz w:val="24"/>
          <w:szCs w:val="24"/>
          <w:lang w:val="mn-MN"/>
        </w:rPr>
      </w:pPr>
    </w:p>
    <w:p w:rsidR="00B33504" w:rsidRPr="004E42B2" w:rsidRDefault="00B33504" w:rsidP="00B33504">
      <w:pPr>
        <w:spacing w:after="0" w:line="276" w:lineRule="auto"/>
        <w:ind w:firstLine="720"/>
        <w:jc w:val="both"/>
        <w:rPr>
          <w:rFonts w:ascii="Arial" w:eastAsia="Times New Roman" w:hAnsi="Arial" w:cs="Arial"/>
          <w:kern w:val="2"/>
          <w:sz w:val="24"/>
          <w:szCs w:val="24"/>
          <w:lang w:val="mn-MN"/>
        </w:rPr>
      </w:pPr>
      <w:r w:rsidRPr="004E42B2">
        <w:rPr>
          <w:rFonts w:ascii="Arial" w:eastAsia="Times New Roman" w:hAnsi="Arial" w:cs="Arial"/>
          <w:kern w:val="2"/>
          <w:sz w:val="24"/>
          <w:szCs w:val="24"/>
          <w:lang w:val="mn-MN"/>
        </w:rPr>
        <w:t xml:space="preserve">Дээрх үүргийг хэрэгжүүлэхэд нэг хуулийн этгээдэд үүсгэж байгаа зардлыг үйл ажиллагаанд зарцуулж буй хугацааг ажлын хөлсөөр үржүүлж тооцно. </w:t>
      </w:r>
    </w:p>
    <w:p w:rsidR="00B33504" w:rsidRPr="004E42B2" w:rsidRDefault="00B33504" w:rsidP="00B33504">
      <w:pPr>
        <w:spacing w:after="0" w:line="276" w:lineRule="auto"/>
        <w:ind w:firstLine="720"/>
        <w:rPr>
          <w:rFonts w:ascii="Arial" w:eastAsia="Times New Roman" w:hAnsi="Arial" w:cs="Arial"/>
          <w:kern w:val="2"/>
          <w:sz w:val="24"/>
          <w:szCs w:val="24"/>
          <w:lang w:val="mn-MN"/>
        </w:rPr>
      </w:pPr>
    </w:p>
    <w:tbl>
      <w:tblPr>
        <w:tblStyle w:val="TableGrid7"/>
        <w:tblW w:w="9351" w:type="dxa"/>
        <w:tblLook w:val="04A0" w:firstRow="1" w:lastRow="0" w:firstColumn="1" w:lastColumn="0" w:noHBand="0" w:noVBand="1"/>
      </w:tblPr>
      <w:tblGrid>
        <w:gridCol w:w="4465"/>
        <w:gridCol w:w="1373"/>
        <w:gridCol w:w="1825"/>
        <w:gridCol w:w="1688"/>
      </w:tblGrid>
      <w:tr w:rsidR="00B33504" w:rsidRPr="004E42B2" w:rsidTr="0017073E">
        <w:tc>
          <w:tcPr>
            <w:tcW w:w="4529" w:type="dxa"/>
          </w:tcPr>
          <w:p w:rsidR="00B33504" w:rsidRPr="004E42B2" w:rsidRDefault="00B33504" w:rsidP="0017073E">
            <w:pPr>
              <w:spacing w:line="276" w:lineRule="auto"/>
              <w:contextualSpacing/>
              <w:jc w:val="center"/>
              <w:rPr>
                <w:rFonts w:eastAsia="DengXian" w:cs="Arial"/>
                <w:b/>
                <w:kern w:val="2"/>
                <w:szCs w:val="20"/>
                <w:lang w:val="mn-MN"/>
              </w:rPr>
            </w:pPr>
            <w:r w:rsidRPr="004E42B2">
              <w:rPr>
                <w:rFonts w:eastAsia="DengXian" w:cs="Arial"/>
                <w:b/>
                <w:kern w:val="2"/>
                <w:szCs w:val="20"/>
                <w:lang w:val="mn-MN"/>
              </w:rPr>
              <w:t>Гүйцэтгэх үүрэг</w:t>
            </w:r>
          </w:p>
        </w:tc>
        <w:tc>
          <w:tcPr>
            <w:tcW w:w="1278" w:type="dxa"/>
          </w:tcPr>
          <w:p w:rsidR="00B33504" w:rsidRPr="004E42B2" w:rsidRDefault="00B33504" w:rsidP="0017073E">
            <w:pPr>
              <w:spacing w:before="100" w:beforeAutospacing="1" w:after="100" w:afterAutospacing="1" w:line="276" w:lineRule="auto"/>
              <w:jc w:val="center"/>
              <w:rPr>
                <w:rFonts w:eastAsia="Times New Roman" w:cs="Arial"/>
                <w:b/>
                <w:kern w:val="2"/>
                <w:szCs w:val="20"/>
                <w:lang w:val="mn-MN"/>
              </w:rPr>
            </w:pPr>
            <w:r w:rsidRPr="004E42B2">
              <w:rPr>
                <w:rFonts w:eastAsia="Times New Roman" w:cs="Arial"/>
                <w:b/>
                <w:kern w:val="2"/>
                <w:szCs w:val="20"/>
                <w:lang w:val="mn-MN"/>
              </w:rPr>
              <w:t>Зарцуулах хугацаа</w:t>
            </w:r>
          </w:p>
        </w:tc>
        <w:tc>
          <w:tcPr>
            <w:tcW w:w="1843" w:type="dxa"/>
          </w:tcPr>
          <w:p w:rsidR="00B33504" w:rsidRPr="004E42B2" w:rsidRDefault="00B33504" w:rsidP="0017073E">
            <w:pPr>
              <w:spacing w:before="100" w:beforeAutospacing="1" w:after="100" w:afterAutospacing="1" w:line="276" w:lineRule="auto"/>
              <w:jc w:val="center"/>
              <w:rPr>
                <w:rFonts w:eastAsia="Times New Roman" w:cs="Arial"/>
                <w:b/>
                <w:kern w:val="2"/>
                <w:szCs w:val="20"/>
                <w:lang w:val="mn-MN"/>
              </w:rPr>
            </w:pPr>
            <w:r w:rsidRPr="004E42B2">
              <w:rPr>
                <w:rFonts w:eastAsia="Times New Roman" w:cs="Arial"/>
                <w:b/>
                <w:kern w:val="2"/>
                <w:szCs w:val="20"/>
                <w:lang w:val="mn-MN"/>
              </w:rPr>
              <w:t>Ажлын хөлс</w:t>
            </w:r>
          </w:p>
        </w:tc>
        <w:tc>
          <w:tcPr>
            <w:tcW w:w="1701" w:type="dxa"/>
          </w:tcPr>
          <w:p w:rsidR="00B33504" w:rsidRPr="004E42B2" w:rsidRDefault="00B33504" w:rsidP="0017073E">
            <w:pPr>
              <w:spacing w:before="100" w:beforeAutospacing="1" w:after="100" w:afterAutospacing="1" w:line="276" w:lineRule="auto"/>
              <w:jc w:val="center"/>
              <w:rPr>
                <w:rFonts w:eastAsia="Times New Roman" w:cs="Arial"/>
                <w:b/>
                <w:kern w:val="2"/>
                <w:szCs w:val="20"/>
                <w:lang w:val="mn-MN"/>
              </w:rPr>
            </w:pPr>
            <w:r w:rsidRPr="004E42B2">
              <w:rPr>
                <w:rFonts w:eastAsia="Times New Roman" w:cs="Arial"/>
                <w:b/>
                <w:kern w:val="2"/>
                <w:szCs w:val="20"/>
                <w:lang w:val="mn-MN"/>
              </w:rPr>
              <w:t>Нэг бүрийн зардал</w:t>
            </w:r>
          </w:p>
        </w:tc>
      </w:tr>
      <w:tr w:rsidR="00B33504" w:rsidRPr="004E42B2" w:rsidTr="0017073E">
        <w:trPr>
          <w:trHeight w:val="917"/>
        </w:trPr>
        <w:tc>
          <w:tcPr>
            <w:tcW w:w="4529" w:type="dxa"/>
          </w:tcPr>
          <w:p w:rsidR="00B33504" w:rsidRPr="00193C23" w:rsidRDefault="00B33504" w:rsidP="0017073E">
            <w:pPr>
              <w:spacing w:after="100" w:afterAutospacing="1"/>
              <w:contextualSpacing/>
              <w:jc w:val="both"/>
              <w:rPr>
                <w:rFonts w:cs="Arial"/>
                <w:b/>
                <w:color w:val="000000" w:themeColor="text1"/>
                <w:szCs w:val="20"/>
                <w:lang w:val="mn-MN"/>
              </w:rPr>
            </w:pPr>
            <w:r w:rsidRPr="00193C23">
              <w:rPr>
                <w:rFonts w:cs="Arial"/>
                <w:b/>
                <w:color w:val="000000" w:themeColor="text1"/>
                <w:szCs w:val="20"/>
                <w:lang w:val="mn-MN"/>
              </w:rPr>
              <w:t>57 дугаар зүйл.</w:t>
            </w:r>
          </w:p>
          <w:p w:rsidR="00B33504" w:rsidRDefault="00B33504" w:rsidP="0017073E">
            <w:pPr>
              <w:spacing w:after="100" w:afterAutospacing="1"/>
              <w:contextualSpacing/>
              <w:jc w:val="both"/>
              <w:rPr>
                <w:rFonts w:cs="Arial"/>
                <w:b/>
                <w:color w:val="000000" w:themeColor="text1"/>
                <w:szCs w:val="20"/>
                <w:lang w:val="mn-MN"/>
              </w:rPr>
            </w:pPr>
          </w:p>
          <w:p w:rsidR="00B33504" w:rsidRPr="00193C23" w:rsidRDefault="00B33504" w:rsidP="0017073E">
            <w:pPr>
              <w:spacing w:after="100" w:afterAutospacing="1"/>
              <w:contextualSpacing/>
              <w:jc w:val="both"/>
              <w:rPr>
                <w:rFonts w:cs="Arial"/>
                <w:color w:val="000000" w:themeColor="text1"/>
                <w:szCs w:val="20"/>
                <w:lang w:val="mn-MN"/>
              </w:rPr>
            </w:pPr>
            <w:r w:rsidRPr="00193C23">
              <w:rPr>
                <w:rFonts w:cs="Arial"/>
                <w:color w:val="000000" w:themeColor="text1"/>
                <w:szCs w:val="20"/>
                <w:lang w:val="mn-MN"/>
              </w:rPr>
              <w:t>Эрх зүйн бакалаврын сургалтын хөтөлбөрт тавигдах шаардлагыг биелүүлэх</w:t>
            </w:r>
          </w:p>
          <w:p w:rsidR="00B33504" w:rsidRPr="004E42B2" w:rsidRDefault="00B33504" w:rsidP="0017073E">
            <w:pPr>
              <w:spacing w:line="276" w:lineRule="auto"/>
              <w:contextualSpacing/>
              <w:jc w:val="both"/>
              <w:rPr>
                <w:rFonts w:eastAsia="DengXian" w:cs="Arial"/>
                <w:noProof/>
                <w:kern w:val="2"/>
                <w:szCs w:val="20"/>
              </w:rPr>
            </w:pPr>
          </w:p>
        </w:tc>
        <w:tc>
          <w:tcPr>
            <w:tcW w:w="1278" w:type="dxa"/>
          </w:tcPr>
          <w:p w:rsidR="00B33504" w:rsidRPr="004E42B2" w:rsidRDefault="00B33504" w:rsidP="0017073E">
            <w:pPr>
              <w:spacing w:before="100" w:beforeAutospacing="1" w:after="100" w:afterAutospacing="1" w:line="276" w:lineRule="auto"/>
              <w:jc w:val="center"/>
              <w:rPr>
                <w:rFonts w:eastAsia="Times New Roman" w:cs="Arial"/>
                <w:kern w:val="2"/>
                <w:szCs w:val="20"/>
                <w:lang w:val="mn-MN"/>
              </w:rPr>
            </w:pPr>
          </w:p>
          <w:p w:rsidR="00B33504" w:rsidRPr="004E42B2" w:rsidRDefault="00B33504" w:rsidP="0017073E">
            <w:pPr>
              <w:spacing w:before="100" w:beforeAutospacing="1" w:after="100" w:afterAutospacing="1" w:line="276" w:lineRule="auto"/>
              <w:jc w:val="center"/>
              <w:rPr>
                <w:rFonts w:eastAsia="Times New Roman" w:cs="Arial"/>
                <w:kern w:val="2"/>
                <w:szCs w:val="20"/>
                <w:lang w:val="mn-MN"/>
              </w:rPr>
            </w:pPr>
            <w:r>
              <w:rPr>
                <w:rFonts w:eastAsia="Times New Roman" w:cs="Arial"/>
                <w:kern w:val="2"/>
                <w:szCs w:val="20"/>
                <w:lang w:val="mn-MN"/>
              </w:rPr>
              <w:t>7200</w:t>
            </w:r>
            <w:r w:rsidRPr="004E42B2">
              <w:rPr>
                <w:rFonts w:eastAsia="Times New Roman" w:cs="Arial"/>
                <w:kern w:val="2"/>
                <w:szCs w:val="20"/>
                <w:lang w:val="mn-MN"/>
              </w:rPr>
              <w:t xml:space="preserve"> мин</w:t>
            </w:r>
          </w:p>
        </w:tc>
        <w:tc>
          <w:tcPr>
            <w:tcW w:w="1843" w:type="dxa"/>
          </w:tcPr>
          <w:p w:rsidR="00B33504" w:rsidRPr="004E42B2" w:rsidRDefault="00B33504" w:rsidP="0017073E">
            <w:pPr>
              <w:spacing w:before="100" w:beforeAutospacing="1" w:after="100" w:afterAutospacing="1" w:line="276" w:lineRule="auto"/>
              <w:jc w:val="center"/>
              <w:rPr>
                <w:rFonts w:eastAsia="Times New Roman" w:cs="Arial"/>
                <w:kern w:val="2"/>
                <w:szCs w:val="20"/>
                <w:lang w:val="mn-MN"/>
              </w:rPr>
            </w:pPr>
          </w:p>
          <w:p w:rsidR="00B33504" w:rsidRPr="004E42B2" w:rsidRDefault="00B33504" w:rsidP="0017073E">
            <w:pPr>
              <w:spacing w:before="100" w:beforeAutospacing="1" w:after="100" w:afterAutospacing="1" w:line="276" w:lineRule="auto"/>
              <w:jc w:val="center"/>
              <w:rPr>
                <w:rFonts w:eastAsia="Times New Roman" w:cs="Arial"/>
                <w:kern w:val="2"/>
                <w:szCs w:val="20"/>
                <w:lang w:val="mn-MN"/>
              </w:rPr>
            </w:pPr>
            <w:r>
              <w:rPr>
                <w:rFonts w:eastAsia="Times New Roman" w:cs="Arial"/>
                <w:kern w:val="2"/>
                <w:szCs w:val="20"/>
                <w:lang w:val="mn-MN"/>
              </w:rPr>
              <w:t>227</w:t>
            </w:r>
            <w:r w:rsidRPr="004E42B2">
              <w:rPr>
                <w:rFonts w:eastAsia="Times New Roman" w:cs="Arial"/>
                <w:kern w:val="2"/>
                <w:szCs w:val="20"/>
                <w:lang w:val="mn-MN"/>
              </w:rPr>
              <w:t xml:space="preserve"> төгрөг</w:t>
            </w:r>
          </w:p>
        </w:tc>
        <w:tc>
          <w:tcPr>
            <w:tcW w:w="1701" w:type="dxa"/>
          </w:tcPr>
          <w:p w:rsidR="00B33504" w:rsidRPr="004E42B2" w:rsidRDefault="00B33504" w:rsidP="0017073E">
            <w:pPr>
              <w:spacing w:before="100" w:beforeAutospacing="1" w:after="100" w:afterAutospacing="1" w:line="276" w:lineRule="auto"/>
              <w:jc w:val="both"/>
              <w:rPr>
                <w:rFonts w:eastAsia="Times New Roman" w:cs="Arial"/>
                <w:kern w:val="2"/>
                <w:szCs w:val="20"/>
                <w:lang w:val="mn-MN"/>
              </w:rPr>
            </w:pPr>
          </w:p>
          <w:p w:rsidR="00B33504" w:rsidRPr="004E42B2" w:rsidRDefault="00B33504" w:rsidP="0017073E">
            <w:pPr>
              <w:spacing w:before="100" w:beforeAutospacing="1" w:after="100" w:afterAutospacing="1" w:line="276" w:lineRule="auto"/>
              <w:jc w:val="center"/>
              <w:rPr>
                <w:rFonts w:eastAsia="Times New Roman" w:cs="Arial"/>
                <w:kern w:val="2"/>
                <w:szCs w:val="20"/>
                <w:lang w:val="mn-MN"/>
              </w:rPr>
            </w:pPr>
            <w:r>
              <w:rPr>
                <w:rFonts w:eastAsia="Times New Roman" w:cs="Arial"/>
                <w:kern w:val="2"/>
                <w:szCs w:val="20"/>
              </w:rPr>
              <w:t>1634400</w:t>
            </w:r>
            <w:r w:rsidRPr="004E42B2">
              <w:rPr>
                <w:rFonts w:eastAsia="Times New Roman" w:cs="Arial"/>
                <w:kern w:val="2"/>
                <w:szCs w:val="20"/>
                <w:lang w:val="mn-MN"/>
              </w:rPr>
              <w:t xml:space="preserve"> төгрөг</w:t>
            </w:r>
          </w:p>
        </w:tc>
      </w:tr>
    </w:tbl>
    <w:p w:rsidR="00B33504" w:rsidRPr="004E42B2" w:rsidRDefault="00B33504" w:rsidP="00B33504">
      <w:pPr>
        <w:spacing w:after="0" w:line="276" w:lineRule="auto"/>
        <w:jc w:val="both"/>
        <w:rPr>
          <w:rFonts w:ascii="Arial" w:eastAsia="Times New Roman" w:hAnsi="Arial" w:cs="Arial"/>
          <w:b/>
          <w:kern w:val="2"/>
          <w:sz w:val="24"/>
          <w:szCs w:val="24"/>
          <w:lang w:val="mn-MN"/>
        </w:rPr>
      </w:pPr>
    </w:p>
    <w:p w:rsidR="00B33504" w:rsidRPr="004E42B2" w:rsidRDefault="00B33504" w:rsidP="00B33504">
      <w:pPr>
        <w:spacing w:after="0" w:line="276" w:lineRule="auto"/>
        <w:ind w:firstLine="720"/>
        <w:jc w:val="both"/>
        <w:rPr>
          <w:rFonts w:ascii="Arial" w:eastAsia="Times New Roman" w:hAnsi="Arial" w:cs="Arial"/>
          <w:kern w:val="2"/>
          <w:sz w:val="24"/>
          <w:szCs w:val="24"/>
          <w:lang w:val="mn-MN"/>
        </w:rPr>
      </w:pPr>
      <w:r w:rsidRPr="004E42B2">
        <w:rPr>
          <w:rFonts w:ascii="Arial" w:eastAsia="Times New Roman" w:hAnsi="Arial" w:cs="Arial"/>
          <w:kern w:val="2"/>
          <w:sz w:val="24"/>
          <w:szCs w:val="24"/>
          <w:lang w:val="mn-MN"/>
        </w:rPr>
        <w:t xml:space="preserve">Энэ үе шатанд өмнөх үе шатуудад тогтоосон үүргийг хэдэн хуулийн этгээд, жилд хэдэн удаа гүйцэтгэх вэ гэдгийг хуанлийн нэг жилээр тооцоолон гаргах юм. Энэ үзүүлэлтийг гаргахын тулд </w:t>
      </w:r>
      <w:r w:rsidRPr="004E42B2">
        <w:rPr>
          <w:rFonts w:ascii="Arial" w:eastAsia="Times New Roman" w:hAnsi="Arial" w:cs="Arial"/>
          <w:b/>
          <w:kern w:val="2"/>
          <w:sz w:val="24"/>
          <w:szCs w:val="24"/>
          <w:lang w:val="mn-MN"/>
        </w:rPr>
        <w:t>тохиолдлын тоо</w:t>
      </w:r>
      <w:r w:rsidRPr="004E42B2">
        <w:rPr>
          <w:rFonts w:ascii="Arial" w:eastAsia="Times New Roman" w:hAnsi="Arial" w:cs="Arial"/>
          <w:b/>
          <w:kern w:val="2"/>
          <w:sz w:val="24"/>
          <w:szCs w:val="24"/>
          <w:vertAlign w:val="superscript"/>
          <w:lang w:val="mn-MN"/>
        </w:rPr>
        <w:footnoteReference w:id="4"/>
      </w:r>
      <w:r w:rsidRPr="004E42B2">
        <w:rPr>
          <w:rFonts w:ascii="Arial" w:eastAsia="Times New Roman" w:hAnsi="Arial" w:cs="Arial"/>
          <w:kern w:val="2"/>
          <w:sz w:val="24"/>
          <w:szCs w:val="24"/>
          <w:lang w:val="mn-MN"/>
        </w:rPr>
        <w:t xml:space="preserve"> болон </w:t>
      </w:r>
      <w:r w:rsidRPr="004E42B2">
        <w:rPr>
          <w:rFonts w:ascii="Arial" w:eastAsia="Times New Roman" w:hAnsi="Arial" w:cs="Arial"/>
          <w:b/>
          <w:kern w:val="2"/>
          <w:sz w:val="24"/>
          <w:szCs w:val="24"/>
          <w:lang w:val="mn-MN"/>
        </w:rPr>
        <w:t xml:space="preserve">давтамжийг </w:t>
      </w:r>
      <w:r w:rsidRPr="004E42B2">
        <w:rPr>
          <w:rFonts w:ascii="Arial" w:eastAsia="Times New Roman" w:hAnsi="Arial" w:cs="Arial"/>
          <w:kern w:val="2"/>
          <w:sz w:val="24"/>
          <w:szCs w:val="24"/>
          <w:vertAlign w:val="superscript"/>
          <w:lang w:val="mn-MN"/>
        </w:rPr>
        <w:footnoteReference w:id="5"/>
      </w:r>
      <w:r w:rsidRPr="004E42B2">
        <w:rPr>
          <w:rFonts w:ascii="Arial" w:eastAsia="Times New Roman" w:hAnsi="Arial" w:cs="Arial"/>
          <w:b/>
          <w:kern w:val="2"/>
          <w:sz w:val="24"/>
          <w:szCs w:val="24"/>
          <w:lang w:val="mn-MN"/>
        </w:rPr>
        <w:t xml:space="preserve"> </w:t>
      </w:r>
      <w:r w:rsidRPr="004E42B2">
        <w:rPr>
          <w:rFonts w:ascii="Arial" w:eastAsia="Times New Roman" w:hAnsi="Arial" w:cs="Arial"/>
          <w:kern w:val="2"/>
          <w:sz w:val="24"/>
          <w:szCs w:val="24"/>
          <w:lang w:val="mn-MN"/>
        </w:rPr>
        <w:t xml:space="preserve">холбогдох статистик мэдээ ашиглан тодорхойлж гаргах бөгөөд тэдгээрийн үржвэрээр “тоон үзүүлэлт” нь илэрхийлэгдэх юм. </w:t>
      </w:r>
    </w:p>
    <w:p w:rsidR="00B33504" w:rsidRPr="004E42B2" w:rsidRDefault="00B33504" w:rsidP="00B33504">
      <w:pPr>
        <w:spacing w:after="0" w:line="276" w:lineRule="auto"/>
        <w:jc w:val="both"/>
        <w:rPr>
          <w:rFonts w:ascii="Arial" w:eastAsia="Times New Roman" w:hAnsi="Arial" w:cs="Arial"/>
          <w:kern w:val="2"/>
          <w:sz w:val="24"/>
          <w:szCs w:val="24"/>
          <w:lang w:val="mn-MN"/>
        </w:rPr>
      </w:pPr>
    </w:p>
    <w:tbl>
      <w:tblPr>
        <w:tblStyle w:val="TableGrid7"/>
        <w:tblW w:w="9445" w:type="dxa"/>
        <w:tblLook w:val="04A0" w:firstRow="1" w:lastRow="0" w:firstColumn="1" w:lastColumn="0" w:noHBand="0" w:noVBand="1"/>
      </w:tblPr>
      <w:tblGrid>
        <w:gridCol w:w="9445"/>
      </w:tblGrid>
      <w:tr w:rsidR="00B33504" w:rsidRPr="004E42B2" w:rsidTr="0017073E">
        <w:tc>
          <w:tcPr>
            <w:tcW w:w="9445" w:type="dxa"/>
          </w:tcPr>
          <w:p w:rsidR="00B33504" w:rsidRPr="004E42B2" w:rsidRDefault="00B33504" w:rsidP="0017073E">
            <w:pPr>
              <w:spacing w:line="276" w:lineRule="auto"/>
              <w:jc w:val="center"/>
              <w:rPr>
                <w:rFonts w:eastAsia="Times New Roman" w:cs="Arial"/>
                <w:b/>
                <w:kern w:val="2"/>
                <w:szCs w:val="20"/>
                <w:lang w:val="mn-MN"/>
              </w:rPr>
            </w:pPr>
            <w:r w:rsidRPr="004E42B2">
              <w:rPr>
                <w:rFonts w:eastAsia="Times New Roman" w:cs="Arial"/>
                <w:b/>
                <w:kern w:val="2"/>
                <w:szCs w:val="20"/>
                <w:lang w:val="mn-MN"/>
              </w:rPr>
              <w:lastRenderedPageBreak/>
              <w:t>ТОХИОЛДЛЫН ТОО х ДАВТАМЖ = ТООН ҮЗҮҮЛЭЛТ</w:t>
            </w:r>
          </w:p>
        </w:tc>
      </w:tr>
    </w:tbl>
    <w:p w:rsidR="00B33504" w:rsidRPr="004E42B2" w:rsidRDefault="00B33504" w:rsidP="00B33504">
      <w:pPr>
        <w:spacing w:after="0" w:line="276" w:lineRule="auto"/>
        <w:jc w:val="both"/>
        <w:rPr>
          <w:rFonts w:ascii="Arial" w:eastAsia="Times New Roman" w:hAnsi="Arial" w:cs="Arial"/>
          <w:kern w:val="2"/>
          <w:sz w:val="24"/>
          <w:szCs w:val="24"/>
          <w:lang w:val="mn-MN"/>
        </w:rPr>
      </w:pPr>
    </w:p>
    <w:p w:rsidR="00B33504" w:rsidRPr="004E42B2" w:rsidRDefault="00B33504" w:rsidP="00B33504">
      <w:pPr>
        <w:spacing w:after="0" w:line="276" w:lineRule="auto"/>
        <w:jc w:val="both"/>
        <w:rPr>
          <w:rFonts w:ascii="Arial" w:eastAsia="Times New Roman" w:hAnsi="Arial" w:cs="Arial"/>
          <w:kern w:val="2"/>
          <w:sz w:val="24"/>
          <w:szCs w:val="24"/>
          <w:lang w:val="mn-MN"/>
        </w:rPr>
      </w:pPr>
      <w:r w:rsidRPr="004E42B2">
        <w:rPr>
          <w:rFonts w:ascii="Arial" w:eastAsia="Times New Roman" w:hAnsi="Arial" w:cs="Arial"/>
          <w:kern w:val="2"/>
          <w:sz w:val="24"/>
          <w:szCs w:val="24"/>
          <w:lang w:val="mn-MN"/>
        </w:rPr>
        <w:tab/>
        <w:t>Дээрх томъёог ашиглан хуулийн төсөл батлагдсанаар шинээр нэмэгдэж байгаа гэж тодорхойлогдсон үүргийн  тоон үзүүлэлтийг тогтооё.</w:t>
      </w:r>
    </w:p>
    <w:p w:rsidR="00B33504" w:rsidRPr="004E42B2" w:rsidRDefault="00B33504" w:rsidP="00B33504">
      <w:pPr>
        <w:spacing w:after="0" w:line="276" w:lineRule="auto"/>
        <w:rPr>
          <w:rFonts w:ascii="Arial" w:eastAsia="Times New Roman" w:hAnsi="Arial" w:cs="Arial"/>
          <w:kern w:val="2"/>
          <w:sz w:val="24"/>
          <w:szCs w:val="24"/>
          <w:lang w:val="mn-MN"/>
        </w:rPr>
      </w:pPr>
      <w:r w:rsidRPr="004E42B2">
        <w:rPr>
          <w:rFonts w:ascii="Arial" w:eastAsia="Times New Roman" w:hAnsi="Arial" w:cs="Arial"/>
          <w:kern w:val="2"/>
          <w:sz w:val="24"/>
          <w:szCs w:val="24"/>
          <w:lang w:val="mn-MN"/>
        </w:rPr>
        <w:t>Хүснэгт 7</w:t>
      </w:r>
      <w:r w:rsidRPr="004E42B2">
        <w:rPr>
          <w:rFonts w:ascii="Arial" w:eastAsia="Times New Roman" w:hAnsi="Arial" w:cs="Arial"/>
          <w:kern w:val="2"/>
          <w:sz w:val="24"/>
          <w:szCs w:val="24"/>
          <w:lang w:val="mn-MN"/>
        </w:rPr>
        <w:tab/>
      </w:r>
    </w:p>
    <w:tbl>
      <w:tblPr>
        <w:tblStyle w:val="TableGrid7"/>
        <w:tblW w:w="9265" w:type="dxa"/>
        <w:tblLook w:val="04A0" w:firstRow="1" w:lastRow="0" w:firstColumn="1" w:lastColumn="0" w:noHBand="0" w:noVBand="1"/>
      </w:tblPr>
      <w:tblGrid>
        <w:gridCol w:w="4372"/>
        <w:gridCol w:w="1592"/>
        <w:gridCol w:w="431"/>
        <w:gridCol w:w="1177"/>
        <w:gridCol w:w="497"/>
        <w:gridCol w:w="1196"/>
      </w:tblGrid>
      <w:tr w:rsidR="00B33504" w:rsidRPr="004E42B2" w:rsidTr="0017073E">
        <w:tc>
          <w:tcPr>
            <w:tcW w:w="4585" w:type="dxa"/>
          </w:tcPr>
          <w:p w:rsidR="00B33504" w:rsidRPr="004E42B2" w:rsidRDefault="00B33504" w:rsidP="0017073E">
            <w:pPr>
              <w:spacing w:line="276" w:lineRule="auto"/>
              <w:contextualSpacing/>
              <w:jc w:val="center"/>
              <w:rPr>
                <w:rFonts w:eastAsia="DengXian" w:cs="Arial"/>
                <w:b/>
                <w:kern w:val="2"/>
                <w:szCs w:val="20"/>
                <w:lang w:val="mn-MN"/>
              </w:rPr>
            </w:pPr>
            <w:r w:rsidRPr="004E42B2">
              <w:rPr>
                <w:rFonts w:eastAsia="DengXian" w:cs="Arial"/>
                <w:b/>
                <w:kern w:val="2"/>
                <w:szCs w:val="20"/>
                <w:lang w:val="mn-MN"/>
              </w:rPr>
              <w:t>Гүйцэтгэх үүрэг</w:t>
            </w:r>
          </w:p>
        </w:tc>
        <w:tc>
          <w:tcPr>
            <w:tcW w:w="1530" w:type="dxa"/>
          </w:tcPr>
          <w:p w:rsidR="00B33504" w:rsidRPr="004E42B2" w:rsidRDefault="00B33504" w:rsidP="0017073E">
            <w:pPr>
              <w:spacing w:before="100" w:beforeAutospacing="1" w:after="100" w:afterAutospacing="1" w:line="276" w:lineRule="auto"/>
              <w:jc w:val="center"/>
              <w:rPr>
                <w:rFonts w:eastAsia="Times New Roman" w:cs="Arial"/>
                <w:b/>
                <w:kern w:val="2"/>
                <w:szCs w:val="20"/>
                <w:lang w:val="mn-MN"/>
              </w:rPr>
            </w:pPr>
            <w:r w:rsidRPr="004E42B2">
              <w:rPr>
                <w:rFonts w:eastAsia="Times New Roman" w:cs="Arial"/>
                <w:b/>
                <w:kern w:val="2"/>
                <w:szCs w:val="20"/>
                <w:lang w:val="mn-MN"/>
              </w:rPr>
              <w:t>Тохиолдлын тоо</w:t>
            </w:r>
          </w:p>
        </w:tc>
        <w:tc>
          <w:tcPr>
            <w:tcW w:w="438" w:type="dxa"/>
          </w:tcPr>
          <w:p w:rsidR="00B33504" w:rsidRPr="004E42B2" w:rsidRDefault="00B33504" w:rsidP="0017073E">
            <w:pPr>
              <w:spacing w:before="100" w:beforeAutospacing="1" w:after="100" w:afterAutospacing="1" w:line="276" w:lineRule="auto"/>
              <w:jc w:val="center"/>
              <w:rPr>
                <w:rFonts w:eastAsia="Times New Roman" w:cs="Arial"/>
                <w:b/>
                <w:kern w:val="2"/>
                <w:szCs w:val="20"/>
                <w:lang w:val="mn-MN"/>
              </w:rPr>
            </w:pPr>
            <w:r w:rsidRPr="004E42B2">
              <w:rPr>
                <w:rFonts w:eastAsia="Times New Roman" w:cs="Arial"/>
                <w:b/>
                <w:kern w:val="2"/>
                <w:szCs w:val="20"/>
                <w:lang w:val="mn-MN"/>
              </w:rPr>
              <w:t>х</w:t>
            </w:r>
          </w:p>
        </w:tc>
        <w:tc>
          <w:tcPr>
            <w:tcW w:w="1092" w:type="dxa"/>
          </w:tcPr>
          <w:p w:rsidR="00B33504" w:rsidRPr="004E42B2" w:rsidRDefault="00B33504" w:rsidP="0017073E">
            <w:pPr>
              <w:spacing w:before="100" w:beforeAutospacing="1" w:after="100" w:afterAutospacing="1" w:line="276" w:lineRule="auto"/>
              <w:jc w:val="center"/>
              <w:rPr>
                <w:rFonts w:eastAsia="Times New Roman" w:cs="Arial"/>
                <w:b/>
                <w:kern w:val="2"/>
                <w:szCs w:val="20"/>
                <w:lang w:val="mn-MN"/>
              </w:rPr>
            </w:pPr>
            <w:r w:rsidRPr="004E42B2">
              <w:rPr>
                <w:rFonts w:eastAsia="Times New Roman" w:cs="Arial"/>
                <w:b/>
                <w:kern w:val="2"/>
                <w:szCs w:val="20"/>
                <w:lang w:val="mn-MN"/>
              </w:rPr>
              <w:t>Давтамж</w:t>
            </w:r>
          </w:p>
        </w:tc>
        <w:tc>
          <w:tcPr>
            <w:tcW w:w="508" w:type="dxa"/>
          </w:tcPr>
          <w:p w:rsidR="00B33504" w:rsidRPr="004E42B2" w:rsidRDefault="00B33504" w:rsidP="0017073E">
            <w:pPr>
              <w:spacing w:before="100" w:beforeAutospacing="1" w:after="100" w:afterAutospacing="1" w:line="276" w:lineRule="auto"/>
              <w:jc w:val="center"/>
              <w:rPr>
                <w:rFonts w:eastAsia="Times New Roman" w:cs="Arial"/>
                <w:b/>
                <w:kern w:val="2"/>
                <w:szCs w:val="20"/>
                <w:lang w:val="mn-MN"/>
              </w:rPr>
            </w:pPr>
            <w:r w:rsidRPr="004E42B2">
              <w:rPr>
                <w:rFonts w:eastAsia="Times New Roman" w:cs="Arial"/>
                <w:b/>
                <w:kern w:val="2"/>
                <w:szCs w:val="20"/>
                <w:lang w:val="mn-MN"/>
              </w:rPr>
              <w:t>=</w:t>
            </w:r>
          </w:p>
        </w:tc>
        <w:tc>
          <w:tcPr>
            <w:tcW w:w="1112" w:type="dxa"/>
          </w:tcPr>
          <w:p w:rsidR="00B33504" w:rsidRPr="004E42B2" w:rsidRDefault="00B33504" w:rsidP="0017073E">
            <w:pPr>
              <w:spacing w:before="100" w:beforeAutospacing="1" w:after="100" w:afterAutospacing="1" w:line="276" w:lineRule="auto"/>
              <w:jc w:val="center"/>
              <w:rPr>
                <w:rFonts w:eastAsia="Times New Roman" w:cs="Arial"/>
                <w:b/>
                <w:kern w:val="2"/>
                <w:szCs w:val="20"/>
                <w:lang w:val="mn-MN"/>
              </w:rPr>
            </w:pPr>
            <w:r w:rsidRPr="004E42B2">
              <w:rPr>
                <w:rFonts w:eastAsia="Times New Roman" w:cs="Arial"/>
                <w:b/>
                <w:kern w:val="2"/>
                <w:szCs w:val="20"/>
                <w:lang w:val="mn-MN"/>
              </w:rPr>
              <w:t>Тоон үзүүлэлт</w:t>
            </w:r>
          </w:p>
        </w:tc>
      </w:tr>
      <w:tr w:rsidR="00B33504" w:rsidRPr="004E42B2" w:rsidTr="0017073E">
        <w:trPr>
          <w:trHeight w:val="881"/>
        </w:trPr>
        <w:tc>
          <w:tcPr>
            <w:tcW w:w="4585" w:type="dxa"/>
          </w:tcPr>
          <w:p w:rsidR="00B33504" w:rsidRPr="00193C23" w:rsidRDefault="00B33504" w:rsidP="0017073E">
            <w:pPr>
              <w:spacing w:after="100" w:afterAutospacing="1"/>
              <w:contextualSpacing/>
              <w:jc w:val="both"/>
              <w:rPr>
                <w:rFonts w:cs="Arial"/>
                <w:color w:val="000000" w:themeColor="text1"/>
                <w:szCs w:val="20"/>
                <w:lang w:val="mn-MN"/>
              </w:rPr>
            </w:pPr>
            <w:r w:rsidRPr="00193C23">
              <w:rPr>
                <w:rFonts w:cs="Arial"/>
                <w:color w:val="000000" w:themeColor="text1"/>
                <w:szCs w:val="20"/>
                <w:lang w:val="mn-MN"/>
              </w:rPr>
              <w:t>Эрх зүйн бакалаврын сургалтын хөтөлбөрт тавигдах шаардлагыг биелүүлэх</w:t>
            </w:r>
          </w:p>
          <w:p w:rsidR="00B33504" w:rsidRPr="004E42B2" w:rsidRDefault="00B33504" w:rsidP="0017073E">
            <w:pPr>
              <w:spacing w:line="276" w:lineRule="auto"/>
              <w:contextualSpacing/>
              <w:jc w:val="both"/>
              <w:rPr>
                <w:rFonts w:eastAsia="DengXian" w:cs="Arial"/>
                <w:noProof/>
                <w:kern w:val="2"/>
                <w:szCs w:val="20"/>
                <w:lang w:val="mn-MN"/>
              </w:rPr>
            </w:pPr>
          </w:p>
        </w:tc>
        <w:tc>
          <w:tcPr>
            <w:tcW w:w="1530" w:type="dxa"/>
          </w:tcPr>
          <w:p w:rsidR="00B33504" w:rsidRPr="004E42B2" w:rsidRDefault="00B33504" w:rsidP="0017073E">
            <w:pPr>
              <w:spacing w:before="100" w:beforeAutospacing="1" w:after="100" w:afterAutospacing="1" w:line="276" w:lineRule="auto"/>
              <w:jc w:val="center"/>
              <w:rPr>
                <w:rFonts w:eastAsia="Times New Roman" w:cs="Arial"/>
                <w:kern w:val="2"/>
                <w:szCs w:val="20"/>
                <w:lang w:val="mn-MN"/>
              </w:rPr>
            </w:pPr>
          </w:p>
          <w:p w:rsidR="00B33504" w:rsidRPr="004E42B2" w:rsidRDefault="00B33504" w:rsidP="0017073E">
            <w:pPr>
              <w:spacing w:before="100" w:beforeAutospacing="1" w:after="100" w:afterAutospacing="1" w:line="276" w:lineRule="auto"/>
              <w:jc w:val="center"/>
              <w:rPr>
                <w:rFonts w:eastAsia="Times New Roman" w:cs="Arial"/>
                <w:kern w:val="2"/>
                <w:szCs w:val="20"/>
                <w:lang w:val="mn-MN"/>
              </w:rPr>
            </w:pPr>
            <w:r>
              <w:rPr>
                <w:rFonts w:eastAsia="Times New Roman" w:cs="Arial"/>
                <w:kern w:val="2"/>
                <w:szCs w:val="20"/>
                <w:lang w:val="mn-MN"/>
              </w:rPr>
              <w:t>15</w:t>
            </w:r>
            <w:r w:rsidRPr="004E42B2">
              <w:rPr>
                <w:rFonts w:eastAsia="Times New Roman" w:cs="Arial"/>
                <w:kern w:val="2"/>
                <w:szCs w:val="20"/>
                <w:vertAlign w:val="superscript"/>
                <w:lang w:val="mn-MN"/>
              </w:rPr>
              <w:footnoteReference w:id="6"/>
            </w:r>
          </w:p>
        </w:tc>
        <w:tc>
          <w:tcPr>
            <w:tcW w:w="438" w:type="dxa"/>
          </w:tcPr>
          <w:p w:rsidR="00B33504" w:rsidRPr="004E42B2" w:rsidRDefault="00B33504" w:rsidP="0017073E">
            <w:pPr>
              <w:spacing w:before="100" w:beforeAutospacing="1" w:after="100" w:afterAutospacing="1" w:line="276" w:lineRule="auto"/>
              <w:jc w:val="center"/>
              <w:rPr>
                <w:rFonts w:eastAsia="Times New Roman" w:cs="Arial"/>
                <w:kern w:val="2"/>
                <w:szCs w:val="20"/>
                <w:lang w:val="mn-MN"/>
              </w:rPr>
            </w:pPr>
          </w:p>
          <w:p w:rsidR="00B33504" w:rsidRPr="004E42B2" w:rsidRDefault="00B33504" w:rsidP="0017073E">
            <w:pPr>
              <w:spacing w:before="100" w:beforeAutospacing="1" w:after="100" w:afterAutospacing="1" w:line="276" w:lineRule="auto"/>
              <w:jc w:val="center"/>
              <w:rPr>
                <w:rFonts w:eastAsia="Times New Roman" w:cs="Arial"/>
                <w:kern w:val="2"/>
                <w:szCs w:val="20"/>
                <w:lang w:val="mn-MN"/>
              </w:rPr>
            </w:pPr>
            <w:r w:rsidRPr="004E42B2">
              <w:rPr>
                <w:rFonts w:eastAsia="Times New Roman" w:cs="Arial"/>
                <w:kern w:val="2"/>
                <w:szCs w:val="20"/>
                <w:lang w:val="mn-MN"/>
              </w:rPr>
              <w:t>х</w:t>
            </w:r>
          </w:p>
        </w:tc>
        <w:tc>
          <w:tcPr>
            <w:tcW w:w="1092" w:type="dxa"/>
          </w:tcPr>
          <w:p w:rsidR="00B33504" w:rsidRPr="004E42B2" w:rsidRDefault="00B33504" w:rsidP="0017073E">
            <w:pPr>
              <w:spacing w:before="100" w:beforeAutospacing="1" w:after="100" w:afterAutospacing="1" w:line="276" w:lineRule="auto"/>
              <w:jc w:val="center"/>
              <w:rPr>
                <w:rFonts w:eastAsia="Times New Roman" w:cs="Arial"/>
                <w:kern w:val="2"/>
                <w:szCs w:val="20"/>
                <w:lang w:val="mn-MN"/>
              </w:rPr>
            </w:pPr>
          </w:p>
          <w:p w:rsidR="00B33504" w:rsidRPr="004E42B2" w:rsidRDefault="00B33504" w:rsidP="0017073E">
            <w:pPr>
              <w:spacing w:before="100" w:beforeAutospacing="1" w:after="100" w:afterAutospacing="1" w:line="276" w:lineRule="auto"/>
              <w:rPr>
                <w:rFonts w:eastAsia="Times New Roman" w:cs="Arial"/>
                <w:kern w:val="2"/>
                <w:szCs w:val="20"/>
              </w:rPr>
            </w:pPr>
            <w:r w:rsidRPr="004E42B2">
              <w:rPr>
                <w:rFonts w:eastAsia="Times New Roman" w:cs="Arial"/>
                <w:kern w:val="2"/>
                <w:szCs w:val="20"/>
              </w:rPr>
              <w:t xml:space="preserve">    1</w:t>
            </w:r>
          </w:p>
        </w:tc>
        <w:tc>
          <w:tcPr>
            <w:tcW w:w="508" w:type="dxa"/>
          </w:tcPr>
          <w:p w:rsidR="00B33504" w:rsidRPr="004E42B2" w:rsidRDefault="00B33504" w:rsidP="0017073E">
            <w:pPr>
              <w:spacing w:before="100" w:beforeAutospacing="1" w:after="100" w:afterAutospacing="1" w:line="276" w:lineRule="auto"/>
              <w:jc w:val="center"/>
              <w:rPr>
                <w:rFonts w:eastAsia="Times New Roman" w:cs="Arial"/>
                <w:kern w:val="2"/>
                <w:szCs w:val="20"/>
                <w:lang w:val="mn-MN"/>
              </w:rPr>
            </w:pPr>
          </w:p>
          <w:p w:rsidR="00B33504" w:rsidRPr="004E42B2" w:rsidRDefault="00B33504" w:rsidP="0017073E">
            <w:pPr>
              <w:spacing w:before="100" w:beforeAutospacing="1" w:after="100" w:afterAutospacing="1" w:line="276" w:lineRule="auto"/>
              <w:jc w:val="center"/>
              <w:rPr>
                <w:rFonts w:eastAsia="Times New Roman" w:cs="Arial"/>
                <w:kern w:val="2"/>
                <w:szCs w:val="20"/>
                <w:lang w:val="mn-MN"/>
              </w:rPr>
            </w:pPr>
            <w:r w:rsidRPr="004E42B2">
              <w:rPr>
                <w:rFonts w:eastAsia="Times New Roman" w:cs="Arial"/>
                <w:kern w:val="2"/>
                <w:szCs w:val="20"/>
                <w:lang w:val="mn-MN"/>
              </w:rPr>
              <w:t>=</w:t>
            </w:r>
          </w:p>
        </w:tc>
        <w:tc>
          <w:tcPr>
            <w:tcW w:w="1112" w:type="dxa"/>
          </w:tcPr>
          <w:p w:rsidR="00B33504" w:rsidRPr="004E42B2" w:rsidRDefault="00B33504" w:rsidP="0017073E">
            <w:pPr>
              <w:spacing w:before="100" w:beforeAutospacing="1" w:after="100" w:afterAutospacing="1" w:line="276" w:lineRule="auto"/>
              <w:jc w:val="center"/>
              <w:rPr>
                <w:rFonts w:eastAsia="Times New Roman" w:cs="Arial"/>
                <w:kern w:val="2"/>
                <w:szCs w:val="20"/>
                <w:lang w:val="mn-MN"/>
              </w:rPr>
            </w:pPr>
          </w:p>
          <w:p w:rsidR="00B33504" w:rsidRPr="004E42B2" w:rsidRDefault="00B33504" w:rsidP="0017073E">
            <w:pPr>
              <w:spacing w:before="100" w:beforeAutospacing="1" w:after="100" w:afterAutospacing="1" w:line="276" w:lineRule="auto"/>
              <w:jc w:val="center"/>
              <w:rPr>
                <w:rFonts w:eastAsia="Times New Roman" w:cs="Arial"/>
                <w:kern w:val="2"/>
                <w:szCs w:val="20"/>
              </w:rPr>
            </w:pPr>
            <w:r>
              <w:rPr>
                <w:rFonts w:eastAsia="Times New Roman" w:cs="Arial"/>
                <w:kern w:val="2"/>
                <w:szCs w:val="20"/>
              </w:rPr>
              <w:t>15</w:t>
            </w:r>
          </w:p>
        </w:tc>
      </w:tr>
    </w:tbl>
    <w:p w:rsidR="00B33504" w:rsidRPr="004E42B2" w:rsidRDefault="00B33504" w:rsidP="00B33504">
      <w:pPr>
        <w:spacing w:after="0" w:line="276" w:lineRule="auto"/>
        <w:jc w:val="right"/>
        <w:rPr>
          <w:rFonts w:ascii="Arial" w:eastAsia="Times New Roman" w:hAnsi="Arial" w:cs="Arial"/>
          <w:kern w:val="2"/>
          <w:sz w:val="24"/>
          <w:szCs w:val="24"/>
          <w:lang w:val="mn-MN"/>
        </w:rPr>
      </w:pPr>
    </w:p>
    <w:p w:rsidR="00B33504" w:rsidRDefault="00B33504" w:rsidP="00B33504">
      <w:pPr>
        <w:spacing w:after="0" w:line="276" w:lineRule="auto"/>
        <w:jc w:val="both"/>
        <w:rPr>
          <w:rFonts w:ascii="Arial" w:eastAsia="Times New Roman" w:hAnsi="Arial" w:cs="Arial"/>
          <w:kern w:val="2"/>
          <w:sz w:val="24"/>
          <w:szCs w:val="24"/>
          <w:lang w:val="mn-MN"/>
        </w:rPr>
      </w:pPr>
      <w:r w:rsidRPr="004E42B2">
        <w:rPr>
          <w:rFonts w:ascii="Arial" w:eastAsia="Times New Roman" w:hAnsi="Arial" w:cs="Arial"/>
          <w:kern w:val="2"/>
          <w:sz w:val="24"/>
          <w:szCs w:val="24"/>
          <w:lang w:val="mn-MN"/>
        </w:rPr>
        <w:tab/>
        <w:t>Аж ахуйн нэгж байгууллагаас төлбөрийн мэдээллийг шалгаж холбогдох төрийн санд шилжүүлэхэд гарах зардлыг өмнөх хэсэгт 4,950 төгрөг байхаар тооцоолсон болно. Энэ үе шатанд өмнөх үе шатанд гаргасан үүргийн нийт зардлыг “тоон үзүүлэлт”-ээр үржүүлснээр гар</w:t>
      </w:r>
      <w:r>
        <w:rPr>
          <w:rFonts w:ascii="Arial" w:eastAsia="Times New Roman" w:hAnsi="Arial" w:cs="Arial"/>
          <w:kern w:val="2"/>
          <w:sz w:val="24"/>
          <w:szCs w:val="24"/>
          <w:lang w:val="mn-MN"/>
        </w:rPr>
        <w:t xml:space="preserve">гах юм. </w:t>
      </w:r>
    </w:p>
    <w:p w:rsidR="00B33504" w:rsidRPr="004E42B2" w:rsidRDefault="00B33504" w:rsidP="00B33504">
      <w:pPr>
        <w:spacing w:after="0" w:line="276" w:lineRule="auto"/>
        <w:jc w:val="both"/>
        <w:rPr>
          <w:rFonts w:ascii="Arial" w:eastAsia="Times New Roman" w:hAnsi="Arial" w:cs="Arial"/>
          <w:kern w:val="2"/>
          <w:sz w:val="24"/>
          <w:szCs w:val="24"/>
          <w:lang w:val="mn-MN"/>
        </w:rPr>
      </w:pPr>
    </w:p>
    <w:tbl>
      <w:tblPr>
        <w:tblStyle w:val="TableGrid7"/>
        <w:tblW w:w="9209" w:type="dxa"/>
        <w:tblLook w:val="04A0" w:firstRow="1" w:lastRow="0" w:firstColumn="1" w:lastColumn="0" w:noHBand="0" w:noVBand="1"/>
      </w:tblPr>
      <w:tblGrid>
        <w:gridCol w:w="4118"/>
        <w:gridCol w:w="1413"/>
        <w:gridCol w:w="445"/>
        <w:gridCol w:w="1196"/>
        <w:gridCol w:w="416"/>
        <w:gridCol w:w="1621"/>
      </w:tblGrid>
      <w:tr w:rsidR="00B33504" w:rsidRPr="004E42B2" w:rsidTr="0017073E">
        <w:tc>
          <w:tcPr>
            <w:tcW w:w="4390" w:type="dxa"/>
          </w:tcPr>
          <w:p w:rsidR="00B33504" w:rsidRPr="004E42B2" w:rsidRDefault="00B33504" w:rsidP="0017073E">
            <w:pPr>
              <w:spacing w:line="276" w:lineRule="auto"/>
              <w:contextualSpacing/>
              <w:jc w:val="center"/>
              <w:rPr>
                <w:rFonts w:eastAsia="DengXian" w:cs="Arial"/>
                <w:b/>
                <w:kern w:val="2"/>
                <w:szCs w:val="20"/>
                <w:lang w:val="mn-MN"/>
              </w:rPr>
            </w:pPr>
            <w:r w:rsidRPr="004E42B2">
              <w:rPr>
                <w:rFonts w:eastAsia="DengXian" w:cs="Arial"/>
                <w:b/>
                <w:kern w:val="2"/>
                <w:szCs w:val="20"/>
                <w:lang w:val="mn-MN"/>
              </w:rPr>
              <w:t>Гүйцэтгэх үүрэг</w:t>
            </w:r>
          </w:p>
        </w:tc>
        <w:tc>
          <w:tcPr>
            <w:tcW w:w="1417" w:type="dxa"/>
          </w:tcPr>
          <w:p w:rsidR="00B33504" w:rsidRPr="004E42B2" w:rsidRDefault="00B33504" w:rsidP="0017073E">
            <w:pPr>
              <w:spacing w:before="100" w:beforeAutospacing="1" w:after="100" w:afterAutospacing="1" w:line="276" w:lineRule="auto"/>
              <w:jc w:val="center"/>
              <w:rPr>
                <w:rFonts w:eastAsia="Times New Roman" w:cs="Arial"/>
                <w:b/>
                <w:kern w:val="2"/>
                <w:szCs w:val="20"/>
                <w:lang w:val="mn-MN"/>
              </w:rPr>
            </w:pPr>
            <w:r w:rsidRPr="004E42B2">
              <w:rPr>
                <w:rFonts w:eastAsia="Times New Roman" w:cs="Arial"/>
                <w:b/>
                <w:kern w:val="2"/>
                <w:szCs w:val="20"/>
                <w:lang w:val="mn-MN"/>
              </w:rPr>
              <w:t>Нэг бүрийн зардал</w:t>
            </w:r>
          </w:p>
        </w:tc>
        <w:tc>
          <w:tcPr>
            <w:tcW w:w="456" w:type="dxa"/>
          </w:tcPr>
          <w:p w:rsidR="00B33504" w:rsidRPr="004E42B2" w:rsidRDefault="00B33504" w:rsidP="0017073E">
            <w:pPr>
              <w:spacing w:before="100" w:beforeAutospacing="1" w:after="100" w:afterAutospacing="1" w:line="276" w:lineRule="auto"/>
              <w:jc w:val="center"/>
              <w:rPr>
                <w:rFonts w:eastAsia="Times New Roman" w:cs="Arial"/>
                <w:b/>
                <w:kern w:val="2"/>
                <w:szCs w:val="20"/>
                <w:lang w:val="mn-MN"/>
              </w:rPr>
            </w:pPr>
            <w:r w:rsidRPr="004E42B2">
              <w:rPr>
                <w:rFonts w:eastAsia="Times New Roman" w:cs="Arial"/>
                <w:b/>
                <w:kern w:val="2"/>
                <w:szCs w:val="20"/>
                <w:lang w:val="mn-MN"/>
              </w:rPr>
              <w:t>х</w:t>
            </w:r>
          </w:p>
        </w:tc>
        <w:tc>
          <w:tcPr>
            <w:tcW w:w="1112" w:type="dxa"/>
          </w:tcPr>
          <w:p w:rsidR="00B33504" w:rsidRPr="004E42B2" w:rsidRDefault="00B33504" w:rsidP="0017073E">
            <w:pPr>
              <w:spacing w:before="100" w:beforeAutospacing="1" w:after="100" w:afterAutospacing="1" w:line="276" w:lineRule="auto"/>
              <w:jc w:val="center"/>
              <w:rPr>
                <w:rFonts w:eastAsia="Times New Roman" w:cs="Arial"/>
                <w:b/>
                <w:kern w:val="2"/>
                <w:szCs w:val="20"/>
                <w:lang w:val="mn-MN"/>
              </w:rPr>
            </w:pPr>
            <w:r w:rsidRPr="004E42B2">
              <w:rPr>
                <w:rFonts w:eastAsia="Times New Roman" w:cs="Arial"/>
                <w:b/>
                <w:kern w:val="2"/>
                <w:szCs w:val="20"/>
                <w:lang w:val="mn-MN"/>
              </w:rPr>
              <w:t>Тоон үзүүлэлт</w:t>
            </w:r>
          </w:p>
        </w:tc>
        <w:tc>
          <w:tcPr>
            <w:tcW w:w="423" w:type="dxa"/>
          </w:tcPr>
          <w:p w:rsidR="00B33504" w:rsidRPr="004E42B2" w:rsidRDefault="00B33504" w:rsidP="0017073E">
            <w:pPr>
              <w:spacing w:before="100" w:beforeAutospacing="1" w:after="100" w:afterAutospacing="1" w:line="276" w:lineRule="auto"/>
              <w:jc w:val="center"/>
              <w:rPr>
                <w:rFonts w:eastAsia="Times New Roman" w:cs="Arial"/>
                <w:b/>
                <w:kern w:val="2"/>
                <w:szCs w:val="20"/>
                <w:lang w:val="mn-MN"/>
              </w:rPr>
            </w:pPr>
            <w:r w:rsidRPr="004E42B2">
              <w:rPr>
                <w:rFonts w:eastAsia="Times New Roman" w:cs="Arial"/>
                <w:b/>
                <w:kern w:val="2"/>
                <w:szCs w:val="20"/>
                <w:lang w:val="mn-MN"/>
              </w:rPr>
              <w:t>=</w:t>
            </w:r>
          </w:p>
        </w:tc>
        <w:tc>
          <w:tcPr>
            <w:tcW w:w="1411" w:type="dxa"/>
          </w:tcPr>
          <w:p w:rsidR="00B33504" w:rsidRPr="004E42B2" w:rsidRDefault="00B33504" w:rsidP="0017073E">
            <w:pPr>
              <w:spacing w:before="100" w:beforeAutospacing="1" w:after="100" w:afterAutospacing="1" w:line="276" w:lineRule="auto"/>
              <w:jc w:val="center"/>
              <w:rPr>
                <w:rFonts w:eastAsia="Times New Roman" w:cs="Arial"/>
                <w:b/>
                <w:kern w:val="2"/>
                <w:szCs w:val="20"/>
                <w:lang w:val="mn-MN"/>
              </w:rPr>
            </w:pPr>
            <w:r w:rsidRPr="004E42B2">
              <w:rPr>
                <w:rFonts w:eastAsia="Times New Roman" w:cs="Arial"/>
                <w:b/>
                <w:kern w:val="2"/>
                <w:szCs w:val="20"/>
                <w:lang w:val="mn-MN"/>
              </w:rPr>
              <w:t>Нийт зардал</w:t>
            </w:r>
            <w:r w:rsidRPr="004E42B2">
              <w:rPr>
                <w:rFonts w:eastAsia="Times New Roman" w:cs="Arial"/>
                <w:b/>
                <w:kern w:val="2"/>
                <w:szCs w:val="20"/>
                <w:vertAlign w:val="superscript"/>
                <w:lang w:val="mn-MN"/>
              </w:rPr>
              <w:footnoteReference w:id="7"/>
            </w:r>
          </w:p>
        </w:tc>
      </w:tr>
      <w:tr w:rsidR="00B33504" w:rsidRPr="004E42B2" w:rsidTr="0017073E">
        <w:trPr>
          <w:trHeight w:val="530"/>
        </w:trPr>
        <w:tc>
          <w:tcPr>
            <w:tcW w:w="4390" w:type="dxa"/>
          </w:tcPr>
          <w:p w:rsidR="00B33504" w:rsidRPr="00193C23" w:rsidRDefault="00B33504" w:rsidP="0017073E">
            <w:pPr>
              <w:spacing w:after="100" w:afterAutospacing="1"/>
              <w:contextualSpacing/>
              <w:jc w:val="both"/>
              <w:rPr>
                <w:rFonts w:cs="Arial"/>
                <w:color w:val="000000" w:themeColor="text1"/>
                <w:szCs w:val="20"/>
                <w:lang w:val="mn-MN"/>
              </w:rPr>
            </w:pPr>
            <w:r w:rsidRPr="00193C23">
              <w:rPr>
                <w:rFonts w:cs="Arial"/>
                <w:color w:val="000000" w:themeColor="text1"/>
                <w:szCs w:val="20"/>
                <w:lang w:val="mn-MN"/>
              </w:rPr>
              <w:t>Эрх зүйн бакалаврын сургалтын хөтөлбөрт тавигдах шаардлагыг биелүүлэх</w:t>
            </w:r>
          </w:p>
          <w:p w:rsidR="00B33504" w:rsidRPr="004E42B2" w:rsidRDefault="00B33504" w:rsidP="0017073E">
            <w:pPr>
              <w:spacing w:line="276" w:lineRule="auto"/>
              <w:contextualSpacing/>
              <w:jc w:val="both"/>
              <w:rPr>
                <w:rFonts w:eastAsia="DengXian" w:cs="Arial"/>
                <w:kern w:val="2"/>
                <w:szCs w:val="20"/>
                <w:lang w:val="mn-MN"/>
              </w:rPr>
            </w:pPr>
          </w:p>
        </w:tc>
        <w:tc>
          <w:tcPr>
            <w:tcW w:w="1417" w:type="dxa"/>
          </w:tcPr>
          <w:p w:rsidR="00B33504" w:rsidRPr="004E42B2" w:rsidRDefault="00B33504" w:rsidP="0017073E">
            <w:pPr>
              <w:spacing w:line="276" w:lineRule="auto"/>
              <w:jc w:val="center"/>
              <w:rPr>
                <w:rFonts w:eastAsia="Times New Roman" w:cs="Arial"/>
                <w:kern w:val="2"/>
                <w:szCs w:val="20"/>
                <w:lang w:val="mn-MN"/>
              </w:rPr>
            </w:pPr>
          </w:p>
          <w:p w:rsidR="00B33504" w:rsidRPr="004E42B2" w:rsidRDefault="00B33504" w:rsidP="0017073E">
            <w:pPr>
              <w:spacing w:line="276" w:lineRule="auto"/>
              <w:jc w:val="center"/>
              <w:rPr>
                <w:rFonts w:eastAsia="Times New Roman" w:cs="Arial"/>
                <w:kern w:val="2"/>
                <w:szCs w:val="20"/>
                <w:lang w:val="mn-MN"/>
              </w:rPr>
            </w:pPr>
            <w:r>
              <w:rPr>
                <w:rFonts w:eastAsia="Times New Roman" w:cs="Arial"/>
                <w:kern w:val="2"/>
                <w:szCs w:val="20"/>
                <w:lang w:val="mn-MN"/>
              </w:rPr>
              <w:t>1634400</w:t>
            </w:r>
            <w:r w:rsidRPr="004E42B2">
              <w:rPr>
                <w:rFonts w:eastAsia="Times New Roman" w:cs="Arial"/>
                <w:kern w:val="2"/>
                <w:szCs w:val="20"/>
                <w:lang w:val="mn-MN"/>
              </w:rPr>
              <w:t>төг</w:t>
            </w:r>
          </w:p>
        </w:tc>
        <w:tc>
          <w:tcPr>
            <w:tcW w:w="456" w:type="dxa"/>
          </w:tcPr>
          <w:p w:rsidR="00B33504" w:rsidRPr="004E42B2" w:rsidRDefault="00B33504" w:rsidP="0017073E">
            <w:pPr>
              <w:spacing w:line="276" w:lineRule="auto"/>
              <w:jc w:val="center"/>
              <w:rPr>
                <w:rFonts w:eastAsia="Times New Roman" w:cs="Arial"/>
                <w:kern w:val="2"/>
                <w:szCs w:val="20"/>
                <w:lang w:val="mn-MN"/>
              </w:rPr>
            </w:pPr>
          </w:p>
          <w:p w:rsidR="00B33504" w:rsidRPr="004E42B2" w:rsidRDefault="00B33504" w:rsidP="0017073E">
            <w:pPr>
              <w:spacing w:line="276" w:lineRule="auto"/>
              <w:jc w:val="center"/>
              <w:rPr>
                <w:rFonts w:eastAsia="Times New Roman" w:cs="Arial"/>
                <w:kern w:val="2"/>
                <w:szCs w:val="20"/>
              </w:rPr>
            </w:pPr>
            <w:r w:rsidRPr="004E42B2">
              <w:rPr>
                <w:rFonts w:eastAsia="Times New Roman" w:cs="Arial"/>
                <w:kern w:val="2"/>
                <w:szCs w:val="20"/>
              </w:rPr>
              <w:t>x</w:t>
            </w:r>
          </w:p>
        </w:tc>
        <w:tc>
          <w:tcPr>
            <w:tcW w:w="1112" w:type="dxa"/>
          </w:tcPr>
          <w:p w:rsidR="00B33504" w:rsidRPr="004E42B2" w:rsidRDefault="00B33504" w:rsidP="0017073E">
            <w:pPr>
              <w:spacing w:line="276" w:lineRule="auto"/>
              <w:jc w:val="center"/>
              <w:rPr>
                <w:rFonts w:eastAsia="Times New Roman" w:cs="Arial"/>
                <w:kern w:val="2"/>
                <w:szCs w:val="20"/>
                <w:lang w:val="mn-MN"/>
              </w:rPr>
            </w:pPr>
          </w:p>
          <w:p w:rsidR="00B33504" w:rsidRPr="004E42B2" w:rsidRDefault="00B33504" w:rsidP="0017073E">
            <w:pPr>
              <w:spacing w:line="276" w:lineRule="auto"/>
              <w:jc w:val="center"/>
              <w:rPr>
                <w:rFonts w:eastAsia="Times New Roman" w:cs="Arial"/>
                <w:kern w:val="2"/>
                <w:szCs w:val="20"/>
              </w:rPr>
            </w:pPr>
            <w:r>
              <w:rPr>
                <w:rFonts w:eastAsia="Times New Roman" w:cs="Arial"/>
                <w:kern w:val="2"/>
                <w:szCs w:val="20"/>
              </w:rPr>
              <w:t>15</w:t>
            </w:r>
          </w:p>
        </w:tc>
        <w:tc>
          <w:tcPr>
            <w:tcW w:w="423" w:type="dxa"/>
          </w:tcPr>
          <w:p w:rsidR="00B33504" w:rsidRPr="004E42B2" w:rsidRDefault="00B33504" w:rsidP="0017073E">
            <w:pPr>
              <w:spacing w:line="276" w:lineRule="auto"/>
              <w:jc w:val="center"/>
              <w:rPr>
                <w:rFonts w:eastAsia="Times New Roman" w:cs="Arial"/>
                <w:kern w:val="2"/>
                <w:szCs w:val="20"/>
                <w:lang w:val="mn-MN"/>
              </w:rPr>
            </w:pPr>
          </w:p>
          <w:p w:rsidR="00B33504" w:rsidRPr="004E42B2" w:rsidRDefault="00B33504" w:rsidP="0017073E">
            <w:pPr>
              <w:spacing w:line="276" w:lineRule="auto"/>
              <w:jc w:val="center"/>
              <w:rPr>
                <w:rFonts w:eastAsia="Times New Roman" w:cs="Arial"/>
                <w:kern w:val="2"/>
                <w:szCs w:val="20"/>
              </w:rPr>
            </w:pPr>
            <w:r w:rsidRPr="004E42B2">
              <w:rPr>
                <w:rFonts w:eastAsia="Times New Roman" w:cs="Arial"/>
                <w:kern w:val="2"/>
                <w:szCs w:val="20"/>
              </w:rPr>
              <w:t>=</w:t>
            </w:r>
          </w:p>
        </w:tc>
        <w:tc>
          <w:tcPr>
            <w:tcW w:w="1411" w:type="dxa"/>
          </w:tcPr>
          <w:p w:rsidR="00B33504" w:rsidRPr="004E42B2" w:rsidRDefault="00B33504" w:rsidP="0017073E">
            <w:pPr>
              <w:spacing w:line="276" w:lineRule="auto"/>
              <w:jc w:val="center"/>
              <w:rPr>
                <w:rFonts w:eastAsia="Times New Roman" w:cs="Arial"/>
                <w:kern w:val="2"/>
                <w:szCs w:val="20"/>
                <w:lang w:val="mn-MN"/>
              </w:rPr>
            </w:pPr>
          </w:p>
          <w:p w:rsidR="00B33504" w:rsidRPr="004E42B2" w:rsidRDefault="00B33504" w:rsidP="0017073E">
            <w:pPr>
              <w:spacing w:line="276" w:lineRule="auto"/>
              <w:jc w:val="center"/>
              <w:rPr>
                <w:rFonts w:eastAsia="Times New Roman" w:cs="Arial"/>
                <w:kern w:val="2"/>
                <w:szCs w:val="20"/>
                <w:lang w:val="mn-MN"/>
              </w:rPr>
            </w:pPr>
            <w:r>
              <w:rPr>
                <w:rFonts w:eastAsia="Times New Roman" w:cs="Arial"/>
                <w:kern w:val="2"/>
                <w:szCs w:val="20"/>
                <w:lang w:val="mn-MN"/>
              </w:rPr>
              <w:t>24</w:t>
            </w:r>
            <w:r w:rsidRPr="004E42B2">
              <w:rPr>
                <w:rFonts w:eastAsia="Times New Roman" w:cs="Arial"/>
                <w:kern w:val="2"/>
                <w:szCs w:val="20"/>
              </w:rPr>
              <w:t>.</w:t>
            </w:r>
            <w:r>
              <w:rPr>
                <w:rFonts w:eastAsia="Times New Roman" w:cs="Arial"/>
                <w:kern w:val="2"/>
                <w:szCs w:val="20"/>
                <w:lang w:val="mn-MN"/>
              </w:rPr>
              <w:t>516</w:t>
            </w:r>
            <w:r w:rsidRPr="004E42B2">
              <w:rPr>
                <w:rFonts w:eastAsia="Times New Roman" w:cs="Arial"/>
                <w:kern w:val="2"/>
                <w:szCs w:val="20"/>
              </w:rPr>
              <w:t>.</w:t>
            </w:r>
            <w:r>
              <w:rPr>
                <w:rFonts w:eastAsia="Times New Roman" w:cs="Arial"/>
                <w:kern w:val="2"/>
                <w:szCs w:val="20"/>
                <w:lang w:val="mn-MN"/>
              </w:rPr>
              <w:t>000</w:t>
            </w:r>
            <w:r w:rsidRPr="004E42B2">
              <w:rPr>
                <w:rFonts w:eastAsia="Times New Roman" w:cs="Arial"/>
                <w:kern w:val="2"/>
                <w:szCs w:val="20"/>
                <w:lang w:val="mn-MN"/>
              </w:rPr>
              <w:t>төг</w:t>
            </w:r>
          </w:p>
        </w:tc>
      </w:tr>
    </w:tbl>
    <w:p w:rsidR="00B33504" w:rsidRPr="004E42B2" w:rsidRDefault="00B33504" w:rsidP="00B33504">
      <w:pPr>
        <w:spacing w:after="0" w:line="240" w:lineRule="auto"/>
        <w:ind w:firstLine="720"/>
        <w:jc w:val="both"/>
        <w:rPr>
          <w:rFonts w:ascii="Times New Roman" w:eastAsia="DengXian" w:hAnsi="Times New Roman" w:cs="Arial"/>
          <w:i/>
          <w:iCs/>
          <w:kern w:val="2"/>
          <w:sz w:val="20"/>
          <w:szCs w:val="20"/>
          <w:lang w:val="mn-MN"/>
        </w:rPr>
      </w:pPr>
    </w:p>
    <w:p w:rsidR="00B33504" w:rsidRDefault="00B33504" w:rsidP="00B33504">
      <w:pPr>
        <w:spacing w:after="100" w:afterAutospacing="1"/>
        <w:contextualSpacing/>
        <w:jc w:val="both"/>
        <w:rPr>
          <w:rFonts w:cs="Arial"/>
          <w:color w:val="000000" w:themeColor="text1"/>
          <w:sz w:val="20"/>
          <w:szCs w:val="20"/>
          <w:lang w:val="mn-MN"/>
        </w:rPr>
      </w:pPr>
      <w:r w:rsidRPr="007446A5">
        <w:rPr>
          <w:rFonts w:ascii="Arial" w:hAnsi="Arial" w:cs="Arial"/>
          <w:color w:val="000000" w:themeColor="text1"/>
          <w:sz w:val="24"/>
          <w:szCs w:val="24"/>
          <w:lang w:val="mn-MN"/>
        </w:rPr>
        <w:t>Эрх зүйн бакалаврын сургалтын хөтөлбөрт тавигдах шаардлагыг биелүүлэ</w:t>
      </w:r>
      <w:r w:rsidRPr="007446A5">
        <w:rPr>
          <w:rFonts w:ascii="Arial" w:eastAsia="DengXian" w:hAnsi="Arial" w:cs="Arial"/>
          <w:kern w:val="2"/>
          <w:sz w:val="24"/>
          <w:szCs w:val="24"/>
        </w:rPr>
        <w:t>х</w:t>
      </w:r>
      <w:r w:rsidRPr="004E42B2">
        <w:rPr>
          <w:rFonts w:ascii="Arial" w:eastAsia="DengXian" w:hAnsi="Arial" w:cs="Arial"/>
          <w:kern w:val="2"/>
          <w:sz w:val="24"/>
          <w:szCs w:val="24"/>
        </w:rPr>
        <w:t xml:space="preserve"> </w:t>
      </w:r>
      <w:r w:rsidRPr="004E42B2">
        <w:rPr>
          <w:rFonts w:ascii="Arial" w:eastAsia="DengXian" w:hAnsi="Arial" w:cs="Arial"/>
          <w:kern w:val="2"/>
          <w:sz w:val="24"/>
          <w:szCs w:val="24"/>
          <w:lang w:val="mn-MN"/>
        </w:rPr>
        <w:t xml:space="preserve">үүргийг хэрэгжүүлэхэд </w:t>
      </w:r>
      <w:r>
        <w:rPr>
          <w:rFonts w:ascii="Arial" w:eastAsia="DengXian" w:hAnsi="Arial" w:cs="Arial"/>
          <w:kern w:val="2"/>
          <w:sz w:val="24"/>
          <w:szCs w:val="24"/>
          <w:lang w:val="mn-MN"/>
        </w:rPr>
        <w:t xml:space="preserve">эрх зүйч бэлтгэх </w:t>
      </w:r>
      <w:r>
        <w:rPr>
          <w:rFonts w:ascii="Arial" w:eastAsia="DengXian" w:hAnsi="Arial" w:cs="Arial"/>
          <w:b/>
          <w:kern w:val="2"/>
          <w:sz w:val="24"/>
        </w:rPr>
        <w:t>15</w:t>
      </w:r>
      <w:r w:rsidRPr="004E42B2">
        <w:rPr>
          <w:rFonts w:ascii="Arial" w:eastAsia="DengXian" w:hAnsi="Arial" w:cs="Arial"/>
          <w:kern w:val="2"/>
          <w:sz w:val="24"/>
          <w:szCs w:val="24"/>
          <w:lang w:val="mn-MN"/>
        </w:rPr>
        <w:t xml:space="preserve"> </w:t>
      </w:r>
      <w:r>
        <w:rPr>
          <w:rFonts w:ascii="Arial" w:eastAsia="DengXian" w:hAnsi="Arial" w:cs="Arial"/>
          <w:kern w:val="2"/>
          <w:sz w:val="24"/>
          <w:szCs w:val="24"/>
          <w:lang w:val="mn-MN"/>
        </w:rPr>
        <w:t xml:space="preserve"> их дээд сургууль буюу </w:t>
      </w:r>
      <w:r w:rsidRPr="004E42B2">
        <w:rPr>
          <w:rFonts w:ascii="Arial" w:eastAsia="DengXian" w:hAnsi="Arial" w:cs="Arial"/>
          <w:kern w:val="2"/>
          <w:sz w:val="24"/>
          <w:szCs w:val="24"/>
          <w:lang w:val="mn-MN"/>
        </w:rPr>
        <w:t xml:space="preserve">хуулийн этгээд нэг жилд нийт </w:t>
      </w:r>
      <w:r>
        <w:rPr>
          <w:rFonts w:ascii="Arial" w:eastAsia="Times New Roman" w:hAnsi="Arial" w:cs="Arial"/>
          <w:b/>
          <w:kern w:val="2"/>
          <w:sz w:val="24"/>
          <w:szCs w:val="24"/>
          <w:lang w:val="mn-MN"/>
        </w:rPr>
        <w:t>24</w:t>
      </w:r>
      <w:r w:rsidRPr="00A87A4C">
        <w:rPr>
          <w:rFonts w:ascii="Arial" w:eastAsia="Times New Roman" w:hAnsi="Arial" w:cs="Arial"/>
          <w:b/>
          <w:kern w:val="2"/>
          <w:sz w:val="24"/>
          <w:szCs w:val="24"/>
        </w:rPr>
        <w:t>.</w:t>
      </w:r>
      <w:r>
        <w:rPr>
          <w:rFonts w:ascii="Arial" w:eastAsia="Times New Roman" w:hAnsi="Arial" w:cs="Arial"/>
          <w:b/>
          <w:kern w:val="2"/>
          <w:sz w:val="24"/>
          <w:szCs w:val="24"/>
          <w:lang w:val="mn-MN"/>
        </w:rPr>
        <w:t>516</w:t>
      </w:r>
      <w:r w:rsidRPr="00A87A4C">
        <w:rPr>
          <w:rFonts w:ascii="Arial" w:eastAsia="Times New Roman" w:hAnsi="Arial" w:cs="Arial"/>
          <w:b/>
          <w:kern w:val="2"/>
          <w:sz w:val="24"/>
          <w:szCs w:val="24"/>
        </w:rPr>
        <w:t>.</w:t>
      </w:r>
      <w:r w:rsidRPr="00A87A4C">
        <w:rPr>
          <w:rFonts w:ascii="Arial" w:eastAsia="Times New Roman" w:hAnsi="Arial" w:cs="Arial"/>
          <w:b/>
          <w:kern w:val="2"/>
          <w:sz w:val="24"/>
          <w:szCs w:val="24"/>
          <w:lang w:val="mn-MN"/>
        </w:rPr>
        <w:t>000</w:t>
      </w:r>
      <w:r w:rsidRPr="00A87A4C">
        <w:rPr>
          <w:rFonts w:ascii="Arial" w:eastAsia="Times New Roman" w:hAnsi="Arial" w:cs="Arial"/>
          <w:kern w:val="2"/>
          <w:sz w:val="24"/>
          <w:szCs w:val="24"/>
          <w:lang w:val="mn-MN"/>
        </w:rPr>
        <w:t xml:space="preserve"> төг</w:t>
      </w:r>
      <w:r w:rsidRPr="004E42B2">
        <w:rPr>
          <w:rFonts w:ascii="Arial" w:eastAsia="Times New Roman" w:hAnsi="Arial" w:cs="Arial"/>
          <w:kern w:val="2"/>
          <w:sz w:val="24"/>
          <w:szCs w:val="24"/>
          <w:lang w:val="mn-MN"/>
        </w:rPr>
        <w:t xml:space="preserve"> төгрөгийн зардал гаргахаар байна.</w:t>
      </w:r>
    </w:p>
    <w:p w:rsidR="00B33504" w:rsidRPr="007446A5" w:rsidRDefault="00B33504" w:rsidP="00B33504">
      <w:pPr>
        <w:spacing w:after="100" w:afterAutospacing="1"/>
        <w:contextualSpacing/>
        <w:jc w:val="both"/>
        <w:rPr>
          <w:rFonts w:cs="Arial"/>
          <w:color w:val="000000" w:themeColor="text1"/>
          <w:sz w:val="20"/>
          <w:szCs w:val="20"/>
          <w:lang w:val="mn-MN"/>
        </w:rPr>
      </w:pPr>
    </w:p>
    <w:p w:rsidR="00B33504" w:rsidRPr="007446A5" w:rsidRDefault="00B33504" w:rsidP="00B33504">
      <w:pPr>
        <w:spacing w:line="276" w:lineRule="auto"/>
        <w:ind w:firstLine="720"/>
        <w:jc w:val="both"/>
        <w:rPr>
          <w:rFonts w:ascii="Arial" w:hAnsi="Arial" w:cs="Arial"/>
          <w:b/>
          <w:szCs w:val="24"/>
          <w:lang w:val="mn-MN"/>
        </w:rPr>
      </w:pPr>
      <w:r w:rsidRPr="007446A5">
        <w:rPr>
          <w:rFonts w:ascii="Arial" w:hAnsi="Arial" w:cs="Arial"/>
          <w:b/>
          <w:szCs w:val="24"/>
          <w:lang w:val="mn-MN"/>
        </w:rPr>
        <w:t>2.Иргэнд үүсэх зардал</w:t>
      </w:r>
    </w:p>
    <w:p w:rsidR="00B33504" w:rsidRPr="007446A5" w:rsidRDefault="00B33504" w:rsidP="00B33504">
      <w:pPr>
        <w:spacing w:line="276" w:lineRule="auto"/>
        <w:ind w:firstLine="720"/>
        <w:jc w:val="both"/>
        <w:rPr>
          <w:rFonts w:ascii="Arial" w:hAnsi="Arial" w:cs="Arial"/>
          <w:sz w:val="24"/>
          <w:szCs w:val="24"/>
          <w:lang w:val="mn-MN"/>
        </w:rPr>
      </w:pPr>
      <w:r w:rsidRPr="007446A5">
        <w:rPr>
          <w:rFonts w:ascii="Arial" w:hAnsi="Arial" w:cs="Arial"/>
          <w:sz w:val="24"/>
          <w:szCs w:val="24"/>
          <w:lang w:val="mn-MN"/>
        </w:rPr>
        <w:t>Иргэнд үүсэх зардлыг цаг хугацааны болон шууд бий болох мөнгөн зардал гэсэн үзүүлэлтээр нэг жилд бий болох зардлыг тооцож гаргадаг бөгөөд хуулийн төсөлд иргэнд ямар нэг үүрэг болгосон заалт байхгүй тул түүнд зарцуулах хугацаа,  үүргийг хэрэгжүүлэхтэй холбоотой зардал үүсэхгүй болно.</w:t>
      </w:r>
    </w:p>
    <w:p w:rsidR="00B33504" w:rsidRPr="007446A5" w:rsidRDefault="00B33504" w:rsidP="00B33504">
      <w:pPr>
        <w:spacing w:line="276" w:lineRule="auto"/>
        <w:ind w:firstLine="720"/>
        <w:jc w:val="both"/>
        <w:rPr>
          <w:rFonts w:ascii="Arial" w:hAnsi="Arial" w:cs="Arial"/>
          <w:b/>
          <w:szCs w:val="24"/>
          <w:lang w:val="mn-MN"/>
        </w:rPr>
      </w:pPr>
      <w:r w:rsidRPr="007446A5">
        <w:rPr>
          <w:rFonts w:ascii="Arial" w:hAnsi="Arial" w:cs="Arial"/>
          <w:b/>
          <w:szCs w:val="24"/>
          <w:lang w:val="mn-MN"/>
        </w:rPr>
        <w:t>3.Төрийн байгууллагад үүсэх зардал</w:t>
      </w:r>
    </w:p>
    <w:p w:rsidR="00B33504" w:rsidRPr="007446A5" w:rsidRDefault="00B33504" w:rsidP="00B33504">
      <w:pPr>
        <w:spacing w:line="276" w:lineRule="auto"/>
        <w:ind w:firstLine="720"/>
        <w:jc w:val="both"/>
        <w:rPr>
          <w:rFonts w:ascii="Arial" w:hAnsi="Arial" w:cs="Arial"/>
          <w:sz w:val="24"/>
          <w:szCs w:val="24"/>
          <w:lang w:val="mn-MN"/>
        </w:rPr>
      </w:pPr>
      <w:r w:rsidRPr="007446A5">
        <w:rPr>
          <w:rFonts w:ascii="Arial" w:hAnsi="Arial" w:cs="Arial"/>
          <w:sz w:val="24"/>
          <w:szCs w:val="24"/>
          <w:lang w:val="mn-MN"/>
        </w:rPr>
        <w:t xml:space="preserve">Төрийн байгууллагад хүний нөөц шинээр болох, шинэ бүтэц бий болохтой холбоотой зардлыг нэг жилээр тооцож гаргах бөгөөд хуулийн төслийн зохицуулалтаас харахад ийм төрлийн зардал бий болохооргүй байна. </w:t>
      </w:r>
    </w:p>
    <w:p w:rsidR="00B33504" w:rsidRPr="004E42B2" w:rsidRDefault="00B33504" w:rsidP="00B33504">
      <w:pPr>
        <w:spacing w:after="0" w:line="240" w:lineRule="auto"/>
        <w:jc w:val="center"/>
        <w:rPr>
          <w:rFonts w:ascii="Arial" w:eastAsia="DengXian" w:hAnsi="Arial" w:cs="Arial"/>
          <w:b/>
          <w:kern w:val="2"/>
          <w:sz w:val="24"/>
          <w:szCs w:val="24"/>
          <w:lang w:val="mn-MN"/>
        </w:rPr>
      </w:pPr>
    </w:p>
    <w:p w:rsidR="00B33504" w:rsidRPr="0050535E" w:rsidRDefault="00B33504" w:rsidP="00B33504">
      <w:pPr>
        <w:spacing w:after="0" w:line="240" w:lineRule="auto"/>
        <w:jc w:val="center"/>
        <w:rPr>
          <w:rFonts w:ascii="Arial" w:eastAsia="DengXian" w:hAnsi="Arial" w:cs="Arial"/>
          <w:b/>
          <w:kern w:val="2"/>
          <w:sz w:val="24"/>
          <w:szCs w:val="24"/>
          <w:lang w:val="mn-MN"/>
        </w:rPr>
      </w:pPr>
      <w:r w:rsidRPr="0050535E">
        <w:rPr>
          <w:rFonts w:ascii="Arial" w:eastAsia="DengXian" w:hAnsi="Arial" w:cs="Arial"/>
          <w:b/>
          <w:kern w:val="2"/>
          <w:sz w:val="24"/>
          <w:szCs w:val="24"/>
          <w:lang w:val="mn-MN"/>
        </w:rPr>
        <w:t>ДҮГНЭЛТ, САНАЛ</w:t>
      </w:r>
    </w:p>
    <w:p w:rsidR="00B33504" w:rsidRPr="004E42B2" w:rsidRDefault="00B33504" w:rsidP="00B33504">
      <w:pPr>
        <w:spacing w:after="0" w:line="240" w:lineRule="auto"/>
        <w:jc w:val="center"/>
        <w:rPr>
          <w:rFonts w:ascii="Arial" w:eastAsia="DengXian" w:hAnsi="Arial" w:cs="Arial"/>
          <w:b/>
          <w:kern w:val="2"/>
          <w:sz w:val="24"/>
          <w:szCs w:val="24"/>
          <w:lang w:val="mn-MN"/>
        </w:rPr>
      </w:pPr>
    </w:p>
    <w:p w:rsidR="00B33504" w:rsidRPr="004E42B2" w:rsidRDefault="00B33504" w:rsidP="00B33504">
      <w:pPr>
        <w:spacing w:after="0" w:line="240" w:lineRule="auto"/>
        <w:ind w:firstLine="720"/>
        <w:jc w:val="both"/>
        <w:rPr>
          <w:rFonts w:ascii="Arial" w:eastAsia="DengXian" w:hAnsi="Arial" w:cs="Arial"/>
          <w:kern w:val="2"/>
          <w:sz w:val="24"/>
          <w:szCs w:val="24"/>
          <w:lang w:val="mn-MN"/>
        </w:rPr>
      </w:pPr>
      <w:r w:rsidRPr="004E42B2">
        <w:rPr>
          <w:rFonts w:ascii="Arial" w:eastAsia="DengXian" w:hAnsi="Arial" w:cs="Arial"/>
          <w:kern w:val="2"/>
          <w:sz w:val="24"/>
          <w:szCs w:val="24"/>
          <w:lang w:val="mn-MN"/>
        </w:rPr>
        <w:lastRenderedPageBreak/>
        <w:t>Хууль тогтоомжийн тухай хуулийн</w:t>
      </w:r>
      <w:r w:rsidRPr="004E42B2">
        <w:rPr>
          <w:rFonts w:ascii="Arial" w:eastAsia="DengXian" w:hAnsi="Arial" w:cs="Arial"/>
          <w:kern w:val="2"/>
          <w:sz w:val="24"/>
          <w:szCs w:val="24"/>
          <w:vertAlign w:val="superscript"/>
          <w:lang w:val="mn-MN"/>
        </w:rPr>
        <w:footnoteReference w:id="8"/>
      </w:r>
      <w:r w:rsidRPr="004E42B2">
        <w:rPr>
          <w:rFonts w:ascii="Arial" w:eastAsia="DengXian" w:hAnsi="Arial" w:cs="Arial"/>
          <w:kern w:val="2"/>
          <w:sz w:val="24"/>
          <w:szCs w:val="24"/>
          <w:lang w:val="mn-MN"/>
        </w:rPr>
        <w:t xml:space="preserve">  18 дугаар зүйлийн 18.1 дэх хэсэгт “</w:t>
      </w:r>
      <w:r w:rsidRPr="004E42B2">
        <w:rPr>
          <w:rFonts w:ascii="Arial" w:eastAsia="DengXian" w:hAnsi="Arial" w:cs="Arial"/>
          <w:kern w:val="2"/>
          <w:sz w:val="24"/>
          <w:szCs w:val="24"/>
        </w:rPr>
        <w:t>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w:t>
      </w:r>
      <w:r w:rsidRPr="004E42B2">
        <w:rPr>
          <w:rFonts w:ascii="Arial" w:eastAsia="DengXian" w:hAnsi="Arial" w:cs="Arial"/>
          <w:kern w:val="2"/>
          <w:sz w:val="24"/>
          <w:szCs w:val="24"/>
          <w:lang w:val="mn-MN"/>
        </w:rPr>
        <w:t xml:space="preserve">” гэж заасны дагуу </w:t>
      </w:r>
      <w:r>
        <w:rPr>
          <w:rFonts w:ascii="Arial" w:eastAsia="DengXian" w:hAnsi="Arial" w:cs="Arial"/>
          <w:bCs/>
          <w:kern w:val="2"/>
          <w:sz w:val="24"/>
          <w:szCs w:val="24"/>
          <w:lang w:val="mn-MN"/>
        </w:rPr>
        <w:t xml:space="preserve">Хуульчийн эрх зүйн байдлын тухай </w:t>
      </w:r>
      <w:r w:rsidRPr="004E42B2">
        <w:rPr>
          <w:rFonts w:ascii="Arial" w:eastAsia="DengXian" w:hAnsi="Arial" w:cs="Arial"/>
          <w:bCs/>
          <w:kern w:val="2"/>
          <w:sz w:val="24"/>
          <w:szCs w:val="24"/>
          <w:lang w:val="mn-MN"/>
        </w:rPr>
        <w:t xml:space="preserve">хуульд нэмэлт оруулах тухай, дагалдуулан боловсруулсан бусад </w:t>
      </w:r>
      <w:r w:rsidRPr="004E42B2">
        <w:rPr>
          <w:rFonts w:ascii="Arial" w:eastAsia="DengXian" w:hAnsi="Arial" w:cs="Arial"/>
          <w:kern w:val="2"/>
          <w:sz w:val="24"/>
          <w:szCs w:val="24"/>
          <w:lang w:val="mn-MN"/>
        </w:rPr>
        <w:t>хуулийн төсөл батлагдсанаар уг 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w:t>
      </w:r>
      <w:r>
        <w:rPr>
          <w:rFonts w:ascii="Arial" w:eastAsia="DengXian" w:hAnsi="Arial" w:cs="Arial"/>
          <w:kern w:val="2"/>
          <w:sz w:val="24"/>
          <w:szCs w:val="24"/>
          <w:lang w:val="mn-MN"/>
        </w:rPr>
        <w:t>римтлан зардлын тооцоог гаргахад</w:t>
      </w:r>
      <w:r>
        <w:rPr>
          <w:rFonts w:ascii="Arial" w:eastAsia="DengXian" w:hAnsi="Arial" w:cs="Arial"/>
          <w:kern w:val="2"/>
          <w:sz w:val="24"/>
          <w:szCs w:val="24"/>
        </w:rPr>
        <w:t>:</w:t>
      </w:r>
      <w:r w:rsidRPr="004E42B2">
        <w:rPr>
          <w:rFonts w:ascii="Arial" w:eastAsia="DengXian" w:hAnsi="Arial" w:cs="Arial"/>
          <w:kern w:val="2"/>
          <w:sz w:val="24"/>
          <w:szCs w:val="24"/>
          <w:lang w:val="mn-MN"/>
        </w:rPr>
        <w:t xml:space="preserve">  </w:t>
      </w:r>
    </w:p>
    <w:p w:rsidR="00B33504" w:rsidRPr="004E42B2" w:rsidRDefault="00B33504" w:rsidP="00B33504">
      <w:pPr>
        <w:spacing w:after="0" w:line="240" w:lineRule="auto"/>
        <w:jc w:val="both"/>
        <w:rPr>
          <w:rFonts w:ascii="Arial" w:eastAsia="DengXian" w:hAnsi="Arial" w:cs="Arial"/>
          <w:kern w:val="2"/>
          <w:sz w:val="24"/>
          <w:szCs w:val="24"/>
          <w:lang w:val="mn-MN"/>
        </w:rPr>
      </w:pPr>
    </w:p>
    <w:p w:rsidR="00B33504" w:rsidRPr="007446A5" w:rsidRDefault="00B33504" w:rsidP="00B33504">
      <w:pPr>
        <w:spacing w:line="276" w:lineRule="auto"/>
        <w:ind w:firstLine="720"/>
        <w:jc w:val="both"/>
        <w:rPr>
          <w:rFonts w:ascii="Arial" w:hAnsi="Arial" w:cs="Arial"/>
          <w:sz w:val="24"/>
          <w:szCs w:val="24"/>
          <w:lang w:val="mn-MN"/>
        </w:rPr>
      </w:pPr>
      <w:r w:rsidRPr="007446A5">
        <w:rPr>
          <w:rFonts w:ascii="Arial" w:hAnsi="Arial" w:cs="Arial"/>
          <w:sz w:val="24"/>
          <w:szCs w:val="24"/>
          <w:lang w:val="mn-MN"/>
        </w:rPr>
        <w:t>Иргэнд үүсэх зардлыг цаг хугацааны болон шууд бий болох мөнгөн зардал гэсэн үзүүлэлтээр нэг жилд бий болох зардлыг тооцож гаргадаг бөгөөд хуулийн төсөлд иргэнд ямар нэг үүрэг болгосон заалт байхгүй тул түүнд зарцуулах хугацаа,  үүргийг хэрэгжүүлэхтэй холбоотой зардал үүсэхгүй болно.</w:t>
      </w:r>
    </w:p>
    <w:p w:rsidR="00B33504" w:rsidRPr="007446A5" w:rsidRDefault="00B33504" w:rsidP="00B33504">
      <w:pPr>
        <w:spacing w:line="276" w:lineRule="auto"/>
        <w:ind w:firstLine="720"/>
        <w:jc w:val="both"/>
        <w:rPr>
          <w:rFonts w:ascii="Arial" w:hAnsi="Arial" w:cs="Arial"/>
          <w:sz w:val="24"/>
          <w:szCs w:val="24"/>
          <w:lang w:val="mn-MN"/>
        </w:rPr>
      </w:pPr>
      <w:r w:rsidRPr="007446A5">
        <w:rPr>
          <w:rFonts w:ascii="Arial" w:hAnsi="Arial" w:cs="Arial"/>
          <w:sz w:val="24"/>
          <w:szCs w:val="24"/>
          <w:lang w:val="mn-MN"/>
        </w:rPr>
        <w:t xml:space="preserve">Мөн </w:t>
      </w:r>
      <w:r>
        <w:rPr>
          <w:rFonts w:ascii="Arial" w:hAnsi="Arial" w:cs="Arial"/>
          <w:sz w:val="24"/>
          <w:szCs w:val="24"/>
          <w:lang w:val="mn-MN"/>
        </w:rPr>
        <w:t>т</w:t>
      </w:r>
      <w:r w:rsidRPr="007446A5">
        <w:rPr>
          <w:rFonts w:ascii="Arial" w:hAnsi="Arial" w:cs="Arial"/>
          <w:sz w:val="24"/>
          <w:szCs w:val="24"/>
          <w:lang w:val="mn-MN"/>
        </w:rPr>
        <w:t xml:space="preserve">өрийн байгууллагад хүний нөөц шинээр болох, шинэ бүтэц бий болохтой холбоотой зардлыг нэг жилээр тооцож гаргах бөгөөд хуулийн төслийн зохицуулалтаас харахад ийм төрлийн зардал бий болохооргүй байна. </w:t>
      </w:r>
    </w:p>
    <w:p w:rsidR="00B33504" w:rsidRDefault="00B33504" w:rsidP="00B33504">
      <w:pPr>
        <w:spacing w:after="100" w:afterAutospacing="1"/>
        <w:ind w:firstLine="720"/>
        <w:contextualSpacing/>
        <w:jc w:val="both"/>
        <w:rPr>
          <w:rFonts w:cs="Arial"/>
          <w:color w:val="000000" w:themeColor="text1"/>
          <w:sz w:val="20"/>
          <w:szCs w:val="20"/>
          <w:lang w:val="mn-MN"/>
        </w:rPr>
      </w:pPr>
      <w:r>
        <w:rPr>
          <w:rFonts w:ascii="Arial" w:hAnsi="Arial" w:cs="Arial"/>
          <w:color w:val="000000" w:themeColor="text1"/>
          <w:sz w:val="24"/>
          <w:szCs w:val="24"/>
          <w:lang w:val="mn-MN"/>
        </w:rPr>
        <w:t>Харин хуулийн төсөлд тусгасан э</w:t>
      </w:r>
      <w:r w:rsidRPr="007446A5">
        <w:rPr>
          <w:rFonts w:ascii="Arial" w:hAnsi="Arial" w:cs="Arial"/>
          <w:color w:val="000000" w:themeColor="text1"/>
          <w:sz w:val="24"/>
          <w:szCs w:val="24"/>
          <w:lang w:val="mn-MN"/>
        </w:rPr>
        <w:t>рх зүйн бакалаврын сургалтын хөтөлбөрт тавигдах шаардлагыг биелүүлэ</w:t>
      </w:r>
      <w:r w:rsidRPr="007446A5">
        <w:rPr>
          <w:rFonts w:ascii="Arial" w:eastAsia="DengXian" w:hAnsi="Arial" w:cs="Arial"/>
          <w:kern w:val="2"/>
          <w:sz w:val="24"/>
          <w:szCs w:val="24"/>
        </w:rPr>
        <w:t>х</w:t>
      </w:r>
      <w:r w:rsidRPr="004E42B2">
        <w:rPr>
          <w:rFonts w:ascii="Arial" w:eastAsia="DengXian" w:hAnsi="Arial" w:cs="Arial"/>
          <w:kern w:val="2"/>
          <w:sz w:val="24"/>
          <w:szCs w:val="24"/>
        </w:rPr>
        <w:t xml:space="preserve"> </w:t>
      </w:r>
      <w:r w:rsidRPr="004E42B2">
        <w:rPr>
          <w:rFonts w:ascii="Arial" w:eastAsia="DengXian" w:hAnsi="Arial" w:cs="Arial"/>
          <w:kern w:val="2"/>
          <w:sz w:val="24"/>
          <w:szCs w:val="24"/>
          <w:lang w:val="mn-MN"/>
        </w:rPr>
        <w:t xml:space="preserve">үүргийг хэрэгжүүлэхэд </w:t>
      </w:r>
      <w:r>
        <w:rPr>
          <w:rFonts w:ascii="Arial" w:eastAsia="DengXian" w:hAnsi="Arial" w:cs="Arial"/>
          <w:kern w:val="2"/>
          <w:sz w:val="24"/>
          <w:szCs w:val="24"/>
          <w:lang w:val="mn-MN"/>
        </w:rPr>
        <w:t xml:space="preserve">эрх зүйч бэлтгэх </w:t>
      </w:r>
      <w:r>
        <w:rPr>
          <w:rFonts w:ascii="Arial" w:eastAsia="DengXian" w:hAnsi="Arial" w:cs="Arial"/>
          <w:b/>
          <w:kern w:val="2"/>
          <w:sz w:val="24"/>
        </w:rPr>
        <w:t>15</w:t>
      </w:r>
      <w:r w:rsidRPr="004E42B2">
        <w:rPr>
          <w:rFonts w:ascii="Arial" w:eastAsia="DengXian" w:hAnsi="Arial" w:cs="Arial"/>
          <w:kern w:val="2"/>
          <w:sz w:val="24"/>
          <w:szCs w:val="24"/>
          <w:lang w:val="mn-MN"/>
        </w:rPr>
        <w:t xml:space="preserve"> </w:t>
      </w:r>
      <w:r>
        <w:rPr>
          <w:rFonts w:ascii="Arial" w:eastAsia="DengXian" w:hAnsi="Arial" w:cs="Arial"/>
          <w:kern w:val="2"/>
          <w:sz w:val="24"/>
          <w:szCs w:val="24"/>
          <w:lang w:val="mn-MN"/>
        </w:rPr>
        <w:t xml:space="preserve"> их дээд сургууль буюу </w:t>
      </w:r>
      <w:r w:rsidRPr="004E42B2">
        <w:rPr>
          <w:rFonts w:ascii="Arial" w:eastAsia="DengXian" w:hAnsi="Arial" w:cs="Arial"/>
          <w:kern w:val="2"/>
          <w:sz w:val="24"/>
          <w:szCs w:val="24"/>
          <w:lang w:val="mn-MN"/>
        </w:rPr>
        <w:t>хуулийн этгээд</w:t>
      </w:r>
      <w:r>
        <w:rPr>
          <w:rFonts w:ascii="Arial" w:eastAsia="DengXian" w:hAnsi="Arial" w:cs="Arial"/>
          <w:kern w:val="2"/>
          <w:sz w:val="24"/>
          <w:szCs w:val="24"/>
          <w:lang w:val="mn-MN"/>
        </w:rPr>
        <w:t>үүд</w:t>
      </w:r>
      <w:r w:rsidRPr="004E42B2">
        <w:rPr>
          <w:rFonts w:ascii="Arial" w:eastAsia="DengXian" w:hAnsi="Arial" w:cs="Arial"/>
          <w:kern w:val="2"/>
          <w:sz w:val="24"/>
          <w:szCs w:val="24"/>
          <w:lang w:val="mn-MN"/>
        </w:rPr>
        <w:t xml:space="preserve"> нэг жилд нийт </w:t>
      </w:r>
      <w:r>
        <w:rPr>
          <w:rFonts w:ascii="Arial" w:eastAsia="Times New Roman" w:hAnsi="Arial" w:cs="Arial"/>
          <w:b/>
          <w:kern w:val="2"/>
          <w:sz w:val="24"/>
          <w:szCs w:val="24"/>
          <w:lang w:val="mn-MN"/>
        </w:rPr>
        <w:t>24</w:t>
      </w:r>
      <w:r w:rsidRPr="00A87A4C">
        <w:rPr>
          <w:rFonts w:ascii="Arial" w:eastAsia="Times New Roman" w:hAnsi="Arial" w:cs="Arial"/>
          <w:b/>
          <w:kern w:val="2"/>
          <w:sz w:val="24"/>
          <w:szCs w:val="24"/>
        </w:rPr>
        <w:t>.</w:t>
      </w:r>
      <w:r>
        <w:rPr>
          <w:rFonts w:ascii="Arial" w:eastAsia="Times New Roman" w:hAnsi="Arial" w:cs="Arial"/>
          <w:b/>
          <w:kern w:val="2"/>
          <w:sz w:val="24"/>
          <w:szCs w:val="24"/>
          <w:lang w:val="mn-MN"/>
        </w:rPr>
        <w:t>516</w:t>
      </w:r>
      <w:r w:rsidRPr="00A87A4C">
        <w:rPr>
          <w:rFonts w:ascii="Arial" w:eastAsia="Times New Roman" w:hAnsi="Arial" w:cs="Arial"/>
          <w:b/>
          <w:kern w:val="2"/>
          <w:sz w:val="24"/>
          <w:szCs w:val="24"/>
        </w:rPr>
        <w:t>.</w:t>
      </w:r>
      <w:r w:rsidRPr="00A87A4C">
        <w:rPr>
          <w:rFonts w:ascii="Arial" w:eastAsia="Times New Roman" w:hAnsi="Arial" w:cs="Arial"/>
          <w:b/>
          <w:kern w:val="2"/>
          <w:sz w:val="24"/>
          <w:szCs w:val="24"/>
          <w:lang w:val="mn-MN"/>
        </w:rPr>
        <w:t>000</w:t>
      </w:r>
      <w:r w:rsidRPr="00A87A4C">
        <w:rPr>
          <w:rFonts w:ascii="Arial" w:eastAsia="Times New Roman" w:hAnsi="Arial" w:cs="Arial"/>
          <w:kern w:val="2"/>
          <w:sz w:val="24"/>
          <w:szCs w:val="24"/>
          <w:lang w:val="mn-MN"/>
        </w:rPr>
        <w:t xml:space="preserve"> төг</w:t>
      </w:r>
      <w:r w:rsidRPr="004E42B2">
        <w:rPr>
          <w:rFonts w:ascii="Arial" w:eastAsia="Times New Roman" w:hAnsi="Arial" w:cs="Arial"/>
          <w:kern w:val="2"/>
          <w:sz w:val="24"/>
          <w:szCs w:val="24"/>
          <w:lang w:val="mn-MN"/>
        </w:rPr>
        <w:t xml:space="preserve"> төгрөгийн зардал гаргахаар байна.</w:t>
      </w:r>
    </w:p>
    <w:p w:rsidR="00B33504" w:rsidRPr="004E42B2" w:rsidRDefault="00B33504" w:rsidP="00B33504">
      <w:pPr>
        <w:autoSpaceDE w:val="0"/>
        <w:autoSpaceDN w:val="0"/>
        <w:adjustRightInd w:val="0"/>
        <w:spacing w:after="0" w:line="240" w:lineRule="auto"/>
        <w:jc w:val="both"/>
        <w:rPr>
          <w:rFonts w:ascii="Times New Roman" w:eastAsia="Calibri" w:hAnsi="Times New Roman" w:cs="Times New Roman"/>
          <w:color w:val="000000"/>
          <w:sz w:val="24"/>
          <w:szCs w:val="24"/>
        </w:rPr>
      </w:pPr>
    </w:p>
    <w:p w:rsidR="00B33504" w:rsidRPr="004E42B2" w:rsidRDefault="00B33504" w:rsidP="00B33504">
      <w:pPr>
        <w:autoSpaceDE w:val="0"/>
        <w:autoSpaceDN w:val="0"/>
        <w:adjustRightInd w:val="0"/>
        <w:spacing w:after="0" w:line="240" w:lineRule="auto"/>
        <w:ind w:firstLine="720"/>
        <w:jc w:val="both"/>
        <w:rPr>
          <w:rFonts w:ascii="Arial" w:eastAsia="Calibri" w:hAnsi="Arial" w:cs="Arial"/>
          <w:color w:val="000000"/>
          <w:sz w:val="24"/>
          <w:szCs w:val="24"/>
        </w:rPr>
      </w:pPr>
      <w:r w:rsidRPr="004E42B2">
        <w:rPr>
          <w:rFonts w:ascii="Arial" w:eastAsia="Calibri" w:hAnsi="Arial" w:cs="Arial"/>
          <w:color w:val="000000"/>
          <w:sz w:val="24"/>
          <w:szCs w:val="24"/>
          <w:lang w:val="mn-MN"/>
        </w:rPr>
        <w:t xml:space="preserve">Хуулийн төслийн  хэрэгжилтийн үр дагавар, үзэл баримтлалд дурдсан </w:t>
      </w:r>
      <w:r>
        <w:rPr>
          <w:rFonts w:ascii="Arial" w:eastAsia="Calibri" w:hAnsi="Arial" w:cs="Arial"/>
          <w:color w:val="000000"/>
          <w:sz w:val="24"/>
          <w:szCs w:val="24"/>
          <w:lang w:val="mn-MN"/>
        </w:rPr>
        <w:t xml:space="preserve">зорилгыг хангахын </w:t>
      </w:r>
      <w:r w:rsidRPr="004E42B2">
        <w:rPr>
          <w:rFonts w:ascii="Arial" w:eastAsia="Calibri" w:hAnsi="Arial" w:cs="Arial"/>
          <w:color w:val="000000"/>
          <w:sz w:val="24"/>
          <w:szCs w:val="24"/>
        </w:rPr>
        <w:t>тулд хуулийн төсөлд тусгасан арга хэмжээнүүдийг авч хэрэгжүүлэхэд бий болох зардлууд нь дээр дурдсан алдагдсан боломжийн  өртөгтэй харьцуулахад  зардал, үр өгөөжийн харьцаа эерэг түвшинд байна гэж үзлээ.</w:t>
      </w:r>
    </w:p>
    <w:p w:rsidR="00B33504" w:rsidRPr="004E42B2" w:rsidRDefault="00B33504" w:rsidP="00B33504">
      <w:pPr>
        <w:spacing w:after="0" w:line="240" w:lineRule="auto"/>
        <w:jc w:val="both"/>
        <w:rPr>
          <w:rFonts w:ascii="Arial" w:eastAsia="DengXian" w:hAnsi="Arial" w:cs="Arial"/>
          <w:kern w:val="2"/>
          <w:sz w:val="24"/>
          <w:szCs w:val="24"/>
          <w:lang w:val="mn-MN"/>
        </w:rPr>
      </w:pPr>
    </w:p>
    <w:p w:rsidR="00B33504" w:rsidRPr="004E42B2" w:rsidRDefault="00B33504" w:rsidP="00B33504">
      <w:pPr>
        <w:spacing w:after="0" w:line="240" w:lineRule="auto"/>
        <w:ind w:firstLine="720"/>
        <w:jc w:val="center"/>
        <w:rPr>
          <w:rFonts w:ascii="Arial" w:eastAsia="DengXian" w:hAnsi="Arial" w:cs="Arial"/>
          <w:kern w:val="2"/>
          <w:sz w:val="24"/>
          <w:szCs w:val="24"/>
          <w:lang w:val="mn-MN"/>
        </w:rPr>
      </w:pPr>
      <w:r w:rsidRPr="004E42B2">
        <w:rPr>
          <w:rFonts w:ascii="Arial" w:eastAsia="DengXian" w:hAnsi="Arial" w:cs="Arial"/>
          <w:kern w:val="2"/>
          <w:sz w:val="24"/>
          <w:szCs w:val="24"/>
          <w:lang w:val="mn-MN"/>
        </w:rPr>
        <w:t>---оОо----</w:t>
      </w:r>
    </w:p>
    <w:p w:rsidR="00B33504" w:rsidRPr="00AA6B58" w:rsidRDefault="00B33504" w:rsidP="00B33504">
      <w:pPr>
        <w:pStyle w:val="Bodytext2"/>
        <w:shd w:val="clear" w:color="auto" w:fill="auto"/>
        <w:spacing w:after="120" w:line="276" w:lineRule="auto"/>
        <w:ind w:firstLine="760"/>
        <w:rPr>
          <w:noProof/>
          <w:color w:val="auto"/>
          <w:sz w:val="24"/>
          <w:szCs w:val="24"/>
          <w:lang w:val="en-US"/>
        </w:rPr>
      </w:pPr>
    </w:p>
    <w:p w:rsidR="00B33504" w:rsidRPr="00AA6B58" w:rsidRDefault="00B33504" w:rsidP="00B33504">
      <w:pPr>
        <w:pStyle w:val="Bodytext2"/>
        <w:shd w:val="clear" w:color="auto" w:fill="auto"/>
        <w:spacing w:after="120" w:line="276" w:lineRule="auto"/>
        <w:jc w:val="both"/>
        <w:rPr>
          <w:noProof/>
          <w:color w:val="auto"/>
          <w:sz w:val="24"/>
          <w:szCs w:val="24"/>
          <w:lang w:val="en-US"/>
        </w:rPr>
      </w:pPr>
    </w:p>
    <w:p w:rsidR="00B33504" w:rsidRPr="001F6CFD" w:rsidRDefault="00B33504" w:rsidP="00B33504">
      <w:pPr>
        <w:spacing w:after="0" w:line="240" w:lineRule="auto"/>
        <w:ind w:firstLine="567"/>
        <w:jc w:val="both"/>
        <w:rPr>
          <w:rFonts w:ascii="Arial" w:eastAsia="Times New Roman" w:hAnsi="Arial" w:cs="Arial"/>
          <w:sz w:val="24"/>
          <w:szCs w:val="24"/>
          <w:lang w:val="mn-MN"/>
        </w:rPr>
      </w:pPr>
    </w:p>
    <w:p w:rsidR="00B435B3" w:rsidRDefault="00B435B3"/>
    <w:sectPr w:rsidR="00B435B3" w:rsidSect="00B33504">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E3763" w:rsidRDefault="008E3763" w:rsidP="00B33504">
      <w:pPr>
        <w:spacing w:after="0" w:line="240" w:lineRule="auto"/>
      </w:pPr>
      <w:r>
        <w:separator/>
      </w:r>
    </w:p>
  </w:endnote>
  <w:endnote w:type="continuationSeparator" w:id="0">
    <w:p w:rsidR="008E3763" w:rsidRDefault="008E3763" w:rsidP="00B33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E3763" w:rsidRDefault="008E3763" w:rsidP="00B33504">
      <w:pPr>
        <w:spacing w:after="0" w:line="240" w:lineRule="auto"/>
      </w:pPr>
      <w:r>
        <w:separator/>
      </w:r>
    </w:p>
  </w:footnote>
  <w:footnote w:type="continuationSeparator" w:id="0">
    <w:p w:rsidR="008E3763" w:rsidRDefault="008E3763" w:rsidP="00B33504">
      <w:pPr>
        <w:spacing w:after="0" w:line="240" w:lineRule="auto"/>
      </w:pPr>
      <w:r>
        <w:continuationSeparator/>
      </w:r>
    </w:p>
  </w:footnote>
  <w:footnote w:id="1">
    <w:p w:rsidR="00B33504" w:rsidRPr="009C5105" w:rsidRDefault="00B33504" w:rsidP="00B33504">
      <w:pPr>
        <w:pStyle w:val="FootnoteText"/>
        <w:rPr>
          <w:rFonts w:ascii="Arial" w:hAnsi="Arial" w:cs="Arial"/>
          <w:lang w:val="mn-MN"/>
        </w:rPr>
      </w:pPr>
      <w:r w:rsidRPr="009C5105">
        <w:rPr>
          <w:rStyle w:val="FootnoteReference"/>
          <w:rFonts w:ascii="Arial" w:hAnsi="Arial" w:cs="Arial"/>
        </w:rPr>
        <w:footnoteRef/>
      </w:r>
      <w:r w:rsidRPr="009C5105">
        <w:rPr>
          <w:rFonts w:ascii="Arial" w:hAnsi="Arial" w:cs="Arial"/>
        </w:rPr>
        <w:t xml:space="preserve"> </w:t>
      </w:r>
      <w:r w:rsidRPr="009C5105">
        <w:rPr>
          <w:rFonts w:ascii="Arial" w:hAnsi="Arial" w:cs="Arial"/>
          <w:lang w:val="mn-MN"/>
        </w:rPr>
        <w:t>“Төрийн мэдээлэл” эмхтгэлийн 2015 оны 7 дугаар сарын 03-ны өдрийн 25 дугаарт нийтлэгдсэн</w:t>
      </w:r>
    </w:p>
  </w:footnote>
  <w:footnote w:id="2">
    <w:p w:rsidR="00B33504" w:rsidRPr="009C5105" w:rsidRDefault="00B33504" w:rsidP="00B33504">
      <w:pPr>
        <w:spacing w:after="0" w:line="276" w:lineRule="auto"/>
        <w:jc w:val="both"/>
        <w:rPr>
          <w:rFonts w:ascii="Arial" w:hAnsi="Arial" w:cs="Arial"/>
          <w:lang w:val="mn-MN"/>
        </w:rPr>
      </w:pPr>
      <w:r w:rsidRPr="009C5105">
        <w:rPr>
          <w:rStyle w:val="FootnoteReference"/>
          <w:rFonts w:ascii="Arial" w:hAnsi="Arial" w:cs="Arial"/>
        </w:rPr>
        <w:footnoteRef/>
      </w:r>
      <w:r w:rsidRPr="009C5105">
        <w:rPr>
          <w:rFonts w:ascii="Arial" w:hAnsi="Arial" w:cs="Arial"/>
        </w:rPr>
        <w:t xml:space="preserve"> </w:t>
      </w:r>
      <w:r w:rsidRPr="009C5105">
        <w:rPr>
          <w:rFonts w:ascii="Arial" w:hAnsi="Arial" w:cs="Arial"/>
          <w:sz w:val="20"/>
          <w:szCs w:val="20"/>
          <w:lang w:val="mn-MN"/>
        </w:rPr>
        <w:t>Стандарт үйл ажиллагаа болон зарцуулах хугацааг тодорхойлохдоо Засгийн газрын 59 дүгээр тогтоолын дөрөвдүгээр хавсралтад заасан хугацааг харгалзан үзсэн болно</w:t>
      </w:r>
      <w:r w:rsidRPr="009C5105">
        <w:rPr>
          <w:rFonts w:ascii="Arial" w:hAnsi="Arial" w:cs="Arial"/>
          <w:lang w:val="mn-MN"/>
        </w:rPr>
        <w:t>.</w:t>
      </w:r>
    </w:p>
  </w:footnote>
  <w:footnote w:id="3">
    <w:p w:rsidR="00B33504" w:rsidRPr="009C5105" w:rsidRDefault="00B33504" w:rsidP="00B33504">
      <w:pPr>
        <w:pStyle w:val="FootnoteText"/>
        <w:rPr>
          <w:rFonts w:ascii="Arial" w:hAnsi="Arial" w:cs="Arial"/>
        </w:rPr>
      </w:pPr>
      <w:r w:rsidRPr="009C5105">
        <w:rPr>
          <w:rStyle w:val="FootnoteReference"/>
          <w:rFonts w:ascii="Arial" w:hAnsi="Arial" w:cs="Arial"/>
        </w:rPr>
        <w:footnoteRef/>
      </w:r>
      <w:r w:rsidRPr="009C5105">
        <w:rPr>
          <w:rFonts w:ascii="Arial" w:hAnsi="Arial" w:cs="Arial"/>
        </w:rPr>
        <w:t xml:space="preserve"> 1212.mn</w:t>
      </w:r>
    </w:p>
  </w:footnote>
  <w:footnote w:id="4">
    <w:p w:rsidR="00B33504" w:rsidRPr="009C5105" w:rsidRDefault="00B33504" w:rsidP="00B33504">
      <w:pPr>
        <w:pStyle w:val="FootnoteText"/>
        <w:jc w:val="both"/>
        <w:rPr>
          <w:rFonts w:ascii="Arial" w:hAnsi="Arial" w:cs="Arial"/>
          <w:lang w:val="mn-MN"/>
        </w:rPr>
      </w:pPr>
      <w:r w:rsidRPr="009C5105">
        <w:rPr>
          <w:rStyle w:val="FootnoteReference"/>
          <w:rFonts w:ascii="Arial" w:hAnsi="Arial" w:cs="Arial"/>
        </w:rPr>
        <w:footnoteRef/>
      </w:r>
      <w:r w:rsidRPr="009C5105">
        <w:rPr>
          <w:rFonts w:ascii="Arial" w:hAnsi="Arial" w:cs="Arial"/>
        </w:rPr>
        <w:t xml:space="preserve"> </w:t>
      </w:r>
      <w:r w:rsidRPr="009C5105">
        <w:rPr>
          <w:rFonts w:ascii="Arial" w:hAnsi="Arial" w:cs="Arial"/>
          <w:lang w:val="mn-MN"/>
        </w:rPr>
        <w:t>“Тохиолдлын тоо” гэдэг нь тухайн шинээр бий болж байгаа үүргийг хэдэн хуулийн этгээдэд хүлээлгэж байгааг илэрхийлэх тоог ойлгоно.  Манай тохиолдод   эрх зүйч бэлтгэх их дээд сургуулийн тоо юм.</w:t>
      </w:r>
    </w:p>
  </w:footnote>
  <w:footnote w:id="5">
    <w:p w:rsidR="00B33504" w:rsidRPr="009C5105" w:rsidRDefault="00B33504" w:rsidP="00B33504">
      <w:pPr>
        <w:pStyle w:val="FootnoteText"/>
        <w:jc w:val="both"/>
        <w:rPr>
          <w:rFonts w:ascii="Arial" w:hAnsi="Arial" w:cs="Arial"/>
          <w:lang w:val="mn-MN"/>
        </w:rPr>
      </w:pPr>
      <w:r w:rsidRPr="009C5105">
        <w:rPr>
          <w:rStyle w:val="FootnoteReference"/>
          <w:rFonts w:ascii="Arial" w:hAnsi="Arial" w:cs="Arial"/>
        </w:rPr>
        <w:footnoteRef/>
      </w:r>
      <w:r w:rsidRPr="009C5105">
        <w:rPr>
          <w:rFonts w:ascii="Arial" w:hAnsi="Arial" w:cs="Arial"/>
        </w:rPr>
        <w:t xml:space="preserve"> </w:t>
      </w:r>
      <w:r w:rsidRPr="009C5105">
        <w:rPr>
          <w:rFonts w:ascii="Arial" w:hAnsi="Arial" w:cs="Arial"/>
          <w:lang w:val="mn-MN"/>
        </w:rPr>
        <w:t>“Давтамж” гэдэг нь тухайн үүргийг биелүүлэх хуулийн этгээд буюу аж ахуйн нэгж байгууллагауг үүргийг жилд хэдэн удаа гүйцэтгэхийг илэрхийлэх тоо юм. Энэ хичээлийн жилд  1 удаа гэж болно.</w:t>
      </w:r>
    </w:p>
  </w:footnote>
  <w:footnote w:id="6">
    <w:p w:rsidR="00B33504" w:rsidRPr="009C5105" w:rsidRDefault="00B33504" w:rsidP="00B33504">
      <w:pPr>
        <w:pStyle w:val="FootnoteText"/>
        <w:jc w:val="both"/>
        <w:rPr>
          <w:rFonts w:ascii="Arial" w:hAnsi="Arial" w:cs="Arial"/>
          <w:lang w:val="mn-MN"/>
        </w:rPr>
      </w:pPr>
    </w:p>
  </w:footnote>
  <w:footnote w:id="7">
    <w:p w:rsidR="00B33504" w:rsidRPr="009C5105" w:rsidRDefault="00B33504" w:rsidP="00B33504">
      <w:pPr>
        <w:pStyle w:val="FootnoteText"/>
        <w:jc w:val="both"/>
        <w:rPr>
          <w:rFonts w:ascii="Arial" w:hAnsi="Arial" w:cs="Arial"/>
          <w:lang w:val="mn-MN"/>
        </w:rPr>
      </w:pPr>
      <w:r w:rsidRPr="009C5105">
        <w:rPr>
          <w:rStyle w:val="FootnoteReference"/>
          <w:rFonts w:ascii="Arial" w:hAnsi="Arial" w:cs="Arial"/>
        </w:rPr>
        <w:footnoteRef/>
      </w:r>
      <w:r w:rsidRPr="009C5105">
        <w:rPr>
          <w:rFonts w:ascii="Arial" w:hAnsi="Arial" w:cs="Arial"/>
        </w:rPr>
        <w:t xml:space="preserve"> </w:t>
      </w:r>
      <w:r w:rsidRPr="009C5105">
        <w:rPr>
          <w:rFonts w:ascii="Arial" w:hAnsi="Arial" w:cs="Arial"/>
          <w:lang w:val="mn-MN"/>
        </w:rPr>
        <w:t>“Нийт зардал” гэдэг нь уг хуулийн төсөл батлагдан гарснаар хуулийн төсөлд тусгагдсан үүргийг биелүүлэх нийт хуулийн этгээдэд үүсэх захиргааны зардал юм.</w:t>
      </w:r>
    </w:p>
  </w:footnote>
  <w:footnote w:id="8">
    <w:p w:rsidR="00B33504" w:rsidRPr="009C5105" w:rsidRDefault="00B33504" w:rsidP="00B33504">
      <w:pPr>
        <w:pStyle w:val="FootnoteText"/>
        <w:rPr>
          <w:rFonts w:ascii="Arial" w:hAnsi="Arial" w:cs="Arial"/>
          <w:lang w:val="mn-MN"/>
        </w:rPr>
      </w:pPr>
      <w:r w:rsidRPr="009C5105">
        <w:rPr>
          <w:rStyle w:val="FootnoteReference"/>
          <w:rFonts w:ascii="Arial" w:hAnsi="Arial" w:cs="Arial"/>
        </w:rPr>
        <w:footnoteRef/>
      </w:r>
      <w:r w:rsidRPr="009C5105">
        <w:rPr>
          <w:rFonts w:ascii="Arial" w:hAnsi="Arial" w:cs="Arial"/>
        </w:rPr>
        <w:t xml:space="preserve"> </w:t>
      </w:r>
      <w:r w:rsidRPr="009C5105">
        <w:rPr>
          <w:rFonts w:ascii="Arial" w:hAnsi="Arial" w:cs="Arial"/>
          <w:lang w:val="mn-MN"/>
        </w:rPr>
        <w:t>“Төрийн мэдээлэл” эмхтгэлийн 2015 оны 7 дугаар сарын 03-ны өдрийн 25 дугаарт нийтлэгдсэн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E094E"/>
    <w:multiLevelType w:val="hybridMultilevel"/>
    <w:tmpl w:val="29783CC4"/>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3035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04"/>
    <w:rsid w:val="003E6615"/>
    <w:rsid w:val="008E3763"/>
    <w:rsid w:val="00950B97"/>
    <w:rsid w:val="00B33504"/>
    <w:rsid w:val="00B435B3"/>
    <w:rsid w:val="00BE46EB"/>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FAD9C1F-B372-A542-959F-CB901195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504"/>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3350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33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504"/>
    <w:rPr>
      <w:kern w:val="0"/>
      <w:sz w:val="22"/>
      <w:szCs w:val="22"/>
      <w:lang w:val="en-US"/>
      <w14:ligatures w14:val="none"/>
    </w:rPr>
  </w:style>
  <w:style w:type="paragraph" w:styleId="Footer">
    <w:name w:val="footer"/>
    <w:basedOn w:val="Normal"/>
    <w:link w:val="FooterChar"/>
    <w:uiPriority w:val="99"/>
    <w:unhideWhenUsed/>
    <w:rsid w:val="00B33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504"/>
    <w:rPr>
      <w:kern w:val="0"/>
      <w:sz w:val="22"/>
      <w:szCs w:val="22"/>
      <w:lang w:val="en-US"/>
      <w14:ligatures w14:val="none"/>
    </w:rPr>
  </w:style>
  <w:style w:type="paragraph" w:styleId="FootnoteText">
    <w:name w:val="footnote text"/>
    <w:basedOn w:val="Normal"/>
    <w:link w:val="FootnoteTextChar"/>
    <w:uiPriority w:val="99"/>
    <w:semiHidden/>
    <w:unhideWhenUsed/>
    <w:rsid w:val="00B335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504"/>
    <w:rPr>
      <w:kern w:val="0"/>
      <w:sz w:val="20"/>
      <w:szCs w:val="20"/>
      <w:lang w:val="en-US"/>
      <w14:ligatures w14:val="none"/>
    </w:rPr>
  </w:style>
  <w:style w:type="character" w:styleId="FootnoteReference">
    <w:name w:val="footnote reference"/>
    <w:basedOn w:val="DefaultParagraphFont"/>
    <w:uiPriority w:val="99"/>
    <w:unhideWhenUsed/>
    <w:qFormat/>
    <w:rsid w:val="00B33504"/>
    <w:rPr>
      <w:vertAlign w:val="superscript"/>
    </w:rPr>
  </w:style>
  <w:style w:type="character" w:customStyle="1" w:styleId="NormalWebChar">
    <w:name w:val="Normal (Web) Char"/>
    <w:link w:val="NormalWeb"/>
    <w:uiPriority w:val="99"/>
    <w:locked/>
    <w:rsid w:val="00B33504"/>
    <w:rPr>
      <w:rFonts w:ascii="Times New Roman" w:eastAsia="Times New Roman" w:hAnsi="Times New Roman" w:cs="Times New Roman"/>
      <w:kern w:val="0"/>
      <w:lang w:val="en-US"/>
      <w14:ligatures w14:val="none"/>
    </w:rPr>
  </w:style>
  <w:style w:type="paragraph" w:customStyle="1" w:styleId="Bodytext2">
    <w:name w:val="Body text (2)"/>
    <w:basedOn w:val="Normal"/>
    <w:link w:val="Bodytext20"/>
    <w:rsid w:val="00B33504"/>
    <w:pPr>
      <w:widowControl w:val="0"/>
      <w:shd w:val="clear" w:color="auto" w:fill="FFFFFF"/>
      <w:spacing w:after="840" w:line="0" w:lineRule="atLeast"/>
      <w:jc w:val="center"/>
    </w:pPr>
    <w:rPr>
      <w:rFonts w:ascii="Arial" w:eastAsia="Arial" w:hAnsi="Arial" w:cs="Arial"/>
      <w:color w:val="000000"/>
      <w:lang w:val="mn-MN" w:eastAsia="mn-MN" w:bidi="mn-MN"/>
    </w:rPr>
  </w:style>
  <w:style w:type="character" w:customStyle="1" w:styleId="Bodytext20">
    <w:name w:val="Body text (2)_"/>
    <w:link w:val="Bodytext2"/>
    <w:rsid w:val="00B33504"/>
    <w:rPr>
      <w:rFonts w:ascii="Arial" w:eastAsia="Arial" w:hAnsi="Arial" w:cs="Arial"/>
      <w:color w:val="000000"/>
      <w:kern w:val="0"/>
      <w:sz w:val="22"/>
      <w:szCs w:val="22"/>
      <w:shd w:val="clear" w:color="auto" w:fill="FFFFFF"/>
      <w:lang w:val="mn-MN" w:eastAsia="mn-MN" w:bidi="mn-MN"/>
      <w14:ligatures w14:val="none"/>
    </w:rPr>
  </w:style>
  <w:style w:type="table" w:customStyle="1" w:styleId="TableGrid7">
    <w:name w:val="Table Grid7"/>
    <w:basedOn w:val="TableNormal"/>
    <w:next w:val="TableGrid"/>
    <w:uiPriority w:val="39"/>
    <w:qFormat/>
    <w:rsid w:val="00B33504"/>
    <w:rPr>
      <w:rFonts w:ascii="Arial" w:eastAsia="SimSu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33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1389</Words>
  <Characters>7921</Characters>
  <Application>Microsoft Office Word</Application>
  <DocSecurity>0</DocSecurity>
  <Lines>66</Lines>
  <Paragraphs>18</Paragraphs>
  <ScaleCrop>false</ScaleCrop>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2026-04-10T06:27:00Z</dcterms:created>
  <dcterms:modified xsi:type="dcterms:W3CDTF">2026-04-10T06:27:00Z</dcterms:modified>
</cp:coreProperties>
</file>