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0CE2" w:rsidRPr="009C5105" w:rsidRDefault="009D0CE2" w:rsidP="009D0CE2">
      <w:pPr>
        <w:ind w:firstLine="720"/>
        <w:jc w:val="right"/>
        <w:rPr>
          <w:rFonts w:ascii="Arial" w:hAnsi="Arial" w:cs="Arial"/>
          <w:bCs/>
          <w:sz w:val="24"/>
          <w:szCs w:val="24"/>
          <w:lang w:val="mn-MN"/>
        </w:rPr>
      </w:pPr>
      <w:r w:rsidRPr="009C5105">
        <w:rPr>
          <w:rFonts w:ascii="Arial" w:hAnsi="Arial" w:cs="Arial"/>
          <w:bCs/>
          <w:sz w:val="24"/>
          <w:szCs w:val="24"/>
          <w:lang w:val="mn-MN"/>
        </w:rPr>
        <w:t>Төсөл</w:t>
      </w:r>
    </w:p>
    <w:p w:rsidR="009D0CE2" w:rsidRPr="009C5105" w:rsidRDefault="009D0CE2" w:rsidP="009D0CE2">
      <w:pPr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C510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9D0CE2" w:rsidRPr="009C5105" w:rsidRDefault="009D0CE2" w:rsidP="009D0CE2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C5105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:rsidR="009D0CE2" w:rsidRPr="009C5105" w:rsidRDefault="009D0CE2" w:rsidP="009D0CE2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9D0CE2" w:rsidRPr="009C5105" w:rsidRDefault="009D0CE2" w:rsidP="009D0CE2">
      <w:pPr>
        <w:spacing w:after="100" w:afterAutospacing="1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2026 оны ...дугаар 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Улаанбаатар</w:t>
      </w:r>
    </w:p>
    <w:p w:rsidR="009D0CE2" w:rsidRPr="009C5105" w:rsidRDefault="009D0CE2" w:rsidP="009D0CE2">
      <w:pPr>
        <w:spacing w:after="100" w:afterAutospacing="1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...-ны өдөр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хот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                     </w:t>
      </w:r>
    </w:p>
    <w:p w:rsidR="009D0CE2" w:rsidRPr="009C5105" w:rsidRDefault="009D0CE2" w:rsidP="009D0CE2">
      <w:pPr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9D0CE2" w:rsidRPr="009C5105" w:rsidRDefault="009D0CE2" w:rsidP="009D0CE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C5105">
        <w:rPr>
          <w:rFonts w:ascii="Arial" w:hAnsi="Arial" w:cs="Arial"/>
          <w:b/>
          <w:sz w:val="24"/>
          <w:szCs w:val="24"/>
          <w:lang w:val="mn-MN"/>
        </w:rPr>
        <w:t xml:space="preserve">ДЭЭД БОЛОВСРОЛЫН ТУХАЙ ХУУЛЬД </w:t>
      </w:r>
    </w:p>
    <w:p w:rsidR="009D0CE2" w:rsidRPr="009C5105" w:rsidRDefault="009D0CE2" w:rsidP="009D0CE2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C5105">
        <w:rPr>
          <w:rFonts w:ascii="Arial" w:hAnsi="Arial" w:cs="Arial"/>
          <w:b/>
          <w:sz w:val="24"/>
          <w:szCs w:val="24"/>
          <w:lang w:val="mn-MN"/>
        </w:rPr>
        <w:t>НЭМЭЛТ, ӨӨРЧЛӨЛТ ОРУУЛАХ ТУХАЙ</w:t>
      </w:r>
    </w:p>
    <w:p w:rsidR="009D0CE2" w:rsidRPr="009C5105" w:rsidRDefault="009D0CE2" w:rsidP="009D0CE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0CE2" w:rsidRPr="009C5105" w:rsidRDefault="009D0CE2" w:rsidP="009D0CE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C5105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9C5105">
        <w:rPr>
          <w:rFonts w:ascii="Arial" w:hAnsi="Arial" w:cs="Arial"/>
          <w:bCs/>
          <w:sz w:val="24"/>
          <w:szCs w:val="24"/>
          <w:lang w:val="mn-MN"/>
        </w:rPr>
        <w:t xml:space="preserve">Дээд </w:t>
      </w:r>
      <w:r w:rsidRPr="009C5105">
        <w:rPr>
          <w:rFonts w:ascii="Arial" w:hAnsi="Arial" w:cs="Arial"/>
          <w:sz w:val="24"/>
          <w:szCs w:val="24"/>
          <w:lang w:val="mn-MN"/>
        </w:rPr>
        <w:t>боловсролын тухай хуулийн 12 дугаар зүйлд доор дурдсан агуултай 12.12 дахь</w:t>
      </w:r>
      <w:r w:rsidRPr="009C5105">
        <w:rPr>
          <w:rFonts w:ascii="Arial" w:hAnsi="Arial" w:cs="Arial"/>
          <w:sz w:val="24"/>
          <w:szCs w:val="24"/>
        </w:rPr>
        <w:t xml:space="preserve"> </w:t>
      </w:r>
      <w:r w:rsidRPr="009C5105">
        <w:rPr>
          <w:rFonts w:ascii="Arial" w:hAnsi="Arial" w:cs="Arial"/>
          <w:sz w:val="24"/>
          <w:szCs w:val="24"/>
          <w:lang w:val="mn-MN"/>
        </w:rPr>
        <w:t>хэсэг нэмсүгэй</w:t>
      </w:r>
      <w:r w:rsidRPr="009C5105">
        <w:rPr>
          <w:rFonts w:ascii="Arial" w:hAnsi="Arial" w:cs="Arial"/>
          <w:sz w:val="24"/>
          <w:szCs w:val="24"/>
        </w:rPr>
        <w:t>:</w:t>
      </w:r>
    </w:p>
    <w:p w:rsidR="009D0CE2" w:rsidRDefault="009D0CE2" w:rsidP="009D0CE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C5105">
        <w:rPr>
          <w:rFonts w:ascii="Arial" w:hAnsi="Arial" w:cs="Arial"/>
          <w:sz w:val="24"/>
          <w:szCs w:val="24"/>
          <w:lang w:val="mn-MN"/>
        </w:rPr>
        <w:t xml:space="preserve">“12.12.Энэ хуулийн 12.1 дэх хэсэгт </w:t>
      </w:r>
      <w:proofErr w:type="spellStart"/>
      <w:r w:rsidRPr="009C5105">
        <w:rPr>
          <w:rFonts w:ascii="Arial" w:hAnsi="Arial" w:cs="Arial"/>
          <w:sz w:val="24"/>
          <w:szCs w:val="24"/>
        </w:rPr>
        <w:t>заасан</w:t>
      </w:r>
      <w:proofErr w:type="spellEnd"/>
      <w:r w:rsidRPr="009C51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5105">
        <w:rPr>
          <w:rFonts w:ascii="Arial" w:hAnsi="Arial" w:cs="Arial"/>
          <w:sz w:val="24"/>
          <w:szCs w:val="24"/>
        </w:rPr>
        <w:t>эрх</w:t>
      </w:r>
      <w:proofErr w:type="spellEnd"/>
      <w:r w:rsidRPr="009C51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5105">
        <w:rPr>
          <w:rFonts w:ascii="Arial" w:hAnsi="Arial" w:cs="Arial"/>
          <w:sz w:val="24"/>
          <w:szCs w:val="24"/>
        </w:rPr>
        <w:t>зүйч</w:t>
      </w:r>
      <w:proofErr w:type="spellEnd"/>
      <w:r w:rsidRPr="009C51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5105">
        <w:rPr>
          <w:rFonts w:ascii="Arial" w:hAnsi="Arial" w:cs="Arial"/>
          <w:sz w:val="24"/>
          <w:szCs w:val="24"/>
        </w:rPr>
        <w:t>мэргэжлийн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 чиглэлийн </w:t>
      </w:r>
      <w:proofErr w:type="spellStart"/>
      <w:r>
        <w:rPr>
          <w:rFonts w:ascii="Arial" w:hAnsi="Arial" w:cs="Arial"/>
          <w:sz w:val="24"/>
          <w:szCs w:val="24"/>
        </w:rPr>
        <w:t>сургалтын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хөтөлбөрийг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магадлан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итгэмжлүүлэх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журмыг </w:t>
      </w:r>
      <w:proofErr w:type="spellStart"/>
      <w:r w:rsidRPr="004706CB">
        <w:rPr>
          <w:rFonts w:ascii="Arial" w:hAnsi="Arial" w:cs="Arial"/>
          <w:sz w:val="24"/>
          <w:szCs w:val="24"/>
        </w:rPr>
        <w:t>Хуульчийн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эрх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зүйн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ба</w:t>
      </w:r>
      <w:r>
        <w:rPr>
          <w:rFonts w:ascii="Arial" w:hAnsi="Arial" w:cs="Arial"/>
          <w:sz w:val="24"/>
          <w:szCs w:val="24"/>
        </w:rPr>
        <w:t>йдлын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тухай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хуульд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заасны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дагуу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зохицуулна</w:t>
      </w:r>
      <w:proofErr w:type="spellEnd"/>
      <w:r w:rsidRPr="004706CB">
        <w:rPr>
          <w:rFonts w:ascii="Arial" w:hAnsi="Arial" w:cs="Arial"/>
          <w:sz w:val="24"/>
          <w:szCs w:val="24"/>
        </w:rPr>
        <w:t>.”</w:t>
      </w:r>
    </w:p>
    <w:p w:rsidR="009D0CE2" w:rsidRPr="00910EB8" w:rsidRDefault="009D0CE2" w:rsidP="009D0CE2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706CB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spellStart"/>
      <w:r w:rsidRPr="004706CB">
        <w:rPr>
          <w:rFonts w:ascii="Arial" w:hAnsi="Arial" w:cs="Arial"/>
          <w:b/>
          <w:bCs/>
          <w:sz w:val="24"/>
          <w:szCs w:val="24"/>
        </w:rPr>
        <w:t>дугаар</w:t>
      </w:r>
      <w:proofErr w:type="spellEnd"/>
      <w:r w:rsidRPr="004706C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b/>
          <w:bCs/>
          <w:sz w:val="24"/>
          <w:szCs w:val="24"/>
        </w:rPr>
        <w:t>зүйл</w:t>
      </w:r>
      <w:proofErr w:type="spellEnd"/>
      <w:r w:rsidRPr="004706CB">
        <w:rPr>
          <w:rFonts w:ascii="Arial" w:hAnsi="Arial" w:cs="Arial"/>
          <w:bCs/>
          <w:sz w:val="24"/>
          <w:szCs w:val="24"/>
          <w:lang w:val="mn-MN"/>
        </w:rPr>
        <w:t xml:space="preserve"> Дээд </w:t>
      </w:r>
      <w:r>
        <w:rPr>
          <w:rFonts w:ascii="Arial" w:hAnsi="Arial" w:cs="Arial"/>
          <w:sz w:val="24"/>
          <w:szCs w:val="24"/>
          <w:lang w:val="mn-MN"/>
        </w:rPr>
        <w:t>боловсролын тухай хуулийн 12.11 дэх хэсгийн “Анагаах ухааны” гэсний дараа “, эрх зүйч” гэж нэмсүгэй.</w:t>
      </w:r>
    </w:p>
    <w:p w:rsidR="009D0CE2" w:rsidRPr="004706CB" w:rsidRDefault="009D0CE2" w:rsidP="009D0CE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3 дугаар зүйл</w:t>
      </w:r>
      <w:r w:rsidRPr="00910EB8">
        <w:rPr>
          <w:rFonts w:ascii="Arial" w:hAnsi="Arial" w:cs="Arial"/>
          <w:b/>
          <w:bCs/>
          <w:sz w:val="24"/>
          <w:szCs w:val="24"/>
        </w:rPr>
        <w:t>.</w:t>
      </w:r>
      <w:proofErr w:type="spellStart"/>
      <w:r w:rsidRPr="004706CB">
        <w:rPr>
          <w:rFonts w:ascii="Arial" w:hAnsi="Arial" w:cs="Arial"/>
          <w:sz w:val="24"/>
          <w:szCs w:val="24"/>
        </w:rPr>
        <w:t>Дээд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боловсролын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тухай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хуу</w:t>
      </w:r>
      <w:r>
        <w:rPr>
          <w:rFonts w:ascii="Arial" w:hAnsi="Arial" w:cs="Arial"/>
          <w:sz w:val="24"/>
          <w:szCs w:val="24"/>
        </w:rPr>
        <w:t>лийн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дугаар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зүйлийн</w:t>
      </w:r>
      <w:proofErr w:type="spellEnd"/>
      <w:r>
        <w:rPr>
          <w:rFonts w:ascii="Arial" w:hAnsi="Arial" w:cs="Arial"/>
          <w:sz w:val="24"/>
          <w:szCs w:val="24"/>
        </w:rPr>
        <w:t xml:space="preserve"> 20.1 </w:t>
      </w:r>
      <w:proofErr w:type="spellStart"/>
      <w:r>
        <w:rPr>
          <w:rFonts w:ascii="Arial" w:hAnsi="Arial" w:cs="Arial"/>
          <w:sz w:val="24"/>
          <w:szCs w:val="24"/>
        </w:rPr>
        <w:t>дэх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хэсгийн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706CB">
        <w:rPr>
          <w:rFonts w:ascii="Arial" w:hAnsi="Arial" w:cs="Arial"/>
          <w:sz w:val="24"/>
          <w:szCs w:val="24"/>
        </w:rPr>
        <w:t>Дээд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боловсролын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4706CB">
        <w:rPr>
          <w:rFonts w:ascii="Arial" w:hAnsi="Arial" w:cs="Arial"/>
          <w:sz w:val="24"/>
          <w:szCs w:val="24"/>
        </w:rPr>
        <w:t>гэснийг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706CB">
        <w:rPr>
          <w:rFonts w:ascii="Arial" w:hAnsi="Arial" w:cs="Arial"/>
          <w:sz w:val="24"/>
          <w:szCs w:val="24"/>
        </w:rPr>
        <w:t>Энэ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хуульд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өөрөөр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заагаагүй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бол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дээд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6CB">
        <w:rPr>
          <w:rFonts w:ascii="Arial" w:hAnsi="Arial" w:cs="Arial"/>
          <w:sz w:val="24"/>
          <w:szCs w:val="24"/>
        </w:rPr>
        <w:t>боловсролын</w:t>
      </w:r>
      <w:proofErr w:type="spellEnd"/>
      <w:r w:rsidRPr="004706CB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4706CB">
        <w:rPr>
          <w:rFonts w:ascii="Arial" w:hAnsi="Arial" w:cs="Arial"/>
          <w:sz w:val="24"/>
          <w:szCs w:val="24"/>
        </w:rPr>
        <w:t>гэж</w:t>
      </w:r>
      <w:proofErr w:type="spellEnd"/>
      <w:r>
        <w:rPr>
          <w:rFonts w:ascii="Arial" w:hAnsi="Arial" w:cs="Arial"/>
          <w:sz w:val="24"/>
          <w:szCs w:val="24"/>
          <w:lang w:val="mn-MN"/>
        </w:rPr>
        <w:t xml:space="preserve">, 12 дугаар зүйлийн </w:t>
      </w:r>
      <w:r>
        <w:rPr>
          <w:rFonts w:ascii="Arial" w:hAnsi="Arial" w:cs="Arial"/>
          <w:sz w:val="24"/>
          <w:szCs w:val="24"/>
        </w:rPr>
        <w:t>12.12,12.13,12.14</w:t>
      </w:r>
      <w:r>
        <w:rPr>
          <w:rFonts w:ascii="Arial" w:hAnsi="Arial" w:cs="Arial"/>
          <w:sz w:val="24"/>
          <w:szCs w:val="24"/>
          <w:lang w:val="mn-MN"/>
        </w:rPr>
        <w:t xml:space="preserve"> дэх хэсгийн дугаарыг </w:t>
      </w:r>
      <w:r w:rsidRPr="00470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“</w:t>
      </w:r>
      <w:r>
        <w:rPr>
          <w:rFonts w:ascii="Arial" w:hAnsi="Arial" w:cs="Arial"/>
          <w:sz w:val="24"/>
          <w:szCs w:val="24"/>
        </w:rPr>
        <w:t>12.13,12.14,12.15</w:t>
      </w:r>
      <w:r>
        <w:rPr>
          <w:rFonts w:ascii="Arial" w:hAnsi="Arial" w:cs="Arial"/>
          <w:sz w:val="24"/>
          <w:szCs w:val="24"/>
          <w:lang w:val="mn-MN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  гэж тус тус </w:t>
      </w:r>
      <w:proofErr w:type="spellStart"/>
      <w:r w:rsidRPr="004706CB">
        <w:rPr>
          <w:rFonts w:ascii="Arial" w:hAnsi="Arial" w:cs="Arial"/>
          <w:sz w:val="24"/>
          <w:szCs w:val="24"/>
        </w:rPr>
        <w:t>өөрчилсүгэй</w:t>
      </w:r>
      <w:proofErr w:type="spellEnd"/>
      <w:r w:rsidRPr="004706CB">
        <w:rPr>
          <w:rFonts w:ascii="Arial" w:hAnsi="Arial" w:cs="Arial"/>
          <w:sz w:val="24"/>
          <w:szCs w:val="24"/>
        </w:rPr>
        <w:t>.</w:t>
      </w:r>
    </w:p>
    <w:p w:rsidR="009D0CE2" w:rsidRPr="00AA1BDC" w:rsidRDefault="009D0CE2" w:rsidP="009D0CE2">
      <w:pPr>
        <w:pStyle w:val="NormalWeb"/>
        <w:spacing w:before="0" w:before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10EB8">
        <w:rPr>
          <w:rFonts w:ascii="Arial" w:hAnsi="Arial" w:cs="Arial"/>
          <w:b/>
          <w:color w:val="000000" w:themeColor="text1"/>
          <w:lang w:val="mn-MN"/>
        </w:rPr>
        <w:t>4 дүгээр зүйл.</w:t>
      </w:r>
      <w:r w:rsidRPr="00AA1BDC">
        <w:rPr>
          <w:rFonts w:ascii="Arial" w:hAnsi="Arial" w:cs="Arial"/>
          <w:color w:val="000000" w:themeColor="text1"/>
          <w:lang w:val="mn-MN"/>
        </w:rPr>
        <w:t>Энэ хуулийг Хуульчийн эрх зүйн байдлын тухай хууль</w:t>
      </w:r>
      <w:r>
        <w:rPr>
          <w:rFonts w:ascii="Arial" w:hAnsi="Arial" w:cs="Arial"/>
          <w:color w:val="000000" w:themeColor="text1"/>
          <w:lang w:val="mn-MN"/>
        </w:rPr>
        <w:t>д нэмэлт, өөрчлөлт оруулах тухай хууль</w:t>
      </w:r>
      <w:r w:rsidRPr="00AA1BDC">
        <w:rPr>
          <w:rFonts w:ascii="Arial" w:hAnsi="Arial" w:cs="Arial"/>
          <w:color w:val="000000" w:themeColor="text1"/>
          <w:lang w:val="mn-MN"/>
        </w:rPr>
        <w:t xml:space="preserve"> хүчин төгөлдөр болсон өдрөөс эхлэн дагаж мөрдөнө. </w:t>
      </w:r>
    </w:p>
    <w:p w:rsidR="009D0CE2" w:rsidRPr="00AA1BDC" w:rsidRDefault="009D0CE2" w:rsidP="009D0CE2">
      <w:pPr>
        <w:pStyle w:val="NormalWeb"/>
        <w:spacing w:before="0" w:before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9D0CE2" w:rsidRPr="00AA1BDC" w:rsidRDefault="009D0CE2" w:rsidP="009D0CE2">
      <w:pPr>
        <w:pStyle w:val="NormalWeb"/>
        <w:spacing w:before="0" w:before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9D0CE2" w:rsidRPr="004706CB" w:rsidRDefault="009D0CE2" w:rsidP="009D0CE2">
      <w:pPr>
        <w:pStyle w:val="NormalWeb"/>
        <w:ind w:firstLine="720"/>
        <w:jc w:val="center"/>
        <w:rPr>
          <w:rFonts w:ascii="Arial" w:hAnsi="Arial" w:cs="Arial"/>
          <w:i/>
          <w:color w:val="000000" w:themeColor="text1"/>
          <w:lang w:val="mn-MN"/>
        </w:rPr>
      </w:pPr>
      <w:r w:rsidRPr="004706CB">
        <w:rPr>
          <w:rStyle w:val="Emphasis"/>
          <w:rFonts w:ascii="Arial" w:eastAsia="Calibri" w:hAnsi="Arial" w:cs="Arial"/>
          <w:color w:val="000000" w:themeColor="text1"/>
          <w:lang w:val="mn-MN"/>
        </w:rPr>
        <w:t>Гарын үсэг</w:t>
      </w:r>
    </w:p>
    <w:p w:rsidR="009D0CE2" w:rsidRPr="001160CC" w:rsidRDefault="009D0CE2" w:rsidP="009D0CE2">
      <w:pPr>
        <w:ind w:firstLine="720"/>
        <w:jc w:val="both"/>
        <w:rPr>
          <w:rFonts w:ascii="Arial" w:hAnsi="Arial" w:cs="Arial"/>
          <w:lang w:val="mn-MN"/>
        </w:rPr>
      </w:pPr>
    </w:p>
    <w:p w:rsidR="009D0CE2" w:rsidRDefault="009D0CE2" w:rsidP="009D0CE2">
      <w:pPr>
        <w:spacing w:before="100" w:beforeAutospacing="1"/>
        <w:contextualSpacing/>
        <w:rPr>
          <w:rFonts w:ascii="Arial" w:hAnsi="Arial" w:cs="Arial"/>
          <w:b/>
          <w:bCs/>
        </w:rPr>
      </w:pPr>
    </w:p>
    <w:p w:rsidR="009D0CE2" w:rsidRDefault="009D0CE2" w:rsidP="009D0CE2">
      <w:pPr>
        <w:spacing w:before="100" w:beforeAutospacing="1"/>
        <w:contextualSpacing/>
        <w:rPr>
          <w:rFonts w:ascii="Arial" w:hAnsi="Arial" w:cs="Arial"/>
          <w:b/>
          <w:bCs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lang w:val="mn-MN"/>
        </w:rPr>
      </w:pPr>
    </w:p>
    <w:p w:rsidR="009D0CE2" w:rsidRPr="009C5105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:rsidR="009D0CE2" w:rsidRPr="009C5105" w:rsidRDefault="009D0CE2" w:rsidP="009D0CE2">
      <w:pPr>
        <w:spacing w:after="100" w:afterAutospacing="1"/>
        <w:contextualSpacing/>
        <w:jc w:val="right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Төсөл</w:t>
      </w:r>
    </w:p>
    <w:p w:rsidR="009D0CE2" w:rsidRPr="009C5105" w:rsidRDefault="009D0CE2" w:rsidP="009D0CE2">
      <w:pPr>
        <w:spacing w:after="100" w:afterAutospacing="1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C5105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МОНГОЛ УЛСЫН ХУУЛЬ</w:t>
      </w:r>
    </w:p>
    <w:p w:rsidR="009D0CE2" w:rsidRPr="009C5105" w:rsidRDefault="009D0CE2" w:rsidP="009D0CE2">
      <w:pPr>
        <w:spacing w:after="100" w:afterAutospacing="1"/>
        <w:contextualSpacing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D0CE2" w:rsidRPr="009C5105" w:rsidRDefault="009D0CE2" w:rsidP="009D0CE2">
      <w:pPr>
        <w:spacing w:after="100" w:afterAutospacing="1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Pr="009C5105">
        <w:rPr>
          <w:rFonts w:ascii="Arial" w:hAnsi="Arial" w:cs="Arial"/>
          <w:color w:val="000000" w:themeColor="text1"/>
          <w:sz w:val="24"/>
          <w:szCs w:val="24"/>
        </w:rPr>
        <w:t>6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...дугаар 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</w:t>
      </w:r>
      <w:r w:rsidRPr="009C510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>Улаанбаатар</w:t>
      </w:r>
    </w:p>
    <w:p w:rsidR="009D0CE2" w:rsidRPr="009C5105" w:rsidRDefault="009D0CE2" w:rsidP="009D0CE2">
      <w:pPr>
        <w:spacing w:after="100" w:afterAutospacing="1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...-ны өдөр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     </w:t>
      </w:r>
      <w:r w:rsidRPr="009C5105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>хот</w:t>
      </w:r>
    </w:p>
    <w:p w:rsidR="009D0CE2" w:rsidRPr="009C5105" w:rsidRDefault="009D0CE2" w:rsidP="009D0CE2">
      <w:pPr>
        <w:spacing w:after="100" w:afterAutospacing="1"/>
        <w:ind w:left="720" w:firstLine="720"/>
        <w:contextualSpacing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D0CE2" w:rsidRPr="009C5105" w:rsidRDefault="009D0CE2" w:rsidP="009D0CE2">
      <w:pPr>
        <w:spacing w:after="100" w:afterAutospacing="1"/>
        <w:contextualSpacing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D0CE2" w:rsidRPr="009C5105" w:rsidRDefault="009D0CE2" w:rsidP="009D0CE2">
      <w:pPr>
        <w:spacing w:after="100" w:afterAutospacing="1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ХУУЛЬЧИЙН ЭРХ ЗҮЙН БАЙДЛЫН ТУХАЙ</w:t>
      </w:r>
    </w:p>
    <w:p w:rsidR="009D0CE2" w:rsidRPr="009C5105" w:rsidRDefault="009D0CE2" w:rsidP="009D0CE2">
      <w:pPr>
        <w:spacing w:after="100" w:afterAutospacing="1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ХУУЛИЙГ ДАГАЖ МӨРДӨХ ЖУРМЫН ТУХАЙ </w:t>
      </w:r>
    </w:p>
    <w:p w:rsidR="009D0CE2" w:rsidRPr="009C5105" w:rsidRDefault="009D0CE2" w:rsidP="009D0CE2">
      <w:pPr>
        <w:spacing w:after="100" w:afterAutospacing="1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ХУУЛЬД НЭМЭЛТ ОРУУЛАХ ТУХАЙ</w:t>
      </w:r>
    </w:p>
    <w:p w:rsidR="009D0CE2" w:rsidRPr="009C5105" w:rsidRDefault="009D0CE2" w:rsidP="009D0CE2">
      <w:pPr>
        <w:spacing w:after="100" w:afterAutospacing="1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9D0CE2" w:rsidRPr="009C5105" w:rsidRDefault="009D0CE2" w:rsidP="009D0CE2">
      <w:pPr>
        <w:pStyle w:val="NormalWeb"/>
        <w:spacing w:before="0" w:before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C5105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9C5105">
        <w:rPr>
          <w:rFonts w:ascii="Arial" w:hAnsi="Arial" w:cs="Arial"/>
          <w:color w:val="000000" w:themeColor="text1"/>
          <w:lang w:val="mn-MN"/>
        </w:rPr>
        <w:t>2013 оны 2 дугаар сарын 08-ны өдөр баталсан Хуульчийн эрх зүйн байдлын тухай хуулийг дагаж мөрдөх журмын тухай хуулийн 4 дүгээр зүйлд доор дурдсан агуулгатай 4.7 дахь хэсэг нэмсүгэй:</w:t>
      </w:r>
    </w:p>
    <w:p w:rsidR="009D0CE2" w:rsidRPr="009C5105" w:rsidRDefault="009D0CE2" w:rsidP="009D0CE2">
      <w:pPr>
        <w:spacing w:after="100" w:afterAutospacing="1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C510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“4.7.2026 оны ... дугаар сарын ...-ны өдөр баталсан Хуульчийн эрх зүйн байдлын тухай хуулийн 2 дугаар зүйлийн 57.1 дэх хэсэг нь хууль хүчин төгөлдөр болохоос өмнө элсэн суралцагчид хамаарахгүй бөгөөд хууль хүчин төгөлдөр болсны дараах хичээлийн жилээс эхлэн үйлчилнэ.”   </w:t>
      </w:r>
    </w:p>
    <w:p w:rsidR="009D0CE2" w:rsidRPr="00AA1BDC" w:rsidRDefault="009D0CE2" w:rsidP="009D0CE2">
      <w:pPr>
        <w:pStyle w:val="NormalWeb"/>
        <w:spacing w:before="0" w:before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9C5105">
        <w:rPr>
          <w:rFonts w:ascii="Arial" w:hAnsi="Arial" w:cs="Arial"/>
          <w:color w:val="000000" w:themeColor="text1"/>
          <w:lang w:val="mn-MN"/>
        </w:rPr>
        <w:tab/>
      </w:r>
      <w:r w:rsidRPr="009C5105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9C5105">
        <w:rPr>
          <w:rFonts w:ascii="Arial" w:hAnsi="Arial" w:cs="Arial"/>
          <w:color w:val="000000" w:themeColor="text1"/>
          <w:lang w:val="mn-MN"/>
        </w:rPr>
        <w:t>Энэ хуулийг Хуульчийн эрх зүйн байдлын тухай хуульд</w:t>
      </w:r>
      <w:r>
        <w:rPr>
          <w:rFonts w:ascii="Arial" w:hAnsi="Arial" w:cs="Arial"/>
          <w:color w:val="000000" w:themeColor="text1"/>
          <w:lang w:val="mn-MN"/>
        </w:rPr>
        <w:t xml:space="preserve"> нэмэлт, өөрчлөлт оруулах тухай хууль</w:t>
      </w:r>
      <w:r w:rsidRPr="00AA1BDC">
        <w:rPr>
          <w:rFonts w:ascii="Arial" w:hAnsi="Arial" w:cs="Arial"/>
          <w:color w:val="000000" w:themeColor="text1"/>
          <w:lang w:val="mn-MN"/>
        </w:rPr>
        <w:t xml:space="preserve"> хүчин төгөлдөр болсон өдрөөс эхлэн дагаж мөрдөнө. </w:t>
      </w:r>
    </w:p>
    <w:p w:rsidR="009D0CE2" w:rsidRPr="00AA1BDC" w:rsidRDefault="009D0CE2" w:rsidP="009D0CE2">
      <w:pPr>
        <w:pStyle w:val="NormalWeb"/>
        <w:spacing w:before="0" w:before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9D0CE2" w:rsidRPr="00AA1BDC" w:rsidRDefault="009D0CE2" w:rsidP="009D0CE2">
      <w:pPr>
        <w:pStyle w:val="NormalWeb"/>
        <w:spacing w:before="0" w:before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9D0CE2" w:rsidRPr="00AA1BDC" w:rsidRDefault="009D0CE2" w:rsidP="009D0CE2">
      <w:pPr>
        <w:pStyle w:val="NormalWeb"/>
        <w:spacing w:before="0" w:beforeAutospacing="0"/>
        <w:contextualSpacing/>
        <w:rPr>
          <w:rFonts w:ascii="Arial" w:hAnsi="Arial" w:cs="Arial"/>
          <w:color w:val="000000" w:themeColor="text1"/>
          <w:lang w:val="mn-MN"/>
        </w:rPr>
      </w:pPr>
    </w:p>
    <w:p w:rsidR="009D0CE2" w:rsidRPr="00AA1BDC" w:rsidRDefault="009D0CE2" w:rsidP="009D0CE2">
      <w:pPr>
        <w:pStyle w:val="NormalWeb"/>
        <w:spacing w:before="0" w:beforeAutospacing="0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AA1BDC">
        <w:rPr>
          <w:rFonts w:ascii="Arial" w:hAnsi="Arial" w:cs="Arial"/>
          <w:color w:val="000000" w:themeColor="text1"/>
          <w:lang w:val="mn-MN"/>
        </w:rPr>
        <w:t>Гарын үсэг</w:t>
      </w:r>
    </w:p>
    <w:p w:rsidR="009D0CE2" w:rsidRPr="000D386D" w:rsidRDefault="009D0CE2" w:rsidP="009D0CE2">
      <w:pPr>
        <w:pStyle w:val="NormalWeb"/>
        <w:spacing w:before="0" w:before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9D0CE2" w:rsidRPr="00AA1BDC" w:rsidRDefault="009D0CE2" w:rsidP="009D0CE2">
      <w:pPr>
        <w:pStyle w:val="NormalWeb"/>
        <w:spacing w:before="0" w:beforeAutospacing="0"/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:rsidR="009D0CE2" w:rsidRDefault="009D0CE2" w:rsidP="009D0CE2">
      <w:pPr>
        <w:pStyle w:val="NormalWeb"/>
        <w:ind w:firstLine="720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:rsidR="00B435B3" w:rsidRDefault="00B435B3"/>
    <w:sectPr w:rsidR="00B43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E2"/>
    <w:rsid w:val="003E6615"/>
    <w:rsid w:val="00950B97"/>
    <w:rsid w:val="009D0CE2"/>
    <w:rsid w:val="00B435B3"/>
    <w:rsid w:val="00BE46EB"/>
    <w:rsid w:val="00D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0817BF8-B05F-E746-90B6-E06BE32A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E2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9D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0CE2"/>
    <w:rPr>
      <w:i/>
      <w:iCs/>
    </w:rPr>
  </w:style>
  <w:style w:type="character" w:customStyle="1" w:styleId="NormalWebChar">
    <w:name w:val="Normal (Web) Char"/>
    <w:link w:val="NormalWeb"/>
    <w:uiPriority w:val="99"/>
    <w:locked/>
    <w:rsid w:val="009D0CE2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2026-04-10T06:24:00Z</dcterms:created>
  <dcterms:modified xsi:type="dcterms:W3CDTF">2026-04-10T06:25:00Z</dcterms:modified>
</cp:coreProperties>
</file>