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21C41"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b/>
          <w:bCs/>
          <w:noProof/>
          <w:szCs w:val="24"/>
          <w:lang w:val="mn-MN"/>
        </w:rPr>
        <w:drawing>
          <wp:anchor distT="0" distB="0" distL="114300" distR="114300" simplePos="0" relativeHeight="251659264" behindDoc="1" locked="0" layoutInCell="1" allowOverlap="1" wp14:anchorId="41B4E3BA" wp14:editId="53913F18">
            <wp:simplePos x="0" y="0"/>
            <wp:positionH relativeFrom="margin">
              <wp:posOffset>6350</wp:posOffset>
            </wp:positionH>
            <wp:positionV relativeFrom="paragraph">
              <wp:posOffset>3810</wp:posOffset>
            </wp:positionV>
            <wp:extent cx="5760085" cy="4324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atGPT Image Feb 23, 2026, 12_54_08 PM.png"/>
                    <pic:cNvPicPr/>
                  </pic:nvPicPr>
                  <pic:blipFill rotWithShape="1">
                    <a:blip r:embed="rId8">
                      <a:extLst>
                        <a:ext uri="{28A0092B-C50C-407E-A947-70E740481C1C}">
                          <a14:useLocalDpi xmlns:a14="http://schemas.microsoft.com/office/drawing/2010/main" val="0"/>
                        </a:ext>
                      </a:extLst>
                    </a:blip>
                    <a:srcRect t="30719" b="19233"/>
                    <a:stretch/>
                  </pic:blipFill>
                  <pic:spPr bwMode="auto">
                    <a:xfrm>
                      <a:off x="0" y="0"/>
                      <a:ext cx="5760085" cy="4324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C32C9F8" w14:textId="77777777" w:rsidR="005C0E55" w:rsidRPr="00F6454D" w:rsidRDefault="005C0E55" w:rsidP="005C0E55">
      <w:pPr>
        <w:spacing w:line="276" w:lineRule="auto"/>
        <w:contextualSpacing/>
        <w:jc w:val="both"/>
        <w:rPr>
          <w:rFonts w:ascii="Arial" w:hAnsi="Arial" w:cs="Arial"/>
          <w:szCs w:val="24"/>
          <w:lang w:val="mn-MN"/>
        </w:rPr>
      </w:pPr>
    </w:p>
    <w:p w14:paraId="437B1FB6" w14:textId="77777777" w:rsidR="005C0E55" w:rsidRPr="00F6454D" w:rsidRDefault="005C0E55" w:rsidP="005C0E55">
      <w:pPr>
        <w:spacing w:line="276" w:lineRule="auto"/>
        <w:contextualSpacing/>
        <w:jc w:val="both"/>
        <w:rPr>
          <w:rFonts w:ascii="Arial" w:hAnsi="Arial" w:cs="Arial"/>
          <w:szCs w:val="24"/>
          <w:lang w:val="mn-MN"/>
        </w:rPr>
      </w:pPr>
    </w:p>
    <w:p w14:paraId="657C6341" w14:textId="77777777" w:rsidR="005C0E55" w:rsidRPr="00F6454D" w:rsidRDefault="005C0E55" w:rsidP="005C0E55">
      <w:pPr>
        <w:spacing w:line="276" w:lineRule="auto"/>
        <w:contextualSpacing/>
        <w:jc w:val="both"/>
        <w:rPr>
          <w:rFonts w:ascii="Arial" w:hAnsi="Arial" w:cs="Arial"/>
          <w:szCs w:val="24"/>
          <w:lang w:val="mn-MN"/>
        </w:rPr>
      </w:pPr>
    </w:p>
    <w:p w14:paraId="6FF8A228" w14:textId="77777777" w:rsidR="005C0E55" w:rsidRPr="00F6454D" w:rsidRDefault="005C0E55" w:rsidP="005C0E55">
      <w:pPr>
        <w:spacing w:line="276" w:lineRule="auto"/>
        <w:contextualSpacing/>
        <w:jc w:val="both"/>
        <w:rPr>
          <w:rFonts w:ascii="Arial" w:hAnsi="Arial" w:cs="Arial"/>
          <w:szCs w:val="24"/>
          <w:lang w:val="mn-MN"/>
        </w:rPr>
      </w:pPr>
    </w:p>
    <w:p w14:paraId="3071C7CD" w14:textId="77777777" w:rsidR="005C0E55" w:rsidRPr="00F6454D" w:rsidRDefault="005C0E55" w:rsidP="005C0E55">
      <w:pPr>
        <w:spacing w:line="276" w:lineRule="auto"/>
        <w:contextualSpacing/>
        <w:jc w:val="both"/>
        <w:rPr>
          <w:rFonts w:ascii="Arial" w:hAnsi="Arial" w:cs="Arial"/>
          <w:szCs w:val="24"/>
          <w:lang w:val="mn-MN"/>
        </w:rPr>
      </w:pPr>
    </w:p>
    <w:p w14:paraId="180AD346" w14:textId="77777777" w:rsidR="005C0E55" w:rsidRPr="00F6454D" w:rsidRDefault="005C0E55" w:rsidP="005C0E55">
      <w:pPr>
        <w:spacing w:line="276" w:lineRule="auto"/>
        <w:contextualSpacing/>
        <w:jc w:val="both"/>
        <w:rPr>
          <w:rFonts w:ascii="Arial" w:hAnsi="Arial" w:cs="Arial"/>
          <w:szCs w:val="24"/>
          <w:lang w:val="mn-MN"/>
        </w:rPr>
      </w:pPr>
    </w:p>
    <w:p w14:paraId="7257E910" w14:textId="77777777" w:rsidR="005C0E55" w:rsidRPr="00F6454D" w:rsidRDefault="005C0E55" w:rsidP="005C0E55">
      <w:pPr>
        <w:spacing w:line="276" w:lineRule="auto"/>
        <w:contextualSpacing/>
        <w:jc w:val="both"/>
        <w:rPr>
          <w:rFonts w:ascii="Arial" w:hAnsi="Arial" w:cs="Arial"/>
          <w:b/>
          <w:bCs/>
          <w:szCs w:val="24"/>
          <w:lang w:val="mn-MN"/>
        </w:rPr>
      </w:pPr>
    </w:p>
    <w:p w14:paraId="3194F357" w14:textId="77777777" w:rsidR="005C0E55" w:rsidRPr="00F6454D" w:rsidRDefault="005C0E55" w:rsidP="005C0E55">
      <w:pPr>
        <w:spacing w:line="276" w:lineRule="auto"/>
        <w:contextualSpacing/>
        <w:jc w:val="center"/>
        <w:rPr>
          <w:rFonts w:ascii="Arial" w:hAnsi="Arial" w:cs="Arial"/>
          <w:b/>
          <w:bCs/>
          <w:szCs w:val="24"/>
          <w:lang w:val="mn-MN"/>
        </w:rPr>
      </w:pPr>
    </w:p>
    <w:p w14:paraId="3A481311" w14:textId="77777777" w:rsidR="005C0E55" w:rsidRPr="00F6454D" w:rsidRDefault="005C0E55" w:rsidP="005C0E55">
      <w:pPr>
        <w:spacing w:line="276" w:lineRule="auto"/>
        <w:contextualSpacing/>
        <w:jc w:val="center"/>
        <w:rPr>
          <w:rFonts w:ascii="Arial" w:hAnsi="Arial" w:cs="Arial"/>
          <w:b/>
          <w:bCs/>
          <w:szCs w:val="24"/>
          <w:lang w:val="mn-MN"/>
        </w:rPr>
      </w:pPr>
    </w:p>
    <w:p w14:paraId="7A10516F" w14:textId="77777777" w:rsidR="005C0E55" w:rsidRPr="00F6454D" w:rsidRDefault="005C0E55" w:rsidP="005C0E55">
      <w:pPr>
        <w:spacing w:line="276" w:lineRule="auto"/>
        <w:contextualSpacing/>
        <w:jc w:val="center"/>
        <w:rPr>
          <w:rFonts w:ascii="Arial" w:hAnsi="Arial" w:cs="Arial"/>
          <w:b/>
          <w:bCs/>
          <w:szCs w:val="24"/>
          <w:lang w:val="mn-MN"/>
        </w:rPr>
      </w:pPr>
    </w:p>
    <w:p w14:paraId="5F10FC7E" w14:textId="77777777" w:rsidR="005C0E55" w:rsidRPr="00F6454D" w:rsidRDefault="005C0E55" w:rsidP="005C0E55">
      <w:pPr>
        <w:spacing w:line="276" w:lineRule="auto"/>
        <w:contextualSpacing/>
        <w:jc w:val="center"/>
        <w:rPr>
          <w:rFonts w:ascii="Arial" w:hAnsi="Arial" w:cs="Arial"/>
          <w:b/>
          <w:bCs/>
          <w:szCs w:val="24"/>
          <w:lang w:val="mn-MN"/>
        </w:rPr>
      </w:pPr>
    </w:p>
    <w:p w14:paraId="29B360A4" w14:textId="77777777" w:rsidR="005C0E55" w:rsidRPr="00F6454D" w:rsidRDefault="005C0E55" w:rsidP="005C0E55">
      <w:pPr>
        <w:spacing w:line="276" w:lineRule="auto"/>
        <w:contextualSpacing/>
        <w:jc w:val="center"/>
        <w:rPr>
          <w:rFonts w:ascii="Arial" w:hAnsi="Arial" w:cs="Arial"/>
          <w:b/>
          <w:bCs/>
          <w:szCs w:val="24"/>
          <w:lang w:val="mn-MN"/>
        </w:rPr>
      </w:pPr>
    </w:p>
    <w:p w14:paraId="618F3883" w14:textId="77777777" w:rsidR="005C0E55" w:rsidRPr="00F6454D" w:rsidRDefault="005C0E55" w:rsidP="005C0E55">
      <w:pPr>
        <w:spacing w:line="276" w:lineRule="auto"/>
        <w:contextualSpacing/>
        <w:jc w:val="center"/>
        <w:rPr>
          <w:rFonts w:ascii="Arial" w:hAnsi="Arial" w:cs="Arial"/>
          <w:b/>
          <w:bCs/>
          <w:szCs w:val="24"/>
          <w:lang w:val="mn-MN"/>
        </w:rPr>
      </w:pPr>
    </w:p>
    <w:p w14:paraId="4E77D7A0" w14:textId="77777777" w:rsidR="005C0E55" w:rsidRPr="00F6454D" w:rsidRDefault="005C0E55" w:rsidP="005C0E55">
      <w:pPr>
        <w:spacing w:line="276" w:lineRule="auto"/>
        <w:contextualSpacing/>
        <w:jc w:val="center"/>
        <w:rPr>
          <w:rFonts w:ascii="Arial" w:hAnsi="Arial" w:cs="Arial"/>
          <w:b/>
          <w:bCs/>
          <w:szCs w:val="24"/>
          <w:lang w:val="mn-MN"/>
        </w:rPr>
      </w:pPr>
    </w:p>
    <w:p w14:paraId="6697ED63" w14:textId="77777777" w:rsidR="005C0E55" w:rsidRPr="00F6454D" w:rsidRDefault="005C0E55" w:rsidP="005C0E55">
      <w:pPr>
        <w:spacing w:line="276" w:lineRule="auto"/>
        <w:contextualSpacing/>
        <w:jc w:val="center"/>
        <w:rPr>
          <w:rFonts w:ascii="Arial" w:hAnsi="Arial" w:cs="Arial"/>
          <w:b/>
          <w:bCs/>
          <w:szCs w:val="24"/>
          <w:lang w:val="mn-MN"/>
        </w:rPr>
      </w:pPr>
    </w:p>
    <w:p w14:paraId="6D7AEE1E" w14:textId="77777777" w:rsidR="005C0E55" w:rsidRPr="00F6454D" w:rsidRDefault="005C0E55" w:rsidP="005C0E55">
      <w:pPr>
        <w:spacing w:line="276" w:lineRule="auto"/>
        <w:contextualSpacing/>
        <w:jc w:val="center"/>
        <w:rPr>
          <w:rFonts w:ascii="Arial" w:hAnsi="Arial" w:cs="Arial"/>
          <w:b/>
          <w:bCs/>
          <w:szCs w:val="24"/>
          <w:lang w:val="mn-MN"/>
        </w:rPr>
      </w:pPr>
    </w:p>
    <w:p w14:paraId="200DD81B" w14:textId="77777777" w:rsidR="005C0E55" w:rsidRPr="00F6454D" w:rsidRDefault="005C0E55" w:rsidP="005C0E55">
      <w:pPr>
        <w:spacing w:line="276" w:lineRule="auto"/>
        <w:contextualSpacing/>
        <w:jc w:val="both"/>
        <w:rPr>
          <w:rFonts w:ascii="Arial" w:hAnsi="Arial" w:cs="Arial"/>
          <w:szCs w:val="24"/>
          <w:lang w:val="mn-MN" w:bidi="mn-Mong-CN"/>
        </w:rPr>
      </w:pPr>
    </w:p>
    <w:p w14:paraId="4E284A2A" w14:textId="77777777" w:rsidR="005C0E55" w:rsidRPr="00F6454D" w:rsidRDefault="005C0E55" w:rsidP="005C0E55">
      <w:pPr>
        <w:spacing w:line="276" w:lineRule="auto"/>
        <w:contextualSpacing/>
        <w:jc w:val="both"/>
        <w:rPr>
          <w:rFonts w:ascii="Arial" w:hAnsi="Arial" w:cs="Arial"/>
          <w:szCs w:val="24"/>
          <w:lang w:val="mn-MN" w:bidi="mn-Mong-CN"/>
        </w:rPr>
      </w:pPr>
    </w:p>
    <w:p w14:paraId="7AB21C99" w14:textId="77777777" w:rsidR="005C0E55" w:rsidRPr="00F6454D" w:rsidRDefault="005C0E55" w:rsidP="005C0E55">
      <w:pPr>
        <w:spacing w:line="276" w:lineRule="auto"/>
        <w:contextualSpacing/>
        <w:jc w:val="both"/>
        <w:rPr>
          <w:rFonts w:ascii="Arial" w:hAnsi="Arial" w:cs="Arial"/>
          <w:szCs w:val="24"/>
          <w:lang w:val="mn-MN" w:bidi="mn-Mong-CN"/>
        </w:rPr>
      </w:pPr>
    </w:p>
    <w:p w14:paraId="1E0016A4" w14:textId="77777777" w:rsidR="005C0E55" w:rsidRPr="00F6454D" w:rsidRDefault="005C0E55" w:rsidP="005C0E55">
      <w:pPr>
        <w:spacing w:line="276" w:lineRule="auto"/>
        <w:contextualSpacing/>
        <w:jc w:val="both"/>
        <w:rPr>
          <w:rFonts w:ascii="Arial" w:hAnsi="Arial" w:cs="Arial"/>
          <w:szCs w:val="24"/>
          <w:lang w:val="mn-MN" w:bidi="mn-Mong-CN"/>
        </w:rPr>
      </w:pPr>
    </w:p>
    <w:p w14:paraId="04714B34" w14:textId="77777777" w:rsidR="005C0E55" w:rsidRPr="00F6454D" w:rsidRDefault="005C0E55" w:rsidP="005C0E55">
      <w:pPr>
        <w:spacing w:line="276" w:lineRule="auto"/>
        <w:contextualSpacing/>
        <w:jc w:val="both"/>
        <w:rPr>
          <w:rFonts w:ascii="Arial" w:hAnsi="Arial" w:cs="Arial"/>
          <w:szCs w:val="24"/>
          <w:lang w:val="mn-MN" w:bidi="mn-Mong-CN"/>
        </w:rPr>
      </w:pPr>
    </w:p>
    <w:p w14:paraId="095EB128" w14:textId="77777777" w:rsidR="005C0E55" w:rsidRPr="00F6454D" w:rsidRDefault="005C0E55" w:rsidP="005C0E55">
      <w:pPr>
        <w:spacing w:line="276" w:lineRule="auto"/>
        <w:contextualSpacing/>
        <w:jc w:val="center"/>
        <w:rPr>
          <w:rFonts w:ascii="Arial" w:hAnsi="Arial" w:cs="Arial"/>
          <w:b/>
          <w:bCs/>
          <w:szCs w:val="24"/>
          <w:lang w:val="mn-MN"/>
        </w:rPr>
      </w:pPr>
      <w:r w:rsidRPr="00F6454D">
        <w:rPr>
          <w:rFonts w:ascii="Arial" w:hAnsi="Arial" w:cs="Arial"/>
          <w:b/>
          <w:bCs/>
          <w:szCs w:val="24"/>
          <w:lang w:val="mn-MN"/>
        </w:rPr>
        <w:t xml:space="preserve">ЭМ, ЭМНЭЛГИЙН ХЭРЭГСЛИЙН ТУХАЙ ХУУЛЬД </w:t>
      </w:r>
    </w:p>
    <w:p w14:paraId="10BF05E7" w14:textId="77777777" w:rsidR="005C0E55" w:rsidRPr="00F6454D" w:rsidRDefault="005C0E55" w:rsidP="005C0E55">
      <w:pPr>
        <w:spacing w:line="276" w:lineRule="auto"/>
        <w:contextualSpacing/>
        <w:jc w:val="center"/>
        <w:rPr>
          <w:rFonts w:ascii="Arial" w:hAnsi="Arial" w:cs="Arial"/>
          <w:b/>
          <w:bCs/>
          <w:szCs w:val="24"/>
          <w:lang w:val="mn-MN"/>
        </w:rPr>
      </w:pPr>
      <w:r w:rsidRPr="00F6454D">
        <w:rPr>
          <w:rFonts w:ascii="Arial" w:hAnsi="Arial" w:cs="Arial"/>
          <w:b/>
          <w:bCs/>
          <w:szCs w:val="24"/>
          <w:lang w:val="mn-MN"/>
        </w:rPr>
        <w:t>НЭМЭЛТ, ӨӨРЧЛӨЛТ ОРУУЛАХ ХЭРЭГЦЭЭ ШААРДЛАГЫГ</w:t>
      </w:r>
    </w:p>
    <w:p w14:paraId="0B523581" w14:textId="77777777" w:rsidR="005C0E55" w:rsidRPr="00F6454D" w:rsidRDefault="005C0E55" w:rsidP="005C0E55">
      <w:pPr>
        <w:spacing w:line="276" w:lineRule="auto"/>
        <w:contextualSpacing/>
        <w:jc w:val="center"/>
        <w:rPr>
          <w:rFonts w:ascii="Arial" w:hAnsi="Arial" w:cs="Arial"/>
          <w:b/>
          <w:bCs/>
          <w:szCs w:val="24"/>
          <w:lang w:val="mn-MN"/>
        </w:rPr>
      </w:pPr>
      <w:r w:rsidRPr="00F6454D">
        <w:rPr>
          <w:rFonts w:ascii="Arial" w:hAnsi="Arial" w:cs="Arial"/>
          <w:b/>
          <w:bCs/>
          <w:szCs w:val="24"/>
          <w:lang w:val="mn-MN"/>
        </w:rPr>
        <w:t xml:space="preserve"> УРЬДЧИЛАН ТАНДАН СУДАЛСАН ТАЙЛАН</w:t>
      </w:r>
    </w:p>
    <w:p w14:paraId="6BDB4D62" w14:textId="77777777" w:rsidR="005C0E55" w:rsidRPr="00F6454D" w:rsidRDefault="005C0E55" w:rsidP="005C0E55">
      <w:pPr>
        <w:spacing w:line="276" w:lineRule="auto"/>
        <w:contextualSpacing/>
        <w:jc w:val="both"/>
        <w:rPr>
          <w:rFonts w:ascii="Arial" w:hAnsi="Arial" w:cs="Arial"/>
          <w:szCs w:val="24"/>
          <w:lang w:val="mn-MN" w:bidi="mn-Mong-CN"/>
        </w:rPr>
      </w:pPr>
    </w:p>
    <w:p w14:paraId="5734994B" w14:textId="77777777" w:rsidR="005C0E55" w:rsidRPr="00F6454D" w:rsidRDefault="005C0E55" w:rsidP="005C0E55">
      <w:pPr>
        <w:spacing w:line="276" w:lineRule="auto"/>
        <w:contextualSpacing/>
        <w:jc w:val="both"/>
        <w:rPr>
          <w:rFonts w:ascii="Arial" w:hAnsi="Arial" w:cs="Arial"/>
          <w:szCs w:val="24"/>
          <w:lang w:val="mn-MN" w:bidi="mn-Mong-CN"/>
        </w:rPr>
      </w:pPr>
    </w:p>
    <w:p w14:paraId="17E9B348" w14:textId="77777777" w:rsidR="005C0E55" w:rsidRPr="00F6454D" w:rsidRDefault="005C0E55" w:rsidP="005C0E55">
      <w:pPr>
        <w:spacing w:line="276" w:lineRule="auto"/>
        <w:contextualSpacing/>
        <w:jc w:val="both"/>
        <w:rPr>
          <w:rFonts w:ascii="Arial" w:hAnsi="Arial" w:cs="Arial"/>
          <w:szCs w:val="24"/>
          <w:lang w:val="mn-MN" w:bidi="mn-Mong-CN"/>
        </w:rPr>
      </w:pPr>
    </w:p>
    <w:p w14:paraId="7B8F8D3F"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УИХ-ын гишүүн Д.Ганмаагийн ажлын алба</w:t>
      </w:r>
    </w:p>
    <w:p w14:paraId="4D2A9DA7" w14:textId="77777777" w:rsidR="005C0E55" w:rsidRPr="00F6454D" w:rsidRDefault="005C0E55" w:rsidP="005C0E55">
      <w:pPr>
        <w:spacing w:line="276" w:lineRule="auto"/>
        <w:contextualSpacing/>
        <w:jc w:val="both"/>
        <w:rPr>
          <w:rFonts w:ascii="Arial" w:hAnsi="Arial" w:cs="Arial"/>
          <w:szCs w:val="24"/>
          <w:lang w:val="mn-MN" w:bidi="mn-Mong-CN"/>
        </w:rPr>
      </w:pPr>
    </w:p>
    <w:p w14:paraId="76EEDB91" w14:textId="77777777" w:rsidR="005C0E55" w:rsidRPr="00F6454D" w:rsidRDefault="005C0E55" w:rsidP="005C0E55">
      <w:pPr>
        <w:spacing w:line="276" w:lineRule="auto"/>
        <w:contextualSpacing/>
        <w:jc w:val="both"/>
        <w:rPr>
          <w:rFonts w:ascii="Arial" w:hAnsi="Arial" w:cs="Arial"/>
          <w:szCs w:val="24"/>
          <w:lang w:val="mn-MN" w:bidi="mn-Mong-CN"/>
        </w:rPr>
      </w:pPr>
    </w:p>
    <w:p w14:paraId="446A49F4" w14:textId="77777777" w:rsidR="005C0E55" w:rsidRPr="00F6454D" w:rsidRDefault="005C0E55" w:rsidP="005C0E55">
      <w:pPr>
        <w:spacing w:line="276" w:lineRule="auto"/>
        <w:contextualSpacing/>
        <w:jc w:val="both"/>
        <w:rPr>
          <w:rFonts w:ascii="Arial" w:hAnsi="Arial" w:cs="Arial"/>
          <w:szCs w:val="24"/>
          <w:lang w:val="mn-MN" w:bidi="mn-Mong-CN"/>
        </w:rPr>
      </w:pPr>
    </w:p>
    <w:p w14:paraId="3CA3EE48" w14:textId="77777777" w:rsidR="005C0E55" w:rsidRPr="00F6454D" w:rsidRDefault="005C0E55" w:rsidP="005C0E55">
      <w:pPr>
        <w:spacing w:line="276" w:lineRule="auto"/>
        <w:contextualSpacing/>
        <w:rPr>
          <w:rFonts w:ascii="Arial" w:hAnsi="Arial" w:cs="Arial"/>
          <w:noProof/>
          <w:lang w:val="mn-MN"/>
        </w:rPr>
      </w:pPr>
      <w:r w:rsidRPr="00F6454D">
        <w:rPr>
          <w:rFonts w:ascii="Arial" w:hAnsi="Arial" w:cs="Arial"/>
          <w:noProof/>
          <w:lang w:val="mn-MN"/>
        </w:rPr>
        <w:t xml:space="preserve">СУДАЛГААНЫ АРГАЧЛАЛ: </w:t>
      </w:r>
    </w:p>
    <w:p w14:paraId="77F9156C" w14:textId="77777777" w:rsidR="005C0E55" w:rsidRPr="00F6454D" w:rsidRDefault="005C0E55" w:rsidP="005C0E55">
      <w:pPr>
        <w:spacing w:line="276" w:lineRule="auto"/>
        <w:contextualSpacing/>
        <w:jc w:val="both"/>
        <w:rPr>
          <w:rFonts w:ascii="Arial" w:hAnsi="Arial" w:cs="Arial"/>
          <w:noProof/>
          <w:lang w:val="mn-MN"/>
        </w:rPr>
      </w:pPr>
      <w:r w:rsidRPr="00F6454D">
        <w:rPr>
          <w:rFonts w:ascii="Arial" w:hAnsi="Arial" w:cs="Arial"/>
          <w:noProof/>
          <w:lang w:val="mn-MN"/>
        </w:rPr>
        <w:t>Хууль тогтоомжийн тухай хуулийн 13 дугаар зүйл Хууль тогтоомжийн хэрэгцээ, шаардлагыг урьдчилан тандан судлах,</w:t>
      </w:r>
    </w:p>
    <w:p w14:paraId="29B7C533" w14:textId="77777777" w:rsidR="005C0E55" w:rsidRPr="00F6454D" w:rsidRDefault="005C0E55" w:rsidP="005C0E55">
      <w:pPr>
        <w:spacing w:line="276" w:lineRule="auto"/>
        <w:contextualSpacing/>
        <w:jc w:val="both"/>
        <w:rPr>
          <w:rFonts w:ascii="Arial" w:hAnsi="Arial" w:cs="Arial"/>
          <w:noProof/>
          <w:lang w:val="mn-MN"/>
        </w:rPr>
      </w:pPr>
      <w:r w:rsidRPr="00F6454D">
        <w:rPr>
          <w:rFonts w:ascii="Arial" w:hAnsi="Arial" w:cs="Arial"/>
          <w:noProof/>
          <w:lang w:val="mn-MN"/>
        </w:rPr>
        <w:t>Засгийн газрын 2016 оны 59 дүгээр тогтоолын нэгдүгээр хавсралт:  ХУУЛЬ ТОГТООМЖИЙН ХЭРЭГЦЭЭ, ШААРДЛАГЫГ УРЬДЧИЛАН ТАНДАН СУДЛАХ АРГАЧЛАЛ</w:t>
      </w:r>
    </w:p>
    <w:p w14:paraId="0A14FDD6" w14:textId="77777777" w:rsidR="005C0E55" w:rsidRPr="00F6454D" w:rsidRDefault="005C0E55" w:rsidP="005C0E55">
      <w:pPr>
        <w:spacing w:line="276" w:lineRule="auto"/>
        <w:contextualSpacing/>
        <w:jc w:val="both"/>
        <w:rPr>
          <w:rFonts w:ascii="Arial" w:hAnsi="Arial" w:cs="Arial"/>
          <w:szCs w:val="24"/>
          <w:lang w:val="mn-MN" w:bidi="mn-Mong-CN"/>
        </w:rPr>
      </w:pPr>
    </w:p>
    <w:p w14:paraId="625AB915" w14:textId="77777777" w:rsidR="005C0E55" w:rsidRPr="00F6454D" w:rsidRDefault="005C0E55" w:rsidP="005C0E55">
      <w:pPr>
        <w:spacing w:line="276" w:lineRule="auto"/>
        <w:contextualSpacing/>
        <w:jc w:val="both"/>
        <w:rPr>
          <w:rFonts w:ascii="Arial" w:hAnsi="Arial" w:cs="Arial"/>
          <w:szCs w:val="24"/>
          <w:lang w:val="mn-MN" w:bidi="mn-Mong-CN"/>
        </w:rPr>
      </w:pPr>
    </w:p>
    <w:p w14:paraId="4D7B3943" w14:textId="77777777" w:rsidR="005C0E55" w:rsidRPr="00F6454D" w:rsidRDefault="005C0E55" w:rsidP="005C0E55">
      <w:pPr>
        <w:spacing w:line="276" w:lineRule="auto"/>
        <w:contextualSpacing/>
        <w:jc w:val="both"/>
        <w:rPr>
          <w:rFonts w:ascii="Arial" w:hAnsi="Arial" w:cs="Arial"/>
          <w:szCs w:val="24"/>
          <w:lang w:val="mn-MN" w:bidi="mn-Mong-CN"/>
        </w:rPr>
      </w:pPr>
    </w:p>
    <w:p w14:paraId="0B50A8FE" w14:textId="77777777" w:rsidR="005C0E55" w:rsidRPr="00F6454D" w:rsidRDefault="005C0E55" w:rsidP="005C0E55">
      <w:pPr>
        <w:spacing w:line="276" w:lineRule="auto"/>
        <w:contextualSpacing/>
        <w:jc w:val="both"/>
        <w:rPr>
          <w:rFonts w:ascii="Arial" w:hAnsi="Arial" w:cs="Arial"/>
          <w:szCs w:val="24"/>
          <w:lang w:val="mn-MN" w:bidi="mn-Mong-CN"/>
        </w:rPr>
      </w:pPr>
    </w:p>
    <w:p w14:paraId="306FD019" w14:textId="77777777" w:rsidR="005C0E55" w:rsidRPr="00F6454D" w:rsidRDefault="005C0E55" w:rsidP="005C0E55">
      <w:pPr>
        <w:spacing w:line="276" w:lineRule="auto"/>
        <w:contextualSpacing/>
        <w:jc w:val="center"/>
        <w:rPr>
          <w:rFonts w:ascii="Arial" w:hAnsi="Arial" w:cs="Arial"/>
          <w:szCs w:val="24"/>
          <w:lang w:val="mn-MN" w:bidi="mn-Mong-CN"/>
        </w:rPr>
      </w:pPr>
      <w:r w:rsidRPr="00F6454D">
        <w:rPr>
          <w:rFonts w:ascii="Arial" w:hAnsi="Arial" w:cs="Arial"/>
          <w:szCs w:val="24"/>
          <w:lang w:val="mn-MN" w:bidi="mn-Mong-CN"/>
        </w:rPr>
        <w:t>Улаанбаатар 2026 он</w:t>
      </w:r>
    </w:p>
    <w:p w14:paraId="4C8F0EEC" w14:textId="77777777" w:rsidR="005C0E55" w:rsidRPr="00F6454D" w:rsidRDefault="005C0E55" w:rsidP="005C0E55">
      <w:pPr>
        <w:spacing w:line="276" w:lineRule="auto"/>
        <w:contextualSpacing/>
        <w:jc w:val="both"/>
        <w:rPr>
          <w:rFonts w:ascii="Arial" w:hAnsi="Arial" w:cs="Arial"/>
          <w:b/>
          <w:szCs w:val="24"/>
          <w:lang w:val="mn-MN"/>
        </w:rPr>
      </w:pPr>
      <w:r w:rsidRPr="00F6454D">
        <w:rPr>
          <w:rFonts w:ascii="Arial" w:hAnsi="Arial" w:cs="Arial"/>
          <w:szCs w:val="24"/>
          <w:lang w:val="mn-MN" w:bidi="mn-Mong-CN"/>
        </w:rPr>
        <w:br w:type="page"/>
      </w:r>
      <w:r w:rsidRPr="00F6454D">
        <w:rPr>
          <w:rFonts w:ascii="Arial" w:hAnsi="Arial" w:cs="Arial"/>
          <w:b/>
          <w:szCs w:val="24"/>
          <w:lang w:val="mn-MN"/>
        </w:rPr>
        <w:lastRenderedPageBreak/>
        <w:t>ГАРЧИГ</w:t>
      </w:r>
    </w:p>
    <w:p w14:paraId="273C4449" w14:textId="77777777" w:rsidR="005C0E55" w:rsidRPr="00F6454D" w:rsidRDefault="005C0E55" w:rsidP="005C0E55">
      <w:pPr>
        <w:spacing w:after="120" w:line="276" w:lineRule="auto"/>
        <w:contextualSpacing/>
        <w:jc w:val="both"/>
        <w:rPr>
          <w:rFonts w:ascii="Arial" w:hAnsi="Arial" w:cs="Arial"/>
          <w:b/>
          <w:szCs w:val="24"/>
          <w:lang w:val="mn-MN"/>
        </w:rPr>
      </w:pPr>
    </w:p>
    <w:p w14:paraId="4E14621C"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r w:rsidRPr="00F6454D">
        <w:rPr>
          <w:rFonts w:ascii="Arial" w:hAnsi="Arial" w:cs="Arial"/>
          <w:b/>
          <w:szCs w:val="24"/>
          <w:lang w:val="mn-MN"/>
        </w:rPr>
        <w:t xml:space="preserve">УДИРТГАЛ </w:t>
      </w:r>
    </w:p>
    <w:p w14:paraId="7F04B1D9"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p>
    <w:p w14:paraId="7227BE53"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r w:rsidRPr="00F6454D">
        <w:rPr>
          <w:rFonts w:ascii="Arial" w:hAnsi="Arial" w:cs="Arial"/>
          <w:b/>
          <w:szCs w:val="24"/>
          <w:lang w:val="mn-MN"/>
        </w:rPr>
        <w:t>НЭГДҮГЭЭР БҮЛЭГ: ФОРМУЛАРИЙН ЭРХ ЗҮЙН ОРЧИН</w:t>
      </w:r>
    </w:p>
    <w:p w14:paraId="79BD76F3"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p>
    <w:p w14:paraId="748951C5"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r w:rsidRPr="00F6454D">
        <w:rPr>
          <w:rFonts w:ascii="Arial" w:hAnsi="Arial" w:cs="Arial"/>
          <w:b/>
          <w:szCs w:val="24"/>
          <w:lang w:val="mn-MN"/>
        </w:rPr>
        <w:t>ХОЁРДУГААР БҮЛЭГ: АСУУДАЛД ДҮН ШИНЖИЛГЭЭ ХИЙСЭН БАЙДАЛ</w:t>
      </w:r>
    </w:p>
    <w:p w14:paraId="5312D865"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p>
    <w:p w14:paraId="15046ED7"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r w:rsidRPr="00F6454D">
        <w:rPr>
          <w:rFonts w:ascii="Arial" w:hAnsi="Arial" w:cs="Arial"/>
          <w:b/>
          <w:szCs w:val="24"/>
          <w:lang w:val="mn-MN"/>
        </w:rPr>
        <w:t>ГУРАВДУГААР БҮЛЭГ: АСУУДЛЫГ ЗОХИЦУУЛАХ ХУВИЛБАРУУД, ХАРЬЦУУЛСАН ШИНЖИЛГЭЭ</w:t>
      </w:r>
    </w:p>
    <w:p w14:paraId="661CE0E8" w14:textId="77777777" w:rsidR="005C0E55" w:rsidRPr="00F6454D" w:rsidRDefault="005C0E55" w:rsidP="005C0E55">
      <w:pPr>
        <w:tabs>
          <w:tab w:val="left" w:pos="3880"/>
        </w:tabs>
        <w:spacing w:after="120" w:line="276" w:lineRule="auto"/>
        <w:contextualSpacing/>
        <w:jc w:val="both"/>
        <w:rPr>
          <w:rFonts w:ascii="Arial" w:hAnsi="Arial" w:cs="Arial"/>
          <w:b/>
          <w:szCs w:val="24"/>
          <w:lang w:val="mn-MN"/>
        </w:rPr>
      </w:pPr>
    </w:p>
    <w:p w14:paraId="7CED03F6"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rPr>
        <w:t xml:space="preserve">ДӨРӨВДҮГЭЭР БҮЛЭГ: </w:t>
      </w:r>
      <w:r w:rsidRPr="00F6454D">
        <w:rPr>
          <w:rFonts w:ascii="Arial" w:hAnsi="Arial" w:cs="Arial"/>
          <w:b/>
          <w:bCs/>
          <w:szCs w:val="24"/>
          <w:lang w:val="mn-MN" w:bidi="mn-Mong-CN"/>
        </w:rPr>
        <w:t>ЗОХИЦУУЛАЛТЫН ХУВИЛБАРУУДЫН ҮР НӨЛӨӨГ ТАНДАН СУДЛАХ</w:t>
      </w:r>
    </w:p>
    <w:p w14:paraId="2BBDF2D9" w14:textId="77777777" w:rsidR="005C0E55" w:rsidRPr="00F6454D" w:rsidRDefault="005C0E55" w:rsidP="005C0E55">
      <w:pPr>
        <w:spacing w:line="276" w:lineRule="auto"/>
        <w:contextualSpacing/>
        <w:jc w:val="both"/>
        <w:rPr>
          <w:rFonts w:ascii="Arial" w:hAnsi="Arial" w:cs="Arial"/>
          <w:b/>
          <w:bCs/>
          <w:szCs w:val="24"/>
          <w:lang w:val="mn-MN" w:bidi="mn-Mong-CN"/>
        </w:rPr>
      </w:pPr>
    </w:p>
    <w:p w14:paraId="311A39B0"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bidi="mn-Mong-CN"/>
        </w:rPr>
        <w:t>ТАВДУГААР БҮЛЭГ: ОЛОН УЛСЫН ЭРХ ЗҮЙН ЗОХИЦУУЛАЛТЫН ХАРЬЦУУЛСАН СУДАЛГАА</w:t>
      </w:r>
    </w:p>
    <w:p w14:paraId="5623DA05" w14:textId="77777777" w:rsidR="005C0E55" w:rsidRPr="00F6454D" w:rsidRDefault="005C0E55" w:rsidP="005C0E55">
      <w:pPr>
        <w:tabs>
          <w:tab w:val="left" w:pos="3880"/>
        </w:tabs>
        <w:spacing w:after="120" w:line="276" w:lineRule="auto"/>
        <w:contextualSpacing/>
        <w:jc w:val="both"/>
        <w:rPr>
          <w:rFonts w:ascii="Arial" w:hAnsi="Arial" w:cs="Arial"/>
          <w:szCs w:val="24"/>
          <w:lang w:val="mn-MN"/>
        </w:rPr>
      </w:pPr>
    </w:p>
    <w:p w14:paraId="386FDDCA" w14:textId="77777777" w:rsidR="005C0E55" w:rsidRPr="00F6454D" w:rsidRDefault="005C0E55" w:rsidP="005C0E55">
      <w:pPr>
        <w:tabs>
          <w:tab w:val="left" w:pos="3880"/>
        </w:tabs>
        <w:spacing w:after="120" w:line="276" w:lineRule="auto"/>
        <w:contextualSpacing/>
        <w:jc w:val="both"/>
        <w:rPr>
          <w:rFonts w:ascii="Arial" w:hAnsi="Arial" w:cs="Arial"/>
          <w:b/>
          <w:bCs/>
          <w:szCs w:val="24"/>
          <w:lang w:val="mn-MN"/>
        </w:rPr>
      </w:pPr>
      <w:r w:rsidRPr="00F6454D">
        <w:rPr>
          <w:rFonts w:ascii="Arial" w:hAnsi="Arial" w:cs="Arial"/>
          <w:b/>
          <w:bCs/>
          <w:szCs w:val="24"/>
          <w:lang w:val="mn-MN"/>
        </w:rPr>
        <w:t>ДҮГНЭЛТ</w:t>
      </w:r>
    </w:p>
    <w:p w14:paraId="369C5E68" w14:textId="77777777" w:rsidR="005C0E55" w:rsidRPr="00F6454D" w:rsidRDefault="005C0E55" w:rsidP="005C0E55">
      <w:pPr>
        <w:tabs>
          <w:tab w:val="left" w:pos="3880"/>
        </w:tabs>
        <w:spacing w:after="120" w:line="276" w:lineRule="auto"/>
        <w:contextualSpacing/>
        <w:jc w:val="both"/>
        <w:rPr>
          <w:rFonts w:ascii="Arial" w:hAnsi="Arial" w:cs="Arial"/>
          <w:szCs w:val="24"/>
          <w:lang w:val="mn-MN"/>
        </w:rPr>
      </w:pPr>
    </w:p>
    <w:p w14:paraId="27DE9553"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rPr>
        <w:br w:type="page"/>
      </w:r>
    </w:p>
    <w:p w14:paraId="211346F4" w14:textId="77777777" w:rsidR="005C0E55" w:rsidRPr="00F6454D" w:rsidRDefault="005C0E55" w:rsidP="005C0E55">
      <w:pPr>
        <w:tabs>
          <w:tab w:val="left" w:pos="3880"/>
        </w:tabs>
        <w:spacing w:after="120" w:line="276" w:lineRule="auto"/>
        <w:contextualSpacing/>
        <w:jc w:val="both"/>
        <w:rPr>
          <w:rFonts w:ascii="Arial" w:hAnsi="Arial" w:cs="Arial"/>
          <w:szCs w:val="24"/>
          <w:lang w:val="mn-MN"/>
        </w:rPr>
      </w:pPr>
      <w:r w:rsidRPr="00F6454D">
        <w:rPr>
          <w:rFonts w:ascii="Arial" w:hAnsi="Arial" w:cs="Arial"/>
          <w:szCs w:val="24"/>
          <w:lang w:val="mn-MN"/>
        </w:rPr>
        <w:lastRenderedPageBreak/>
        <w:t>НЭР ТОМЪЁОНЫ ТАЙЛБАР</w:t>
      </w:r>
    </w:p>
    <w:p w14:paraId="7B95C226" w14:textId="77777777" w:rsidR="005C0E55" w:rsidRPr="00F6454D" w:rsidRDefault="005C0E55" w:rsidP="005C0E55">
      <w:pPr>
        <w:spacing w:line="276" w:lineRule="auto"/>
        <w:contextualSpacing/>
        <w:jc w:val="both"/>
        <w:rPr>
          <w:rFonts w:ascii="Arial" w:hAnsi="Arial" w:cs="Arial"/>
          <w:szCs w:val="24"/>
          <w:lang w:val="mn-MN"/>
        </w:rPr>
      </w:pPr>
    </w:p>
    <w:p w14:paraId="3B461EE5"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bidi="mn-Mong-CN"/>
        </w:rPr>
        <w:t>АТС</w:t>
      </w:r>
      <w:r w:rsidRPr="00F6454D">
        <w:rPr>
          <w:rFonts w:ascii="Arial" w:hAnsi="Arial" w:cs="Arial"/>
          <w:szCs w:val="24"/>
          <w:lang w:val="mn-MN"/>
        </w:rPr>
        <w:t xml:space="preserve"> – Эмийг эрхтэн тогтолцоо, эмчилгээний зориулалт, химийн бүтэцээр ангилсан олон улсын кодын систем</w:t>
      </w:r>
    </w:p>
    <w:p w14:paraId="0C1C1109"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rPr>
        <w:t>ДЭМБ – Дэлхийн эрүүл мэндийн байгууллага</w:t>
      </w:r>
    </w:p>
    <w:p w14:paraId="2BC63194"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rPr>
        <w:t xml:space="preserve">ӨТТ – Өдрийн тогтоосон тун </w:t>
      </w:r>
    </w:p>
    <w:p w14:paraId="6D68D427"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rPr>
        <w:t>Формулари – Хүн амын өвчлөлийн бүтэц, эмчилгээний хэрэгцээ, эмийн эмнэл зүйн үр нөлөө, аюулгүй байдал, эдийн засгийн үнэлгээнд суурилан эмийн сонголтыг чиглүүлдэг бодлогын үндсэн баримт бичиг</w:t>
      </w:r>
    </w:p>
    <w:p w14:paraId="699FD0C1"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bidi="mn-Mong-CN"/>
        </w:rPr>
        <w:t>ЭМД</w:t>
      </w:r>
      <w:r w:rsidRPr="00F6454D">
        <w:rPr>
          <w:rFonts w:ascii="Arial" w:hAnsi="Arial" w:cs="Arial"/>
          <w:szCs w:val="24"/>
          <w:lang w:val="mn-MN"/>
        </w:rPr>
        <w:t xml:space="preserve"> – Эрүүл мэндийн даатгал </w:t>
      </w:r>
    </w:p>
    <w:p w14:paraId="33186E3B" w14:textId="77777777" w:rsidR="005C0E55" w:rsidRPr="00F6454D" w:rsidRDefault="005C0E55" w:rsidP="005C0E55">
      <w:pPr>
        <w:spacing w:line="276" w:lineRule="auto"/>
        <w:contextualSpacing/>
        <w:jc w:val="both"/>
        <w:rPr>
          <w:rFonts w:ascii="Arial" w:hAnsi="Arial" w:cs="Arial"/>
          <w:szCs w:val="24"/>
          <w:lang w:val="mn-MN"/>
        </w:rPr>
      </w:pPr>
      <w:r w:rsidRPr="00F6454D">
        <w:rPr>
          <w:rFonts w:ascii="Arial" w:hAnsi="Arial" w:cs="Arial"/>
          <w:szCs w:val="24"/>
          <w:lang w:val="mn-MN"/>
        </w:rPr>
        <w:t>ЭМДЕГ – Эрүүл мэндийн даатгалын ерөнхий газар</w:t>
      </w:r>
    </w:p>
    <w:p w14:paraId="4B499969" w14:textId="77777777" w:rsidR="005C0E55" w:rsidRPr="00F6454D" w:rsidRDefault="005C0E55" w:rsidP="005C0E55">
      <w:pPr>
        <w:spacing w:line="276" w:lineRule="auto"/>
        <w:contextualSpacing/>
        <w:jc w:val="both"/>
        <w:rPr>
          <w:rFonts w:ascii="Arial" w:hAnsi="Arial" w:cs="Arial"/>
          <w:szCs w:val="24"/>
          <w:lang w:val="mn-MN" w:bidi="mn-Mong-CN"/>
        </w:rPr>
      </w:pPr>
    </w:p>
    <w:p w14:paraId="618F3206" w14:textId="77777777" w:rsidR="005C0E55" w:rsidRPr="00F6454D" w:rsidRDefault="005C0E55" w:rsidP="005C0E55">
      <w:pPr>
        <w:spacing w:line="276" w:lineRule="auto"/>
        <w:contextualSpacing/>
        <w:jc w:val="both"/>
        <w:rPr>
          <w:rFonts w:ascii="Arial" w:hAnsi="Arial" w:cs="Arial"/>
          <w:szCs w:val="24"/>
          <w:lang w:val="mn-MN" w:bidi="mn-Mong-CN"/>
        </w:rPr>
      </w:pPr>
    </w:p>
    <w:p w14:paraId="4D7F0B10" w14:textId="77777777" w:rsidR="005C0E55" w:rsidRPr="00F6454D" w:rsidRDefault="005C0E55" w:rsidP="005C0E55">
      <w:pPr>
        <w:spacing w:line="276" w:lineRule="auto"/>
        <w:contextualSpacing/>
        <w:rPr>
          <w:rFonts w:ascii="Arial" w:hAnsi="Arial" w:cs="Arial"/>
          <w:szCs w:val="24"/>
          <w:lang w:val="mn-MN" w:bidi="mn-Mong-CN"/>
        </w:rPr>
      </w:pPr>
      <w:r w:rsidRPr="00F6454D">
        <w:rPr>
          <w:rFonts w:ascii="Arial" w:hAnsi="Arial" w:cs="Arial"/>
          <w:szCs w:val="24"/>
          <w:lang w:val="mn-MN" w:bidi="mn-Mong-CN"/>
        </w:rPr>
        <w:br w:type="page"/>
      </w:r>
    </w:p>
    <w:p w14:paraId="1DD83A75" w14:textId="77777777" w:rsidR="005C0E55" w:rsidRPr="00F6454D" w:rsidRDefault="005C0E55" w:rsidP="005C0E55">
      <w:pPr>
        <w:spacing w:line="276" w:lineRule="auto"/>
        <w:contextualSpacing/>
        <w:jc w:val="center"/>
        <w:rPr>
          <w:rFonts w:ascii="Arial" w:hAnsi="Arial" w:cs="Arial"/>
          <w:b/>
          <w:bCs/>
          <w:szCs w:val="24"/>
          <w:lang w:val="mn-MN" w:bidi="mn-Mong-CN"/>
        </w:rPr>
      </w:pPr>
      <w:r w:rsidRPr="00F6454D">
        <w:rPr>
          <w:rFonts w:ascii="Arial" w:hAnsi="Arial" w:cs="Arial"/>
          <w:b/>
          <w:bCs/>
          <w:szCs w:val="24"/>
          <w:lang w:val="mn-MN" w:bidi="mn-Mong-CN"/>
        </w:rPr>
        <w:lastRenderedPageBreak/>
        <w:t>УДИРТГАЛ</w:t>
      </w:r>
    </w:p>
    <w:p w14:paraId="0B476596" w14:textId="77777777" w:rsidR="005C0E55" w:rsidRPr="00F6454D" w:rsidRDefault="005C0E55" w:rsidP="005C0E55">
      <w:pPr>
        <w:spacing w:line="276" w:lineRule="auto"/>
        <w:contextualSpacing/>
        <w:jc w:val="both"/>
        <w:rPr>
          <w:rFonts w:ascii="Arial" w:hAnsi="Arial" w:cs="Arial"/>
          <w:szCs w:val="24"/>
          <w:lang w:val="mn-MN" w:bidi="mn-Mong-CN"/>
        </w:rPr>
      </w:pPr>
    </w:p>
    <w:p w14:paraId="6E98D079" w14:textId="0A77F46A" w:rsidR="008206C7" w:rsidRPr="008206C7" w:rsidRDefault="005C0E55" w:rsidP="008206C7">
      <w:pPr>
        <w:pStyle w:val="ListParagraph"/>
        <w:numPr>
          <w:ilvl w:val="1"/>
          <w:numId w:val="6"/>
        </w:numPr>
        <w:spacing w:line="276" w:lineRule="auto"/>
        <w:jc w:val="both"/>
        <w:rPr>
          <w:rFonts w:ascii="Arial" w:hAnsi="Arial" w:cs="Arial"/>
          <w:szCs w:val="24"/>
          <w:lang w:val="mn-MN" w:bidi="mn-Mong-CN"/>
        </w:rPr>
      </w:pPr>
      <w:r w:rsidRPr="008206C7">
        <w:rPr>
          <w:rFonts w:ascii="Arial" w:hAnsi="Arial" w:cs="Arial"/>
          <w:szCs w:val="24"/>
          <w:lang w:val="mn-MN" w:bidi="mn-Mong-CN"/>
        </w:rPr>
        <w:t>Судалгааны үндэслэл</w:t>
      </w:r>
    </w:p>
    <w:p w14:paraId="34FA428F" w14:textId="77777777" w:rsidR="00BB177A" w:rsidRDefault="008206C7" w:rsidP="005C0E55">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Улс орнууд эмийн тодорхойлолтын </w:t>
      </w:r>
      <w:r w:rsidR="008A54CE">
        <w:rPr>
          <w:rFonts w:ascii="Arial" w:hAnsi="Arial" w:cs="Arial"/>
          <w:szCs w:val="24"/>
          <w:lang w:val="mn-MN" w:bidi="mn-Mong-CN"/>
        </w:rPr>
        <w:t xml:space="preserve">олон төрлийн </w:t>
      </w:r>
      <w:r>
        <w:rPr>
          <w:rFonts w:ascii="Arial" w:hAnsi="Arial" w:cs="Arial"/>
          <w:szCs w:val="24"/>
          <w:lang w:val="mn-MN" w:bidi="mn-Mong-CN"/>
        </w:rPr>
        <w:t xml:space="preserve">эх сурвалжийг ашигладаг хэдий ч олон улсад нийтлэг байдлаар ДЭМБ-ын “Эм </w:t>
      </w:r>
      <w:r w:rsidRPr="008206C7">
        <w:rPr>
          <w:rFonts w:ascii="Arial" w:hAnsi="Arial" w:cs="Arial"/>
          <w:szCs w:val="24"/>
          <w:lang w:val="mn-MN" w:bidi="mn-Mong-CN"/>
        </w:rPr>
        <w:t>гэдэг нь өвчнийг анагаах, зовиурыг намдаах, эсвэл өвчнөөс сэргийлэх зорилгоор шинжлэх ухааны үндэслэлтэй, тун хэмжээ нь нарийн тогтоогдсон, хүний биеийн үйл ажиллагаанд химийн болон биологийн замаар нөлөөлдөг бодисыг хэлнэ</w:t>
      </w:r>
      <w:r>
        <w:rPr>
          <w:rFonts w:ascii="Arial" w:hAnsi="Arial" w:cs="Arial"/>
          <w:szCs w:val="24"/>
          <w:lang w:val="mn-MN" w:bidi="mn-Mong-CN"/>
        </w:rPr>
        <w:t>” тодорхойлолтыг авч үздэг. Манай улсын хувьд Эм, эмнэлгийн хэрэгслийн тухай хуулийн 4.1.1-т “эм гэж өвчнөөс урьдчилан сэргийлэх,</w:t>
      </w:r>
      <w:r w:rsidR="008A54CE">
        <w:rPr>
          <w:rFonts w:ascii="Arial" w:hAnsi="Arial" w:cs="Arial"/>
          <w:szCs w:val="24"/>
          <w:lang w:val="mn-MN" w:bidi="mn-Mong-CN"/>
        </w:rPr>
        <w:t xml:space="preserve"> </w:t>
      </w:r>
      <w:r>
        <w:rPr>
          <w:rFonts w:ascii="Arial" w:hAnsi="Arial" w:cs="Arial"/>
          <w:szCs w:val="24"/>
          <w:lang w:val="mn-MN" w:bidi="mn-Mong-CN"/>
        </w:rPr>
        <w:t xml:space="preserve"> </w:t>
      </w:r>
      <w:r w:rsidR="008A54CE" w:rsidRPr="008A54CE">
        <w:rPr>
          <w:rFonts w:ascii="Arial" w:hAnsi="Arial" w:cs="Arial"/>
          <w:szCs w:val="24"/>
          <w:lang w:val="mn-MN" w:bidi="mn-Mong-CN"/>
        </w:rPr>
        <w:t>өвчнийг оношлох, эмчлэх зориулалттай, хүний физиологийн үйл ажиллагаанд нөлөөлөх үйлдэл нь эм судлал, эмнэлзүйн туршилтаар нотлогдсон, зохих тун, хэмжээгээр хэрэглэдэг, тодорхой хэлбэртэй бүтээгдэхүүнийг</w:t>
      </w:r>
      <w:r w:rsidR="008A54CE">
        <w:rPr>
          <w:rFonts w:ascii="Arial" w:hAnsi="Arial" w:cs="Arial"/>
          <w:szCs w:val="24"/>
          <w:lang w:val="mn-MN" w:bidi="mn-Mong-CN"/>
        </w:rPr>
        <w:t xml:space="preserve"> хэлнэ” гэж тодорхойлсон байдаг.</w:t>
      </w:r>
      <w:r>
        <w:rPr>
          <w:rFonts w:ascii="Arial" w:hAnsi="Arial" w:cs="Arial"/>
          <w:szCs w:val="24"/>
          <w:lang w:val="mn-MN" w:bidi="mn-Mong-CN"/>
        </w:rPr>
        <w:t xml:space="preserve"> </w:t>
      </w:r>
      <w:r w:rsidR="00BB177A">
        <w:rPr>
          <w:rFonts w:ascii="Arial" w:hAnsi="Arial" w:cs="Arial"/>
          <w:szCs w:val="24"/>
          <w:lang w:val="mn-MN" w:bidi="mn-Mong-CN"/>
        </w:rPr>
        <w:t>Иймд эдгээр тодорхойлолтын хүрээнд эмийг авч үзэхэд эмийн зориулалт нь өвчнийг эмчлэх үндсэн зориулалттай бүтээгдэхүүн бөгөөд эмтй холбоотой аливаа бодлого, зохицуулалтыг өвчнийг оношлох, эмчлэх, хянах эмнэл зүйн практикаас салгах боломжгүй гэдэг нь харагдаж байна.</w:t>
      </w:r>
    </w:p>
    <w:p w14:paraId="00A68637" w14:textId="77777777" w:rsidR="00435A6C" w:rsidRDefault="00BB177A" w:rsidP="00435A6C">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Эмийн бодлого гэж юу вэ? </w:t>
      </w:r>
      <w:r w:rsidR="00435A6C" w:rsidRPr="00435A6C">
        <w:rPr>
          <w:rFonts w:ascii="Arial" w:hAnsi="Arial" w:cs="Arial"/>
          <w:szCs w:val="24"/>
          <w:lang w:val="mn-MN" w:bidi="mn-Mong-CN"/>
        </w:rPr>
        <w:t>Эмийн бодлого</w:t>
      </w:r>
      <w:r w:rsidR="00435A6C">
        <w:rPr>
          <w:rFonts w:ascii="Arial" w:hAnsi="Arial" w:cs="Arial"/>
          <w:szCs w:val="24"/>
          <w:lang w:val="mn-MN" w:bidi="mn-Mong-CN"/>
        </w:rPr>
        <w:t xml:space="preserve"> </w:t>
      </w:r>
      <w:r w:rsidR="00435A6C" w:rsidRPr="00435A6C">
        <w:rPr>
          <w:rFonts w:ascii="Arial" w:hAnsi="Arial" w:cs="Arial"/>
          <w:szCs w:val="24"/>
          <w:lang w:val="mn-MN" w:bidi="mn-Mong-CN"/>
        </w:rPr>
        <w:t>гэдэг нь улс орны эмийн салбарыг хөгжүүлэх, хүн амыг чанартай, аюулгүй, үр дүнтэй эмээр хүртээмжтэй хангахад чиглэсэн төр</w:t>
      </w:r>
      <w:r w:rsidR="00435A6C">
        <w:rPr>
          <w:rFonts w:ascii="Arial" w:hAnsi="Arial" w:cs="Arial"/>
          <w:szCs w:val="24"/>
          <w:lang w:val="mn-MN" w:bidi="mn-Mong-CN"/>
        </w:rPr>
        <w:t>өөс баримтлах бодлогыг хэлдэг. ДЭМБ-ын зөвлөмжийн дагуу эмийн бодлого нь дараах 3-н үндсэн зорилтод суурилдаг: 1</w:t>
      </w:r>
      <w:r w:rsidR="00435A6C">
        <w:rPr>
          <w:rFonts w:ascii="Arial" w:hAnsi="Arial" w:cs="Arial"/>
          <w:szCs w:val="24"/>
          <w:lang w:bidi="mn-Mong-CN"/>
        </w:rPr>
        <w:t xml:space="preserve">) </w:t>
      </w:r>
      <w:r w:rsidR="00435A6C">
        <w:rPr>
          <w:rFonts w:ascii="Arial" w:hAnsi="Arial" w:cs="Arial"/>
          <w:szCs w:val="24"/>
          <w:lang w:val="mn-MN" w:bidi="mn-Mong-CN"/>
        </w:rPr>
        <w:t>х</w:t>
      </w:r>
      <w:r w:rsidR="00435A6C" w:rsidRPr="00435A6C">
        <w:rPr>
          <w:rFonts w:ascii="Arial" w:hAnsi="Arial" w:cs="Arial"/>
          <w:szCs w:val="24"/>
          <w:lang w:val="mn-MN" w:bidi="mn-Mong-CN"/>
        </w:rPr>
        <w:t>үртээмжтэй байдал(Access)</w:t>
      </w:r>
      <w:r w:rsidR="00435A6C">
        <w:rPr>
          <w:rFonts w:ascii="Arial" w:hAnsi="Arial" w:cs="Arial"/>
          <w:szCs w:val="24"/>
          <w:lang w:val="mn-MN" w:bidi="mn-Mong-CN"/>
        </w:rPr>
        <w:t xml:space="preserve"> буюу ш</w:t>
      </w:r>
      <w:r w:rsidR="00435A6C" w:rsidRPr="00435A6C">
        <w:rPr>
          <w:rFonts w:ascii="Arial" w:hAnsi="Arial" w:cs="Arial"/>
          <w:szCs w:val="24"/>
          <w:lang w:val="mn-MN" w:bidi="mn-Mong-CN"/>
        </w:rPr>
        <w:t>аардлагатай эмийг хүн амд санхүүгийн дарамт багатай, олдоцтой байлга</w:t>
      </w:r>
      <w:r w:rsidR="00435A6C">
        <w:rPr>
          <w:rFonts w:ascii="Arial" w:hAnsi="Arial" w:cs="Arial"/>
          <w:szCs w:val="24"/>
          <w:lang w:val="mn-MN" w:bidi="mn-Mong-CN"/>
        </w:rPr>
        <w:t>х</w:t>
      </w:r>
      <w:r w:rsidR="00435A6C">
        <w:rPr>
          <w:rFonts w:ascii="Arial" w:hAnsi="Arial" w:cs="Arial"/>
          <w:szCs w:val="24"/>
          <w:lang w:bidi="mn-Mong-CN"/>
        </w:rPr>
        <w:t xml:space="preserve">; 2) </w:t>
      </w:r>
      <w:r w:rsidR="00435A6C">
        <w:rPr>
          <w:rFonts w:ascii="Arial" w:hAnsi="Arial" w:cs="Arial"/>
          <w:szCs w:val="24"/>
          <w:lang w:val="mn-MN" w:bidi="mn-Mong-CN"/>
        </w:rPr>
        <w:t>чанар</w:t>
      </w:r>
      <w:r w:rsidR="00435A6C" w:rsidRPr="00435A6C">
        <w:rPr>
          <w:rFonts w:ascii="Arial" w:hAnsi="Arial" w:cs="Arial"/>
          <w:szCs w:val="24"/>
          <w:lang w:val="mn-MN" w:bidi="mn-Mong-CN"/>
        </w:rPr>
        <w:t>, аюулгүй байдал (Quality</w:t>
      </w:r>
      <w:r w:rsidR="00435A6C">
        <w:rPr>
          <w:rFonts w:ascii="Arial" w:hAnsi="Arial" w:cs="Arial"/>
          <w:szCs w:val="24"/>
          <w:lang w:val="mn-MN" w:bidi="mn-Mong-CN"/>
        </w:rPr>
        <w:t xml:space="preserve"> </w:t>
      </w:r>
      <w:r w:rsidR="00435A6C">
        <w:rPr>
          <w:rFonts w:ascii="Arial" w:hAnsi="Arial" w:cs="Arial"/>
          <w:szCs w:val="24"/>
          <w:lang w:bidi="mn-Mong-CN"/>
        </w:rPr>
        <w:t>and Safety</w:t>
      </w:r>
      <w:r w:rsidR="00435A6C" w:rsidRPr="00435A6C">
        <w:rPr>
          <w:rFonts w:ascii="Arial" w:hAnsi="Arial" w:cs="Arial"/>
          <w:szCs w:val="24"/>
          <w:lang w:val="mn-MN" w:bidi="mn-Mong-CN"/>
        </w:rPr>
        <w:t>)</w:t>
      </w:r>
      <w:r w:rsidR="00435A6C">
        <w:rPr>
          <w:rFonts w:ascii="Arial" w:hAnsi="Arial" w:cs="Arial"/>
          <w:szCs w:val="24"/>
          <w:lang w:val="mn-MN" w:bidi="mn-Mong-CN"/>
        </w:rPr>
        <w:t xml:space="preserve"> буюу э</w:t>
      </w:r>
      <w:r w:rsidR="00435A6C" w:rsidRPr="00435A6C">
        <w:rPr>
          <w:rFonts w:ascii="Arial" w:hAnsi="Arial" w:cs="Arial"/>
          <w:szCs w:val="24"/>
          <w:lang w:val="mn-MN" w:bidi="mn-Mong-CN"/>
        </w:rPr>
        <w:t>мийн чанар, үр дүн, аюулгүй байдлыг хангах хяналтын тогтолцоог бүрдүүл</w:t>
      </w:r>
      <w:r w:rsidR="00435A6C">
        <w:rPr>
          <w:rFonts w:ascii="Arial" w:hAnsi="Arial" w:cs="Arial"/>
          <w:szCs w:val="24"/>
          <w:lang w:val="mn-MN" w:bidi="mn-Mong-CN"/>
        </w:rPr>
        <w:t>эх</w:t>
      </w:r>
      <w:r w:rsidR="00435A6C">
        <w:rPr>
          <w:rFonts w:ascii="Arial" w:hAnsi="Arial" w:cs="Arial"/>
          <w:szCs w:val="24"/>
          <w:lang w:bidi="mn-Mong-CN"/>
        </w:rPr>
        <w:t xml:space="preserve">; 3) </w:t>
      </w:r>
      <w:r w:rsidR="00435A6C">
        <w:rPr>
          <w:rFonts w:ascii="Arial" w:hAnsi="Arial" w:cs="Arial"/>
          <w:szCs w:val="24"/>
          <w:lang w:val="mn-MN" w:bidi="mn-Mong-CN"/>
        </w:rPr>
        <w:t>з</w:t>
      </w:r>
      <w:r w:rsidR="00435A6C" w:rsidRPr="00435A6C">
        <w:rPr>
          <w:rFonts w:ascii="Arial" w:hAnsi="Arial" w:cs="Arial"/>
          <w:szCs w:val="24"/>
          <w:lang w:val="mn-MN" w:bidi="mn-Mong-CN"/>
        </w:rPr>
        <w:t>охистой хэрэглээ (Rational Use)</w:t>
      </w:r>
      <w:r w:rsidR="00435A6C">
        <w:rPr>
          <w:rFonts w:ascii="Arial" w:hAnsi="Arial" w:cs="Arial"/>
          <w:szCs w:val="24"/>
          <w:lang w:val="mn-MN" w:bidi="mn-Mong-CN"/>
        </w:rPr>
        <w:t xml:space="preserve"> буюу э</w:t>
      </w:r>
      <w:r w:rsidR="00435A6C" w:rsidRPr="00435A6C">
        <w:rPr>
          <w:rFonts w:ascii="Arial" w:hAnsi="Arial" w:cs="Arial"/>
          <w:szCs w:val="24"/>
          <w:lang w:val="mn-MN" w:bidi="mn-Mong-CN"/>
        </w:rPr>
        <w:t>мийг эмнэл</w:t>
      </w:r>
      <w:r w:rsidR="00435A6C">
        <w:rPr>
          <w:rFonts w:ascii="Arial" w:hAnsi="Arial" w:cs="Arial"/>
          <w:szCs w:val="24"/>
          <w:lang w:val="mn-MN" w:bidi="mn-Mong-CN"/>
        </w:rPr>
        <w:t xml:space="preserve"> </w:t>
      </w:r>
      <w:r w:rsidR="00435A6C" w:rsidRPr="00435A6C">
        <w:rPr>
          <w:rFonts w:ascii="Arial" w:hAnsi="Arial" w:cs="Arial"/>
          <w:szCs w:val="24"/>
          <w:lang w:val="mn-MN" w:bidi="mn-Mong-CN"/>
        </w:rPr>
        <w:t>зүйн хэрэгцээндээ тохируулан, зөв тун хэмжээгээр, тодорхой хугацаанд</w:t>
      </w:r>
      <w:r w:rsidR="00435A6C">
        <w:rPr>
          <w:rFonts w:ascii="Arial" w:hAnsi="Arial" w:cs="Arial"/>
          <w:szCs w:val="24"/>
          <w:lang w:val="mn-MN" w:bidi="mn-Mong-CN"/>
        </w:rPr>
        <w:t xml:space="preserve"> зөв</w:t>
      </w:r>
      <w:r w:rsidR="00435A6C" w:rsidRPr="00435A6C">
        <w:rPr>
          <w:rFonts w:ascii="Arial" w:hAnsi="Arial" w:cs="Arial"/>
          <w:szCs w:val="24"/>
          <w:lang w:val="mn-MN" w:bidi="mn-Mong-CN"/>
        </w:rPr>
        <w:t xml:space="preserve"> хэрэглэж хэвших</w:t>
      </w:r>
      <w:r w:rsidR="00435A6C">
        <w:rPr>
          <w:rFonts w:ascii="Arial" w:hAnsi="Arial" w:cs="Arial"/>
          <w:szCs w:val="24"/>
          <w:lang w:val="mn-MN" w:bidi="mn-Mong-CN"/>
        </w:rPr>
        <w:t xml:space="preserve"> юм. </w:t>
      </w:r>
      <w:r w:rsidR="00435A6C" w:rsidRPr="00435A6C">
        <w:rPr>
          <w:rFonts w:ascii="Arial" w:hAnsi="Arial" w:cs="Arial"/>
          <w:szCs w:val="24"/>
          <w:lang w:val="mn-MN" w:bidi="mn-Mong-CN"/>
        </w:rPr>
        <w:t>Үр дүнтэй эмийн бодлого нь дараах асуудлуудыг заавал тусгасан байдаг</w:t>
      </w:r>
      <w:r w:rsidR="00435A6C">
        <w:rPr>
          <w:rFonts w:ascii="Arial" w:hAnsi="Arial" w:cs="Arial"/>
          <w:szCs w:val="24"/>
          <w:lang w:val="mn-MN" w:bidi="mn-Mong-CN"/>
        </w:rPr>
        <w:t xml:space="preserve">. Үүнд: </w:t>
      </w:r>
    </w:p>
    <w:p w14:paraId="429907C9" w14:textId="77777777" w:rsidR="00435A6C" w:rsidRPr="00942126" w:rsidRDefault="00435A6C" w:rsidP="00942126">
      <w:pPr>
        <w:pStyle w:val="ListParagraph"/>
        <w:numPr>
          <w:ilvl w:val="0"/>
          <w:numId w:val="7"/>
        </w:numPr>
        <w:spacing w:line="276" w:lineRule="auto"/>
        <w:ind w:left="1080"/>
        <w:jc w:val="both"/>
        <w:rPr>
          <w:rFonts w:ascii="Arial" w:hAnsi="Arial" w:cs="Arial"/>
          <w:szCs w:val="24"/>
          <w:lang w:bidi="mn-Mong-CN"/>
        </w:rPr>
      </w:pPr>
      <w:r w:rsidRPr="00942126">
        <w:rPr>
          <w:rFonts w:ascii="Arial" w:hAnsi="Arial" w:cs="Arial"/>
          <w:szCs w:val="24"/>
          <w:lang w:val="mn-MN" w:bidi="mn-Mong-CN"/>
        </w:rPr>
        <w:t>Эрх зүйн зохицуулалт: Эмийн бүртгэл, тусгай зөвшөөрөл, хяналтыг хуульчлах</w:t>
      </w:r>
      <w:r w:rsidRPr="00942126">
        <w:rPr>
          <w:rFonts w:ascii="Arial" w:hAnsi="Arial" w:cs="Arial"/>
          <w:szCs w:val="24"/>
          <w:lang w:bidi="mn-Mong-CN"/>
        </w:rPr>
        <w:t xml:space="preserve">; </w:t>
      </w:r>
    </w:p>
    <w:p w14:paraId="09EF6D2F" w14:textId="2D1AE234" w:rsidR="00435A6C" w:rsidRPr="00942126" w:rsidRDefault="00435A6C" w:rsidP="00942126">
      <w:pPr>
        <w:pStyle w:val="ListParagraph"/>
        <w:numPr>
          <w:ilvl w:val="0"/>
          <w:numId w:val="7"/>
        </w:numPr>
        <w:spacing w:line="276" w:lineRule="auto"/>
        <w:ind w:left="1080"/>
        <w:jc w:val="both"/>
        <w:rPr>
          <w:rFonts w:ascii="Arial" w:hAnsi="Arial" w:cs="Arial"/>
          <w:szCs w:val="24"/>
          <w:lang w:bidi="mn-Mong-CN"/>
        </w:rPr>
      </w:pPr>
      <w:r w:rsidRPr="00942126">
        <w:rPr>
          <w:rFonts w:ascii="Arial" w:hAnsi="Arial" w:cs="Arial"/>
          <w:szCs w:val="24"/>
          <w:lang w:val="mn-MN" w:bidi="mn-Mong-CN"/>
        </w:rPr>
        <w:t>Эмийн сонголт: Хүн амын өвчлөл буюу эрүүл мэндийн хэрэгцээнд нь тулгуурлан хэрэгцээт эмийн жагсаалтыг гаргах</w:t>
      </w:r>
      <w:r w:rsidRPr="00942126">
        <w:rPr>
          <w:rFonts w:ascii="Arial" w:hAnsi="Arial" w:cs="Arial"/>
          <w:szCs w:val="24"/>
          <w:lang w:bidi="mn-Mong-CN"/>
        </w:rPr>
        <w:t>;</w:t>
      </w:r>
    </w:p>
    <w:p w14:paraId="413C5022" w14:textId="7B64B1FD" w:rsidR="00435A6C" w:rsidRPr="00942126" w:rsidRDefault="00435A6C" w:rsidP="00942126">
      <w:pPr>
        <w:pStyle w:val="ListParagraph"/>
        <w:numPr>
          <w:ilvl w:val="0"/>
          <w:numId w:val="7"/>
        </w:numPr>
        <w:spacing w:line="276" w:lineRule="auto"/>
        <w:ind w:left="1080"/>
        <w:jc w:val="both"/>
        <w:rPr>
          <w:rFonts w:ascii="Arial" w:hAnsi="Arial" w:cs="Arial"/>
          <w:szCs w:val="24"/>
          <w:lang w:val="mn-MN" w:bidi="mn-Mong-CN"/>
        </w:rPr>
      </w:pPr>
      <w:r w:rsidRPr="00942126">
        <w:rPr>
          <w:rFonts w:ascii="Arial" w:hAnsi="Arial" w:cs="Arial"/>
          <w:szCs w:val="24"/>
          <w:lang w:val="mn-MN" w:bidi="mn-Mong-CN"/>
        </w:rPr>
        <w:t>Хангамж, түгээлт: Эмийг улсын хэмжээнд тасралтгүй, тэгш нийлүүлэх тогтолцоог бүрдүүлэх;</w:t>
      </w:r>
    </w:p>
    <w:p w14:paraId="41DAFAB3" w14:textId="0D3C3E87" w:rsidR="00435A6C" w:rsidRPr="00942126" w:rsidRDefault="00435A6C" w:rsidP="00942126">
      <w:pPr>
        <w:pStyle w:val="ListParagraph"/>
        <w:numPr>
          <w:ilvl w:val="0"/>
          <w:numId w:val="7"/>
        </w:numPr>
        <w:spacing w:line="276" w:lineRule="auto"/>
        <w:ind w:left="1080"/>
        <w:jc w:val="both"/>
        <w:rPr>
          <w:rFonts w:ascii="Arial" w:hAnsi="Arial" w:cs="Arial"/>
          <w:szCs w:val="24"/>
          <w:lang w:val="mn-MN" w:bidi="mn-Mong-CN"/>
        </w:rPr>
      </w:pPr>
      <w:r w:rsidRPr="00942126">
        <w:rPr>
          <w:rFonts w:ascii="Arial" w:hAnsi="Arial" w:cs="Arial"/>
          <w:szCs w:val="24"/>
          <w:lang w:val="mn-MN" w:bidi="mn-Mong-CN"/>
        </w:rPr>
        <w:t>Санхүүжилт: Эмийн үнийг хямд байлгах, даатгалаар хөнгөлөх тогтолцоог хөгжүүлэх</w:t>
      </w:r>
      <w:r w:rsidR="00942126">
        <w:rPr>
          <w:rFonts w:ascii="Arial" w:hAnsi="Arial" w:cs="Arial"/>
          <w:szCs w:val="24"/>
          <w:lang w:bidi="mn-Mong-CN"/>
        </w:rPr>
        <w:t>;</w:t>
      </w:r>
      <w:r w:rsidRPr="00942126">
        <w:rPr>
          <w:rFonts w:ascii="Arial" w:hAnsi="Arial" w:cs="Arial"/>
          <w:szCs w:val="24"/>
          <w:lang w:val="mn-MN" w:bidi="mn-Mong-CN"/>
        </w:rPr>
        <w:t xml:space="preserve"> </w:t>
      </w:r>
    </w:p>
    <w:p w14:paraId="6523E78A" w14:textId="1CFBE7F9" w:rsidR="00BB177A" w:rsidRPr="00942126" w:rsidRDefault="00435A6C" w:rsidP="00942126">
      <w:pPr>
        <w:pStyle w:val="ListParagraph"/>
        <w:numPr>
          <w:ilvl w:val="0"/>
          <w:numId w:val="7"/>
        </w:numPr>
        <w:spacing w:line="276" w:lineRule="auto"/>
        <w:ind w:left="1080"/>
        <w:jc w:val="both"/>
        <w:rPr>
          <w:rFonts w:ascii="Arial" w:hAnsi="Arial" w:cs="Arial"/>
          <w:szCs w:val="24"/>
          <w:lang w:val="mn-MN" w:bidi="mn-Mong-CN"/>
        </w:rPr>
      </w:pPr>
      <w:r w:rsidRPr="00942126">
        <w:rPr>
          <w:rFonts w:ascii="Arial" w:hAnsi="Arial" w:cs="Arial"/>
          <w:szCs w:val="24"/>
          <w:lang w:val="mn-MN" w:bidi="mn-Mong-CN"/>
        </w:rPr>
        <w:t>Хүний нөөц: Мэргэшсэн эм зүйч, эмч нарыг бэлтгэх</w:t>
      </w:r>
      <w:r w:rsidR="00942126">
        <w:rPr>
          <w:rFonts w:ascii="Arial" w:hAnsi="Arial" w:cs="Arial"/>
          <w:szCs w:val="24"/>
          <w:lang w:val="mn-MN" w:bidi="mn-Mong-CN"/>
        </w:rPr>
        <w:t xml:space="preserve">. </w:t>
      </w:r>
    </w:p>
    <w:p w14:paraId="1B4C6182" w14:textId="0531DE25" w:rsidR="005C0E55"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Улс орнууд эмийн бодлогыг зөвхөн зах зээлийн харилцаанд даатгах бус, шинжлэх ухаанд суурилсан, олон нийтийн ашиг сонирхлыг хангасан, үр нөлөөтэй зохицуулалтаар дамжуулан хэрэгжүүлэх шаардлагатай байдаг.</w:t>
      </w:r>
    </w:p>
    <w:p w14:paraId="168F1120" w14:textId="77027664" w:rsidR="00CF6BB0" w:rsidRDefault="00CF6BB0" w:rsidP="005C0E55">
      <w:pPr>
        <w:spacing w:line="276" w:lineRule="auto"/>
        <w:ind w:firstLine="720"/>
        <w:contextualSpacing/>
        <w:jc w:val="both"/>
        <w:rPr>
          <w:rFonts w:ascii="Arial" w:hAnsi="Arial" w:cs="Arial"/>
          <w:szCs w:val="24"/>
          <w:lang w:val="mn-MN" w:bidi="mn-Mong-CN"/>
        </w:rPr>
      </w:pPr>
      <w:r w:rsidRPr="00CF6BB0">
        <w:rPr>
          <w:rFonts w:ascii="Arial" w:hAnsi="Arial" w:cs="Arial"/>
          <w:szCs w:val="24"/>
          <w:lang w:val="mn-MN" w:bidi="mn-Mong-CN"/>
        </w:rPr>
        <w:t xml:space="preserve">Монгол Улсын Их Хурлын 2014 оны 57 дугаар </w:t>
      </w:r>
      <w:r>
        <w:rPr>
          <w:rFonts w:ascii="Arial" w:hAnsi="Arial" w:cs="Arial"/>
          <w:szCs w:val="24"/>
          <w:lang w:val="mn-MN" w:bidi="mn-Mong-CN"/>
        </w:rPr>
        <w:t>тогтоолоор “</w:t>
      </w:r>
      <w:r w:rsidRPr="00CF6BB0">
        <w:rPr>
          <w:rFonts w:ascii="Arial" w:hAnsi="Arial" w:cs="Arial"/>
          <w:szCs w:val="24"/>
          <w:lang w:val="mn-MN" w:bidi="mn-Mong-CN"/>
        </w:rPr>
        <w:t>Төрөөс эмийн талаар баримтлах бодлого</w:t>
      </w:r>
      <w:r>
        <w:rPr>
          <w:rFonts w:ascii="Arial" w:hAnsi="Arial" w:cs="Arial"/>
          <w:szCs w:val="24"/>
          <w:lang w:val="mn-MN" w:bidi="mn-Mong-CN"/>
        </w:rPr>
        <w:t xml:space="preserve">”-ыг баталсан бөгөөд энэхүү </w:t>
      </w:r>
      <w:r w:rsidRPr="00CF6BB0">
        <w:rPr>
          <w:rFonts w:ascii="Arial" w:hAnsi="Arial" w:cs="Arial"/>
          <w:szCs w:val="24"/>
          <w:lang w:val="mn-MN" w:bidi="mn-Mong-CN"/>
        </w:rPr>
        <w:t>баримт бичиг нь хүн амыг эмчилгээний өндөр идэвхтэй, аюулгүй, чанартай эмээр хангахад төрөөс баримтлах урт хугацааны чиглэлийг тодорхойл</w:t>
      </w:r>
      <w:r>
        <w:rPr>
          <w:rFonts w:ascii="Arial" w:hAnsi="Arial" w:cs="Arial"/>
          <w:szCs w:val="24"/>
          <w:lang w:val="mn-MN" w:bidi="mn-Mong-CN"/>
        </w:rPr>
        <w:t xml:space="preserve">сон байна. </w:t>
      </w:r>
    </w:p>
    <w:p w14:paraId="66CEF004" w14:textId="3BAB5A20" w:rsidR="00CF6BB0" w:rsidRDefault="00CF6BB0" w:rsidP="005C0E55">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lastRenderedPageBreak/>
        <w:t>Монгол Улсын их хурлын 2020 оны 05 дугаар сарын 136-ний өдөр “</w:t>
      </w:r>
      <w:r w:rsidR="001B7515">
        <w:rPr>
          <w:rFonts w:ascii="Arial" w:hAnsi="Arial" w:cs="Arial"/>
          <w:szCs w:val="24"/>
          <w:lang w:val="mn-MN" w:bidi="mn-Mong-CN"/>
        </w:rPr>
        <w:t>”</w:t>
      </w:r>
      <w:r>
        <w:rPr>
          <w:rFonts w:ascii="Arial" w:hAnsi="Arial" w:cs="Arial"/>
          <w:szCs w:val="24"/>
          <w:lang w:val="mn-MN" w:bidi="mn-Mong-CN"/>
        </w:rPr>
        <w:t xml:space="preserve">Алсын хараа 2050” МУ-ын </w:t>
      </w:r>
      <w:r w:rsidR="001B7515">
        <w:rPr>
          <w:rFonts w:ascii="Arial" w:hAnsi="Arial" w:cs="Arial"/>
          <w:szCs w:val="24"/>
          <w:lang w:val="mn-MN" w:bidi="mn-Mong-CN"/>
        </w:rPr>
        <w:t>у</w:t>
      </w:r>
      <w:r>
        <w:rPr>
          <w:rFonts w:ascii="Arial" w:hAnsi="Arial" w:cs="Arial"/>
          <w:szCs w:val="24"/>
          <w:lang w:val="mn-MN" w:bidi="mn-Mong-CN"/>
        </w:rPr>
        <w:t>рт хугацааны хөгжлийн бодлого”-ы</w:t>
      </w:r>
      <w:r w:rsidR="001B7515">
        <w:rPr>
          <w:rFonts w:ascii="Arial" w:hAnsi="Arial" w:cs="Arial"/>
          <w:szCs w:val="24"/>
          <w:lang w:val="mn-MN" w:bidi="mn-Mong-CN"/>
        </w:rPr>
        <w:t>г</w:t>
      </w:r>
      <w:r>
        <w:rPr>
          <w:rFonts w:ascii="Arial" w:hAnsi="Arial" w:cs="Arial"/>
          <w:szCs w:val="24"/>
          <w:lang w:val="mn-MN" w:bidi="mn-Mong-CN"/>
        </w:rPr>
        <w:t xml:space="preserve"> баталсан бөгөөд уг баримт бичигт э</w:t>
      </w:r>
      <w:r w:rsidRPr="00CF6BB0">
        <w:rPr>
          <w:rFonts w:ascii="Arial" w:hAnsi="Arial" w:cs="Arial"/>
          <w:szCs w:val="24"/>
          <w:lang w:val="mn-MN" w:bidi="mn-Mong-CN"/>
        </w:rPr>
        <w:t>мийн салбарыг хөгжүүлэх</w:t>
      </w:r>
      <w:r>
        <w:rPr>
          <w:rFonts w:ascii="Arial" w:hAnsi="Arial" w:cs="Arial"/>
          <w:szCs w:val="24"/>
          <w:lang w:val="mn-MN" w:bidi="mn-Mong-CN"/>
        </w:rPr>
        <w:t xml:space="preserve"> </w:t>
      </w:r>
      <w:r w:rsidRPr="00CF6BB0">
        <w:rPr>
          <w:rFonts w:ascii="Arial" w:hAnsi="Arial" w:cs="Arial"/>
          <w:szCs w:val="24"/>
          <w:lang w:val="mn-MN" w:bidi="mn-Mong-CN"/>
        </w:rPr>
        <w:t>зорилтуудыг тусгасан байдаг</w:t>
      </w:r>
      <w:r>
        <w:rPr>
          <w:rFonts w:ascii="Arial" w:hAnsi="Arial" w:cs="Arial"/>
          <w:szCs w:val="24"/>
          <w:lang w:val="mn-MN" w:bidi="mn-Mong-CN"/>
        </w:rPr>
        <w:t xml:space="preserve">. </w:t>
      </w:r>
    </w:p>
    <w:p w14:paraId="62418C72" w14:textId="33400203" w:rsidR="00CF6BB0" w:rsidRDefault="00CF6BB0" w:rsidP="005C0E55">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2024 онд Эм, эмнэлгийн хэрэгслийн тухай хуулийн шинэчилсэн найруулгыг  баталсан. </w:t>
      </w:r>
    </w:p>
    <w:p w14:paraId="25F8855B" w14:textId="038D86AD" w:rsidR="00C82129" w:rsidRPr="00F6454D" w:rsidRDefault="00CF6BB0" w:rsidP="00C82129">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МУ-ын Засгийн газрын 2024-2028 оны үйл ажиллагааны хөтөлбөрт эмийн үнийг бууруулах, хүртээмжийг нэмэгдүүлэх тодорхой арга хэмжээнүүдийг тусгасан. </w:t>
      </w:r>
    </w:p>
    <w:p w14:paraId="5C45895F" w14:textId="4B6D373B" w:rsidR="005C0E55" w:rsidRPr="00F6454D" w:rsidRDefault="00C82129" w:rsidP="005C0E55">
      <w:pPr>
        <w:spacing w:line="276" w:lineRule="auto"/>
        <w:ind w:firstLine="720"/>
        <w:contextualSpacing/>
        <w:jc w:val="both"/>
        <w:rPr>
          <w:rFonts w:ascii="Arial" w:hAnsi="Arial" w:cs="Arial"/>
          <w:szCs w:val="24"/>
          <w:lang w:val="mn-MN" w:bidi="mn-Mong-CN"/>
        </w:rPr>
      </w:pPr>
      <w:r>
        <w:rPr>
          <w:rFonts w:ascii="Arial" w:hAnsi="Arial" w:cs="Arial"/>
          <w:szCs w:val="24"/>
          <w:lang w:val="mn-MN" w:bidi="mn-Mong-CN"/>
        </w:rPr>
        <w:t xml:space="preserve">Хэдийгээр манай улс нь эмийн талаар төрөөс баримтлах бодлогын баримт бичиг, ЗГ-ын түвшинд эмийн талаар хэрэгжүүлэх арга хэмжээний төлөвлөгөөтэй мөн </w:t>
      </w:r>
      <w:r w:rsidR="005C0E55" w:rsidRPr="00F6454D">
        <w:rPr>
          <w:rFonts w:ascii="Arial" w:hAnsi="Arial" w:cs="Arial"/>
          <w:szCs w:val="24"/>
          <w:lang w:val="mn-MN" w:bidi="mn-Mong-CN"/>
        </w:rPr>
        <w:t>эмийн бүртгэл, чанар, аюулгүй байдал, ханган нийлүүлэлт, эмийн сангийн үйл ажиллагааг зохицуулсан эрх зүйн орчин харьцангуй бүрдсэн хэдий ч</w:t>
      </w:r>
      <w:r>
        <w:rPr>
          <w:rFonts w:ascii="Arial" w:hAnsi="Arial" w:cs="Arial"/>
          <w:szCs w:val="24"/>
          <w:lang w:val="mn-MN" w:bidi="mn-Mong-CN"/>
        </w:rPr>
        <w:t xml:space="preserve"> иргэдийн</w:t>
      </w:r>
      <w:r w:rsidR="005C0E55" w:rsidRPr="00F6454D">
        <w:rPr>
          <w:rFonts w:ascii="Arial" w:hAnsi="Arial" w:cs="Arial"/>
          <w:szCs w:val="24"/>
          <w:lang w:val="mn-MN" w:bidi="mn-Mong-CN"/>
        </w:rPr>
        <w:t xml:space="preserve"> эмийн сонголт, </w:t>
      </w:r>
      <w:r>
        <w:rPr>
          <w:rFonts w:ascii="Arial" w:hAnsi="Arial" w:cs="Arial"/>
          <w:szCs w:val="24"/>
          <w:lang w:val="mn-MN" w:bidi="mn-Mong-CN"/>
        </w:rPr>
        <w:t xml:space="preserve">эмчийн </w:t>
      </w:r>
      <w:r w:rsidR="005C0E55" w:rsidRPr="00F6454D">
        <w:rPr>
          <w:rFonts w:ascii="Arial" w:hAnsi="Arial" w:cs="Arial"/>
          <w:szCs w:val="24"/>
          <w:lang w:val="mn-MN" w:bidi="mn-Mong-CN"/>
        </w:rPr>
        <w:t>жор бичилт, эдийн засгийн үр аш</w:t>
      </w:r>
      <w:r>
        <w:rPr>
          <w:rFonts w:ascii="Arial" w:hAnsi="Arial" w:cs="Arial"/>
          <w:szCs w:val="24"/>
          <w:lang w:val="mn-MN" w:bidi="mn-Mong-CN"/>
        </w:rPr>
        <w:t>гийг</w:t>
      </w:r>
      <w:r w:rsidR="005C0E55" w:rsidRPr="00F6454D">
        <w:rPr>
          <w:rFonts w:ascii="Arial" w:hAnsi="Arial" w:cs="Arial"/>
          <w:szCs w:val="24"/>
          <w:lang w:val="mn-MN" w:bidi="mn-Mong-CN"/>
        </w:rPr>
        <w:t xml:space="preserve"> цогцоор нь зохицуулах тогтолцоо сул хэвээр байна. Тодруулбал, ижил эмнэл зүйн үр нөлөөтэй эмүүдээс аль эмийг нэн тэргүүнд хэрэглэх, ямар үндэслэлээр сонгох, эмчилгээний үр ашиг ба өртгийн харьцааг хэрхэн тооцох талаар нэгдсэн, заавал мөрдөх удирдамжийн чанартай зохицуулалт хангалтгүй байна.</w:t>
      </w:r>
    </w:p>
    <w:p w14:paraId="72B3F6D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Олон улсын туршлагаас харахад энэ асуудлыг үндэсний эмийн формулари (National Formulary)-ийн тогтолцоогоор шийдвэрлэж байна. Формулари нь хүн амын өвчлөлийн бүтэц, эмчилгээний хэрэгцээ, эмийн эмнэл зүйн үр нөлөө, аюулгүй байдал, эдийн засгийн үнэлгээнд суурилан эмийн сонголтыг чиглүүлдэг бодлогын үндсэн баримт бичиг юм.</w:t>
      </w:r>
    </w:p>
    <w:p w14:paraId="2F15067D" w14:textId="5B6EE5F1" w:rsidR="005C0E55" w:rsidRPr="00F6454D" w:rsidRDefault="005C0E55" w:rsidP="009C4492">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Гэтэл Монгол улсад формулари нь хуульд тусгагдаагүй, эмчийн жор бичилт, даатгалын санхүүжилт, төрийн худалдан авах ажиллагаатай төдийлөн уялдаагүй байгаа нь эмийн зохистой хэрэглээ, эмчилгээний чанар, санхүүгийн тогтвортой байдалд сөргөөр нөлөөлдөг байж болзошгүй. Иймд “Эм, эмнэлгийн хэрэгслийн тухай” хуульд нэмэлт, өөрчлөлт оруулж, формуларийн тогтолцоог эрх зүйн түвшинд бүрдүүлэх хэрэгцээ, шаардлагыг урьдчилан тандан судлах нь зайлшгүй шаардлагатай байна.</w:t>
      </w:r>
      <w:r w:rsidR="00D214C3">
        <w:rPr>
          <w:rFonts w:ascii="Arial" w:hAnsi="Arial" w:cs="Arial"/>
          <w:szCs w:val="24"/>
          <w:lang w:val="mn-MN" w:bidi="mn-Mong-CN"/>
        </w:rPr>
        <w:t xml:space="preserve"> </w:t>
      </w:r>
    </w:p>
    <w:p w14:paraId="54A6AEB8"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1.2. Судалгааны зорилго, зорилт</w:t>
      </w:r>
    </w:p>
    <w:p w14:paraId="1989A35C"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Монгол Улсад эмийн сонголт, жор бичилт, эмийн эмчилгээний үр ашиг, эдийн засгийн тогтвортой байдлыг хангах үүднээс үндэсний эмийн формулари болон түүнийг хэрэгжүүлэх эрх зүйн зохицуулалтыг “Эм, эмнэлгийн хэрэгслийн тухай” хуульд тусгах хэрэгцээ, шаардлагыг тодорхойлж, хууль санаачлагчид үндэслэлтэй санал, зөвлөмж боловсруулахад оршино.</w:t>
      </w:r>
    </w:p>
    <w:p w14:paraId="504CC415"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Энэхүү судалгааны хүрээнд дараах зорилтуудыг дэвшүүлэв. Үүнд:</w:t>
      </w:r>
    </w:p>
    <w:p w14:paraId="2C0B344B"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t>Монгол Улсад эмийн сонголттой холбоотой тулгамдаж буй асуудлыг тодорхойлох;</w:t>
      </w:r>
    </w:p>
    <w:p w14:paraId="44E1F2D8"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t>Формуларийн тогтолцоог хуульчлаагүйгээс үүдэх сөрөг үр дагаврыг судлан тогтоох;</w:t>
      </w:r>
    </w:p>
    <w:p w14:paraId="2B2E1AE4"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t>Эмийн бодлогын зохицуулалтын боломжит хувилбаруудыг тодорхойлж, харьцуулан үнэлэх;</w:t>
      </w:r>
    </w:p>
    <w:p w14:paraId="22CA6F2D"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t>Формулариг хууль тогтоомжийн түвшинд зохицуулах нь хүний эрх, эдийн засаг, нийгэм, байгаль орчинд үзүүлэх үр нөлөөг урьдчилан тооцох;</w:t>
      </w:r>
    </w:p>
    <w:p w14:paraId="4B17DCBA"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lastRenderedPageBreak/>
        <w:t>Олон улсын болон бусад улсын эрх зүйн зохицуулалтын сайн туршлагыг судлан Монгол Улсад нутагшуулах боломжийг тодорхойлох;</w:t>
      </w:r>
    </w:p>
    <w:p w14:paraId="6D7B9B11" w14:textId="77777777" w:rsidR="005C0E55" w:rsidRPr="00F6454D" w:rsidRDefault="005C0E55" w:rsidP="005C0E55">
      <w:pPr>
        <w:pStyle w:val="ListParagraph"/>
        <w:numPr>
          <w:ilvl w:val="0"/>
          <w:numId w:val="2"/>
        </w:numPr>
        <w:spacing w:after="300" w:line="276" w:lineRule="auto"/>
        <w:jc w:val="both"/>
        <w:rPr>
          <w:rFonts w:ascii="Arial" w:hAnsi="Arial" w:cs="Arial"/>
          <w:szCs w:val="24"/>
          <w:lang w:val="mn-MN" w:bidi="mn-Mong-CN"/>
        </w:rPr>
      </w:pPr>
      <w:r w:rsidRPr="00F6454D">
        <w:rPr>
          <w:rFonts w:ascii="Arial" w:hAnsi="Arial" w:cs="Arial"/>
          <w:szCs w:val="24"/>
          <w:lang w:val="mn-MN" w:bidi="mn-Mong-CN"/>
        </w:rPr>
        <w:t>“Эм, эмнэлгийн хэрэгслийн тухай” хуульд нэмэлт, өөрчлөлт оруулах бодитой, хэрэгжихүйц санал боловсруулах.</w:t>
      </w:r>
    </w:p>
    <w:p w14:paraId="39F8D0AA"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1.3. Судалгааны хамрах хүрээ</w:t>
      </w:r>
    </w:p>
    <w:p w14:paraId="1969DC68"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Энэхүү урьдчилан тандан судалсан судалгаа нь: жороор олгодог эмийн сонголт, үндэсний эмийн формулари, эмчийн жор бичилт, эмийн талаар төрөөс баримтлах бодлого, эрүүл мэндийн даатгалын сангийн эмийн санхүүжилт, төрийн болон орон нутгийн өмчийн хөрөнгөөр эм худалдан авах бодлого зэрэг харилцааг хамаарна. </w:t>
      </w:r>
    </w:p>
    <w:p w14:paraId="0D3942AC" w14:textId="77777777" w:rsidR="005C0E55" w:rsidRPr="00F6454D" w:rsidRDefault="005C0E55" w:rsidP="005C0E55">
      <w:pPr>
        <w:spacing w:line="276" w:lineRule="auto"/>
        <w:contextualSpacing/>
        <w:jc w:val="both"/>
        <w:rPr>
          <w:rFonts w:ascii="Arial" w:hAnsi="Arial" w:cs="Arial"/>
          <w:szCs w:val="24"/>
          <w:lang w:val="mn-MN" w:bidi="mn-Mong-CN"/>
        </w:rPr>
      </w:pPr>
    </w:p>
    <w:p w14:paraId="68BF7F7F"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1.4. Судалгааны арга зүй</w:t>
      </w:r>
    </w:p>
    <w:p w14:paraId="158B222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Судалгааг “Хууль тогтоомжийн хэрэгцээ, шаардлагыг урьдчилан тандан судлах аргачлал”-д заасан дараах үе шат, арга зүйн хүрээнд гүйцэтгэв. Үүнд:</w:t>
      </w:r>
    </w:p>
    <w:p w14:paraId="15A8EA30"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асуудалд дүн шинжилгээ хийх;</w:t>
      </w:r>
    </w:p>
    <w:p w14:paraId="0C2CEEA2"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асуудлыг шийдвэрлэх зорилгыг томьёолох;</w:t>
      </w:r>
    </w:p>
    <w:p w14:paraId="32CB835C"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зохицуулалтын хувилбаруудыг тодорхойлох;</w:t>
      </w:r>
    </w:p>
    <w:p w14:paraId="447B3757"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хувилбаруудын үр нөлөөг урьдчилан тандан судлах;</w:t>
      </w:r>
    </w:p>
    <w:p w14:paraId="4606D30E"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олон улсын харьцуулсан судалгаа хийх;</w:t>
      </w:r>
    </w:p>
    <w:p w14:paraId="0EDBA0BF" w14:textId="77777777" w:rsidR="005C0E55" w:rsidRPr="00F6454D" w:rsidRDefault="005C0E55" w:rsidP="005C0E55">
      <w:pPr>
        <w:pStyle w:val="ListParagraph"/>
        <w:numPr>
          <w:ilvl w:val="0"/>
          <w:numId w:val="1"/>
        </w:numPr>
        <w:spacing w:after="300" w:line="276" w:lineRule="auto"/>
        <w:jc w:val="both"/>
        <w:rPr>
          <w:rFonts w:ascii="Arial" w:hAnsi="Arial" w:cs="Arial"/>
          <w:szCs w:val="24"/>
          <w:lang w:val="mn-MN" w:bidi="mn-Mong-CN"/>
        </w:rPr>
      </w:pPr>
      <w:r w:rsidRPr="00F6454D">
        <w:rPr>
          <w:rFonts w:ascii="Arial" w:hAnsi="Arial" w:cs="Arial"/>
          <w:szCs w:val="24"/>
          <w:lang w:val="mn-MN" w:bidi="mn-Mong-CN"/>
        </w:rPr>
        <w:t>дүгнэлт, зөвлөмж боловсруулах.</w:t>
      </w:r>
    </w:p>
    <w:p w14:paraId="1AB27F01" w14:textId="62062200"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Судалгаанд хууль зүйн дүн шинжилгээ, бодлогын баримт бичгийн судалгаа, харьцуулсан судалгаа, чанарын үнэлгээний аргуудыг ашиглав.</w:t>
      </w:r>
      <w:r w:rsidR="000A6614">
        <w:rPr>
          <w:rFonts w:ascii="Arial" w:hAnsi="Arial" w:cs="Arial"/>
          <w:szCs w:val="24"/>
          <w:lang w:val="mn-MN" w:bidi="mn-Mong-CN"/>
        </w:rPr>
        <w:t xml:space="preserve"> </w:t>
      </w:r>
    </w:p>
    <w:p w14:paraId="065FD304" w14:textId="77777777" w:rsidR="009C4492" w:rsidRDefault="009C4492" w:rsidP="009C4492">
      <w:pPr>
        <w:spacing w:line="276" w:lineRule="auto"/>
        <w:contextualSpacing/>
        <w:rPr>
          <w:rFonts w:ascii="Arial" w:hAnsi="Arial" w:cs="Arial"/>
          <w:szCs w:val="24"/>
          <w:lang w:val="mn-MN" w:bidi="mn-Mong-CN"/>
        </w:rPr>
      </w:pPr>
    </w:p>
    <w:p w14:paraId="572FE7AE" w14:textId="15AC19A0" w:rsidR="005C0E55" w:rsidRPr="009C4492" w:rsidRDefault="005C0E55" w:rsidP="009C4492">
      <w:pPr>
        <w:spacing w:line="276" w:lineRule="auto"/>
        <w:contextualSpacing/>
        <w:jc w:val="center"/>
        <w:rPr>
          <w:rFonts w:ascii="Arial" w:hAnsi="Arial" w:cs="Arial"/>
          <w:szCs w:val="24"/>
          <w:lang w:val="mn-MN" w:bidi="mn-Mong-CN"/>
        </w:rPr>
      </w:pPr>
      <w:r w:rsidRPr="00F6454D">
        <w:rPr>
          <w:rFonts w:ascii="Arial" w:hAnsi="Arial" w:cs="Arial"/>
          <w:b/>
          <w:bCs/>
          <w:szCs w:val="24"/>
          <w:lang w:val="mn-MN" w:bidi="mn-Mong-CN"/>
        </w:rPr>
        <w:t>НЭГДҮГЭЭР БҮЛЭГ. ЭРХ ЗҮЙН ОРЧНЫ ШИНЖИЛГЭЭ</w:t>
      </w:r>
    </w:p>
    <w:p w14:paraId="63D7E2C3"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(Аргачлалын 3.1.1, 3.1.3-тэй уялдана)</w:t>
      </w:r>
    </w:p>
    <w:p w14:paraId="6C2349E6" w14:textId="77777777" w:rsidR="005C0E55" w:rsidRPr="00F6454D" w:rsidRDefault="005C0E55" w:rsidP="005C0E55">
      <w:pPr>
        <w:spacing w:line="276" w:lineRule="auto"/>
        <w:contextualSpacing/>
        <w:jc w:val="both"/>
        <w:rPr>
          <w:rFonts w:ascii="Arial" w:hAnsi="Arial" w:cs="Arial"/>
          <w:szCs w:val="24"/>
          <w:lang w:val="mn-MN" w:bidi="mn-Mong-CN"/>
        </w:rPr>
      </w:pPr>
    </w:p>
    <w:p w14:paraId="20D6EE7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Монгол улсад хүний эрүүл мэндийн асуудлыг Монгол Улсын Үндсэн хуулийн 16 дугаар зүйлийн 16.6 дахь хэсэгт “эрүүл мэндээ хамгаалуулах, эмнэлгийн тусламж авах эрхтэй”</w:t>
      </w:r>
      <w:r w:rsidRPr="00F6454D">
        <w:rPr>
          <w:rStyle w:val="FootnoteReference"/>
          <w:rFonts w:ascii="Arial" w:hAnsi="Arial" w:cs="Arial"/>
          <w:szCs w:val="24"/>
          <w:lang w:val="mn-MN" w:bidi="mn-Mong-CN"/>
        </w:rPr>
        <w:footnoteReference w:id="1"/>
      </w:r>
      <w:r w:rsidRPr="00F6454D">
        <w:rPr>
          <w:rFonts w:ascii="Arial" w:hAnsi="Arial" w:cs="Arial"/>
          <w:szCs w:val="24"/>
          <w:lang w:val="mn-MN" w:bidi="mn-Mong-CN"/>
        </w:rPr>
        <w:t xml:space="preserve">  хэмээн баталгаажуулж, Эрүүл мэндийн тухай хууль</w:t>
      </w:r>
      <w:r w:rsidRPr="00F6454D">
        <w:rPr>
          <w:rStyle w:val="FootnoteReference"/>
          <w:rFonts w:ascii="Arial" w:hAnsi="Arial" w:cs="Arial"/>
          <w:szCs w:val="24"/>
          <w:lang w:val="mn-MN" w:bidi="mn-Mong-CN"/>
        </w:rPr>
        <w:footnoteReference w:id="2"/>
      </w:r>
      <w:r w:rsidRPr="00F6454D">
        <w:rPr>
          <w:rFonts w:ascii="Arial" w:hAnsi="Arial" w:cs="Arial"/>
          <w:szCs w:val="24"/>
          <w:lang w:val="mn-MN" w:bidi="mn-Mong-CN"/>
        </w:rPr>
        <w:t>, Эмнэлгийн тусламж, үйлчилгээний тухай хууль</w:t>
      </w:r>
      <w:r w:rsidRPr="00F6454D">
        <w:rPr>
          <w:rStyle w:val="FootnoteReference"/>
          <w:rFonts w:ascii="Arial" w:hAnsi="Arial" w:cs="Arial"/>
          <w:szCs w:val="24"/>
          <w:lang w:val="mn-MN" w:bidi="mn-Mong-CN"/>
        </w:rPr>
        <w:footnoteReference w:id="3"/>
      </w:r>
      <w:r w:rsidRPr="00F6454D">
        <w:rPr>
          <w:rFonts w:ascii="Arial" w:hAnsi="Arial" w:cs="Arial"/>
          <w:szCs w:val="24"/>
          <w:lang w:val="mn-MN" w:bidi="mn-Mong-CN"/>
        </w:rPr>
        <w:t>, Эм, эмнэлгийн хэрэгслийн тухай хууль</w:t>
      </w:r>
      <w:r w:rsidRPr="00F6454D">
        <w:rPr>
          <w:rStyle w:val="FootnoteReference"/>
          <w:rFonts w:ascii="Arial" w:hAnsi="Arial" w:cs="Arial"/>
          <w:szCs w:val="24"/>
          <w:lang w:val="mn-MN" w:bidi="mn-Mong-CN"/>
        </w:rPr>
        <w:footnoteReference w:id="4"/>
      </w:r>
      <w:r w:rsidRPr="00F6454D">
        <w:rPr>
          <w:rFonts w:ascii="Arial" w:hAnsi="Arial" w:cs="Arial"/>
          <w:szCs w:val="24"/>
          <w:lang w:val="mn-MN" w:bidi="mn-Mong-CN"/>
        </w:rPr>
        <w:t>, Сэтгэцийн эрүүл мэндийн тухай хууль</w:t>
      </w:r>
      <w:r w:rsidRPr="00F6454D">
        <w:rPr>
          <w:rStyle w:val="FootnoteReference"/>
          <w:rFonts w:ascii="Arial" w:hAnsi="Arial" w:cs="Arial"/>
          <w:szCs w:val="24"/>
          <w:lang w:val="mn-MN" w:bidi="mn-Mong-CN"/>
        </w:rPr>
        <w:footnoteReference w:id="5"/>
      </w:r>
      <w:r w:rsidRPr="00F6454D">
        <w:rPr>
          <w:rFonts w:ascii="Arial" w:hAnsi="Arial" w:cs="Arial"/>
          <w:szCs w:val="24"/>
          <w:lang w:val="mn-MN" w:bidi="mn-Mong-CN"/>
        </w:rPr>
        <w:t xml:space="preserve"> зэрэг хууль тогтоомжуудыг батлан хэрэгжүүлж байна.</w:t>
      </w:r>
    </w:p>
    <w:p w14:paraId="708668D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Түүнээс гадна “Алсын хараа 2050”</w:t>
      </w:r>
      <w:r w:rsidRPr="00F6454D">
        <w:rPr>
          <w:rStyle w:val="FootnoteReference"/>
          <w:rFonts w:ascii="Arial" w:hAnsi="Arial" w:cs="Arial"/>
          <w:szCs w:val="24"/>
          <w:lang w:val="mn-MN" w:bidi="mn-Mong-CN"/>
        </w:rPr>
        <w:footnoteReference w:id="6"/>
      </w:r>
      <w:r w:rsidRPr="00F6454D">
        <w:rPr>
          <w:rFonts w:ascii="Arial" w:hAnsi="Arial" w:cs="Arial"/>
          <w:szCs w:val="24"/>
          <w:lang w:val="mn-MN" w:bidi="mn-Mong-CN"/>
        </w:rPr>
        <w:t xml:space="preserve"> Монгол улсын урт хугацааны хөгжлийн бодлогын 2021–2030 онд хэрэгжүүлэх 2.2 дахь зорилтод эрүүл мэндийн асуудлыг </w:t>
      </w:r>
      <w:r w:rsidRPr="00F6454D">
        <w:rPr>
          <w:rFonts w:ascii="Arial" w:hAnsi="Arial" w:cs="Arial"/>
          <w:szCs w:val="24"/>
          <w:lang w:val="mn-MN" w:bidi="mn-Mong-CN"/>
        </w:rPr>
        <w:lastRenderedPageBreak/>
        <w:t>бүрэн тодорхойлж, түүнтэй уялдуулан Монгол Улсын Засгийн газрын 2024-2028 оны үйл ажиллагааны хөтөлбөрийн</w:t>
      </w:r>
      <w:r w:rsidRPr="00F6454D">
        <w:rPr>
          <w:rStyle w:val="FootnoteReference"/>
          <w:rFonts w:ascii="Arial" w:hAnsi="Arial" w:cs="Arial"/>
          <w:szCs w:val="24"/>
          <w:lang w:val="mn-MN" w:bidi="mn-Mong-CN"/>
        </w:rPr>
        <w:footnoteReference w:id="7"/>
      </w:r>
      <w:r w:rsidRPr="00F6454D">
        <w:rPr>
          <w:rFonts w:ascii="Arial" w:hAnsi="Arial" w:cs="Arial"/>
          <w:szCs w:val="24"/>
          <w:lang w:val="mn-MN" w:bidi="mn-Mong-CN"/>
        </w:rPr>
        <w:t xml:space="preserve"> 2.3 дахь хэсэг “Эрүүл монгол хүн” хөтөлбөрийг боловсруулан хэрэгжүүлж байна. </w:t>
      </w:r>
    </w:p>
    <w:p w14:paraId="6F713A1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Харин эм, эмнэлгийн хэрэгслийн харилцааг зохицуулсан суурь хууль нь “Эм, эмнэлгийн хэрэгслийн тухай” хууль юм. Уг хууль нь эмийн бүртгэл, үйлдвэрлэл, импорт, хадгалалт, түгээлт, чанар, аюулгүй байдал, эмийн сангийн үйл ажиллагаа, хяналт шалгалтын үндсэн зохицуулалтыг тодорхойлдог.</w:t>
      </w:r>
    </w:p>
    <w:p w14:paraId="65CDE4C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Тус хуульд эмийн чанар, аюулгүй байдлыг хангахтай холбоотой заалтууд харьцангуй нарийвчлагдсан боловч эмийн эмчилгээний сонголт, эдийн засгийн үр ашиг асуудлууд нь харьцангуй ерөнхий түвшинд зохицуулагдаж, эмийн бүртгэл гэх ойлголтыг хуульчилсан байна. Тухайлбал, Эм, эмнэлгийн хэрэгслийн тухай хуульд</w:t>
      </w:r>
      <w:r w:rsidRPr="00F6454D">
        <w:rPr>
          <w:rStyle w:val="FootnoteReference"/>
          <w:rFonts w:ascii="Arial" w:hAnsi="Arial" w:cs="Arial"/>
          <w:szCs w:val="24"/>
          <w:lang w:val="mn-MN" w:bidi="mn-Mong-CN"/>
        </w:rPr>
        <w:footnoteReference w:id="8"/>
      </w:r>
      <w:r w:rsidRPr="00F6454D">
        <w:rPr>
          <w:rFonts w:ascii="Arial" w:hAnsi="Arial" w:cs="Arial"/>
          <w:szCs w:val="24"/>
          <w:lang w:val="mn-MN" w:bidi="mn-Mong-CN"/>
        </w:rPr>
        <w:t xml:space="preserve"> “эмийн зохистой хэрэглээ”-г дэмжих тухай зорилт тусгагдсан, “зайлшгүй шаардлагатай эмийн жагсаалт”-ыг батлах эрх бүхий байгууллагын бүрэн эрхийг тодорхойлсон, жороор олгох эмийн талаарх нийтлэг шаардлага тусгасан. Мөн эмийг улсын бүртгэл, нөхцөлт бүртгэл хэлбэрээр бүртгэж Монгол улсад худалдаалах зохицуулалттай байна. </w:t>
      </w:r>
    </w:p>
    <w:p w14:paraId="26CFC76C"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 эмнэлгийн хэрэгслийн хяналт зохицуулалтын газрын үйл ажиллагаанд эмийн бүртгэл, зохицуулалттай холбогдуулан ашиглагдаж буй дараах журмууд байна. Үүнд:</w:t>
      </w:r>
    </w:p>
    <w:p w14:paraId="0C223522" w14:textId="77777777" w:rsidR="005C0E55" w:rsidRPr="00F6454D" w:rsidRDefault="005C0E55" w:rsidP="005C0E55">
      <w:pPr>
        <w:pStyle w:val="ListParagraph"/>
        <w:numPr>
          <w:ilvl w:val="0"/>
          <w:numId w:val="5"/>
        </w:numPr>
        <w:spacing w:line="276" w:lineRule="auto"/>
        <w:jc w:val="both"/>
        <w:rPr>
          <w:rFonts w:ascii="Arial" w:hAnsi="Arial"/>
          <w:szCs w:val="24"/>
          <w:lang w:val="mn-MN" w:bidi="mn-Mong-CN"/>
        </w:rPr>
      </w:pPr>
      <w:r w:rsidRPr="00F6454D">
        <w:rPr>
          <w:rFonts w:ascii="Arial" w:hAnsi="Arial" w:cs="Arial"/>
          <w:szCs w:val="24"/>
          <w:lang w:val="mn-MN" w:bidi="mn-Mong-CN"/>
        </w:rPr>
        <w:t>“Эм, эмийн үйлчлэгч бодис, эмнэлгийн хэрэгсэл, эрүүл мэндийн нэмэлт бүтээгдэхүүнийг бүртгэх журам” Эрүүл мэндийн сайдын 2025 оны 05 дугаар сарын 26-ны өдрийн А/206 дугаар тушаалаар батлагдсан</w:t>
      </w:r>
      <w:r w:rsidRPr="00F6454D">
        <w:rPr>
          <w:rFonts w:ascii="Arial" w:hAnsi="Arial" w:hint="cs"/>
          <w:szCs w:val="24"/>
          <w:cs/>
          <w:lang w:val="mn-MN" w:bidi="mn-Mong-CN"/>
        </w:rPr>
        <w:t xml:space="preserve">︔ </w:t>
      </w:r>
    </w:p>
    <w:p w14:paraId="175D03FD" w14:textId="77777777" w:rsidR="005C0E55" w:rsidRPr="00F6454D" w:rsidRDefault="005C0E55" w:rsidP="005C0E55">
      <w:pPr>
        <w:pStyle w:val="ListParagraph"/>
        <w:numPr>
          <w:ilvl w:val="0"/>
          <w:numId w:val="5"/>
        </w:numPr>
        <w:spacing w:line="276" w:lineRule="auto"/>
        <w:jc w:val="both"/>
        <w:rPr>
          <w:rFonts w:ascii="Arial" w:hAnsi="Arial"/>
          <w:szCs w:val="24"/>
          <w:lang w:val="mn-MN" w:bidi="mn-Mong-CN"/>
        </w:rPr>
      </w:pPr>
      <w:r w:rsidRPr="00F6454D">
        <w:rPr>
          <w:rFonts w:ascii="Arial" w:hAnsi="Arial" w:cs="Arial"/>
          <w:szCs w:val="24"/>
          <w:lang w:val="mn-MN" w:bidi="mn-Mong-CN"/>
        </w:rPr>
        <w:t>Эм, эмийн түүхий эд, биологийн идэвхт бүтээгдэхүүний бүртгэлийн журам</w:t>
      </w:r>
      <w:r w:rsidRPr="00F6454D">
        <w:rPr>
          <w:rFonts w:ascii="Arial" w:hAnsi="Arial" w:hint="cs"/>
          <w:szCs w:val="24"/>
          <w:cs/>
          <w:lang w:val="mn-MN" w:bidi="mn-Mong-CN"/>
        </w:rPr>
        <w:t xml:space="preserve">︔ </w:t>
      </w:r>
    </w:p>
    <w:p w14:paraId="666EC1F2" w14:textId="710AAAC7" w:rsidR="005C0E55" w:rsidRPr="00F6454D" w:rsidRDefault="005C0E55" w:rsidP="005C0E55">
      <w:pPr>
        <w:pStyle w:val="ListParagraph"/>
        <w:numPr>
          <w:ilvl w:val="0"/>
          <w:numId w:val="5"/>
        </w:numPr>
        <w:spacing w:line="276" w:lineRule="auto"/>
        <w:jc w:val="both"/>
        <w:rPr>
          <w:rFonts w:ascii="Arial" w:hAnsi="Arial" w:cs="Arial"/>
          <w:szCs w:val="24"/>
          <w:lang w:val="mn-MN" w:bidi="mn-Mong-CN"/>
        </w:rPr>
      </w:pPr>
      <w:r w:rsidRPr="00F6454D">
        <w:rPr>
          <w:rFonts w:ascii="Arial" w:hAnsi="Arial" w:cs="Arial"/>
          <w:szCs w:val="24"/>
          <w:lang w:val="mn-MN" w:bidi="mn-Mong-CN"/>
        </w:rPr>
        <w:t>“Тусламж</w:t>
      </w:r>
      <w:r w:rsidR="00674CB8">
        <w:rPr>
          <w:rFonts w:ascii="Arial" w:hAnsi="Arial" w:cs="Arial"/>
          <w:szCs w:val="24"/>
          <w:lang w:val="mn-MN" w:bidi="mn-Mong-CN"/>
        </w:rPr>
        <w:t xml:space="preserve">, </w:t>
      </w:r>
      <w:r w:rsidRPr="00F6454D">
        <w:rPr>
          <w:rFonts w:ascii="Arial" w:hAnsi="Arial" w:cs="Arial"/>
          <w:szCs w:val="24"/>
          <w:lang w:val="mn-MN" w:bidi="mn-Mong-CN"/>
        </w:rPr>
        <w:t>хандиваар эм, эмнэлгийн хэрэгсэл хүлээн авах, хэрэглэх журам” Эрүүл мэндийн сайдын 2024 оны 06 дугаар сарын 06-ны өдөр  А/203 тушаалаар батлагдсан</w:t>
      </w:r>
      <w:r w:rsidRPr="00F6454D">
        <w:rPr>
          <w:rFonts w:ascii="Arial" w:hAnsi="Arial"/>
          <w:szCs w:val="24"/>
          <w:lang w:val="mn-MN" w:bidi="mn-Mong-CN"/>
        </w:rPr>
        <w:t>;</w:t>
      </w:r>
    </w:p>
    <w:p w14:paraId="4213543B" w14:textId="77777777" w:rsidR="005C0E55" w:rsidRPr="00F6454D" w:rsidRDefault="005C0E55" w:rsidP="005C0E55">
      <w:pPr>
        <w:pStyle w:val="ListParagraph"/>
        <w:numPr>
          <w:ilvl w:val="0"/>
          <w:numId w:val="5"/>
        </w:numPr>
        <w:spacing w:line="276" w:lineRule="auto"/>
        <w:jc w:val="both"/>
        <w:rPr>
          <w:rFonts w:ascii="Arial" w:hAnsi="Arial" w:cs="Arial"/>
          <w:szCs w:val="24"/>
          <w:lang w:val="mn-MN" w:bidi="mn-Mong-CN"/>
        </w:rPr>
      </w:pPr>
      <w:r w:rsidRPr="00F6454D">
        <w:rPr>
          <w:rFonts w:ascii="Arial" w:hAnsi="Arial" w:cs="Arial"/>
          <w:szCs w:val="24"/>
          <w:lang w:val="mn-MN" w:bidi="mn-Mong-CN"/>
        </w:rPr>
        <w:t xml:space="preserve">Зайлшгүй шаардлагатай эмийн 10 дахь жагсаалт", "Хүүхдийн зайлшгүй шаардлагатай эмийн 3 дахь жагсаалт"-ыг тус тус Эрүүл мэндийн сайдын 2023 оны 08 дугаар сарын 24-ний өдрийн шинэчлэн батлах тухай тушаалаар батлагдсан. </w:t>
      </w:r>
    </w:p>
    <w:p w14:paraId="7A9323D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Мөн Эрүүл мэндийн тухай</w:t>
      </w:r>
      <w:r w:rsidRPr="00F6454D">
        <w:rPr>
          <w:rStyle w:val="FootnoteReference"/>
          <w:rFonts w:ascii="Arial" w:hAnsi="Arial" w:cs="Arial"/>
          <w:szCs w:val="24"/>
          <w:lang w:val="mn-MN" w:bidi="mn-Mong-CN"/>
        </w:rPr>
        <w:footnoteReference w:id="9"/>
      </w:r>
      <w:r w:rsidRPr="00F6454D">
        <w:rPr>
          <w:rFonts w:ascii="Arial" w:hAnsi="Arial" w:cs="Arial"/>
          <w:szCs w:val="24"/>
          <w:lang w:val="mn-MN" w:bidi="mn-Mong-CN"/>
        </w:rPr>
        <w:t xml:space="preserve"> хуулийн 19 дүгээр зүйлд Эрүүл мэндийн чиглэлээр үйл ажиллагаа эрхлэх тусгай зөвшөөрөл олгох, сунгах, хүчингүй болгох асуудлыг зохицуулахдаа 19 дүгээр зүйлийн 19.3.3 дахь хэсэгт “эм, мансууруулах эм, сэтгэцэд нөлөөт эм, эмнэлгийн тоног төхөөрөмж, лабораторийн оношилгооны хэрэгсэл, эмнэлгийн хэрэглэгдэхүүн импортлох-ханган нийлүүлэх” байгууллагад эрүүл мэндийн чиглэлээр үйл ажиллагаа эрхлэх тусгай зөвшөөрөл олгохоор тусгасан. </w:t>
      </w:r>
    </w:p>
    <w:p w14:paraId="79D1CE3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“Алсын хараа 2050” урт хугацааны хөгжлийн бодлогын 2021–2030 онд хэрэгжүүлэх 2.2.24 дэх зорилтод тусгасан эмийн талаар баримтлах бодлогыг </w:t>
      </w:r>
      <w:r w:rsidRPr="00F6454D">
        <w:rPr>
          <w:rFonts w:ascii="Arial" w:hAnsi="Arial" w:cs="Arial"/>
          <w:szCs w:val="24"/>
          <w:lang w:val="mn-MN" w:bidi="mn-Mong-CN"/>
        </w:rPr>
        <w:lastRenderedPageBreak/>
        <w:t>дэлгэрүүлбэл: “эм, эмнэлгийн хэрэгслийн чанар, аюулгүй байдал, бүртгэл, импорт, түгээлт, цахим хяналтын тогтолцоог нэгтгэсэн эмийн зохицуулалтын нэгдсэн байгууллага байгуулна” хэмээсэн нь эмийн бодлогыг илүү төвлөрсөн, уялдаатай, системчилсэн байдлаар хэрэгжүүлэх стратегийн чиглэлийг тодорхойлж байна.</w:t>
      </w:r>
    </w:p>
    <w:p w14:paraId="00E1AE64"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Монгол Улсын Засгийн газрын 2024-2028 оны үйл ажиллагааны хөтөлбөрийн  2.3 дахь хэсэг “Эрүүл монгол хүн” хөтөлбөрт эмийн талаар авах арга хэмжээг дурдвал: </w:t>
      </w:r>
    </w:p>
    <w:p w14:paraId="6CEBD6A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“2.3.3.1.Олон улсын зохистой дадал, стандартыг бүрэн нэвтрүүлж, эм, эмнэлгийн хэрэгслийн салбар дундын мэдээллийн нэгдсэн тогтолцоог бүрдүүлж, эмийн импортыг бүрэн цахимжуулна. </w:t>
      </w:r>
    </w:p>
    <w:p w14:paraId="2E973BA2"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2.3.3.2.Эм,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14:paraId="7AD78F3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2.3.3.3.Эмийн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  гэж тусгасан.</w:t>
      </w:r>
    </w:p>
    <w:p w14:paraId="3A9F0BC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Харин эмийн талаарх эрх зүйн орчныг зохицуулж байгаа Эм, эмнэлгийн хэрэгслийн тухай хууль болон бусад хууль тогтоомж, эрх зүйн баримт бичгүүдэд формуларитай холбоотой зохицуулалт тусгагдаагүй болохыг дараах хэдэн шалгуураар тодорхойлж болно. Үүнд: </w:t>
      </w:r>
    </w:p>
    <w:p w14:paraId="02929082" w14:textId="77777777" w:rsidR="005C0E55" w:rsidRPr="00F6454D" w:rsidRDefault="005C0E55" w:rsidP="005C0E55">
      <w:pPr>
        <w:spacing w:line="276" w:lineRule="auto"/>
        <w:contextualSpacing/>
        <w:jc w:val="both"/>
        <w:rPr>
          <w:rFonts w:ascii="Arial" w:hAnsi="Arial" w:cs="Arial"/>
          <w:lang w:val="mn-MN"/>
        </w:rPr>
      </w:pPr>
    </w:p>
    <w:p w14:paraId="4BBE70D7" w14:textId="77777777"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 xml:space="preserve">Нэг. Нэр томьёоны түвшинд орхигдсон байдал: </w:t>
      </w:r>
    </w:p>
    <w:p w14:paraId="63FBC8FD" w14:textId="77777777"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“Эм, эмнэлгийн хэрэгслийн тухай” хуулийн нэр томьёоны хэсэгт “эм”, “эмийн зохистой хэрэглээ”, “жороор олгох эм”, “зайлшгүй шаардлагатай эм” гэсэн ойлголтууд тусгагдсан боловч “үндэсний эмийн формулари” гэсэн ойлголт огт байхгүй. Энэ нь формуларийг хууль зүйн утгаар тодорхойлох, бусад зохицуулалттай уялдуулах боломжийг хязгаарлаж, формуларийг бодлогын бус, зөвлөмжийн түвшинд үлдээж байна.</w:t>
      </w:r>
    </w:p>
    <w:p w14:paraId="4D5A7D6F" w14:textId="77777777" w:rsidR="005C0E55" w:rsidRPr="00F6454D" w:rsidRDefault="005C0E55" w:rsidP="005C0E55">
      <w:pPr>
        <w:spacing w:line="276" w:lineRule="auto"/>
        <w:contextualSpacing/>
        <w:jc w:val="both"/>
        <w:rPr>
          <w:rFonts w:ascii="Arial" w:hAnsi="Arial" w:cs="Arial"/>
          <w:lang w:val="mn-MN"/>
        </w:rPr>
      </w:pPr>
    </w:p>
    <w:p w14:paraId="238AD7E7" w14:textId="77777777"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 xml:space="preserve">Хоёр. Эмийн сонголтыг бодлогын түвшинд зохицулаагүй байдал: </w:t>
      </w:r>
    </w:p>
    <w:p w14:paraId="208984D3" w14:textId="77777777"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Одоогийн зохицуулалтаар эмч нь эмийг эмнэл зүйн мэдлэг, туршлагадаа тулгуурлан сонгох эрхтэй боловч энэ нь эмийн сонголтыг чиглүүлэх, эмчилгээ, оношилгооны удирдамжийг баримтлах, нотолгоонд суурилсан бодлогын түвшний баримт бичиг заавал баримтлах шаардлага хуульд тусгагдаагүй байна. Үүний улмаас ижил өвчний үед өөр өөр эмчилгээний схем хэрэглэгдэх, өртөг өндөр, үр нөлөө ижил эм давуу байдал олж авах, эрүүл мэндийн даатгалын сангийн зардал хэт өсөх зэрэг эрсдэл бий болж байна.</w:t>
      </w:r>
    </w:p>
    <w:p w14:paraId="56B94634" w14:textId="77777777" w:rsidR="005C0E55" w:rsidRPr="00F6454D" w:rsidRDefault="005C0E55" w:rsidP="005C0E55">
      <w:pPr>
        <w:spacing w:line="276" w:lineRule="auto"/>
        <w:ind w:firstLine="720"/>
        <w:contextualSpacing/>
        <w:jc w:val="both"/>
        <w:rPr>
          <w:rFonts w:ascii="Arial" w:hAnsi="Arial" w:cs="Arial"/>
          <w:lang w:val="mn-MN"/>
        </w:rPr>
      </w:pPr>
    </w:p>
    <w:p w14:paraId="1CC71189" w14:textId="64AD9C03"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 xml:space="preserve">Гурав. Формулари, </w:t>
      </w:r>
      <w:r w:rsidR="005A2B5A">
        <w:rPr>
          <w:rFonts w:ascii="Arial" w:hAnsi="Arial" w:cs="Arial"/>
          <w:lang w:val="mn-MN"/>
        </w:rPr>
        <w:t xml:space="preserve">эрүүл мэндийн </w:t>
      </w:r>
      <w:r w:rsidRPr="00F6454D">
        <w:rPr>
          <w:rFonts w:ascii="Arial" w:hAnsi="Arial" w:cs="Arial"/>
          <w:lang w:val="mn-MN"/>
        </w:rPr>
        <w:t>даатгал, худалдан авалтын уялдааны сайн тал орхигдсон:</w:t>
      </w:r>
    </w:p>
    <w:p w14:paraId="1BF863AD" w14:textId="1D4ACA5C"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 xml:space="preserve">Формулариг хуульчлаагүйн улмаас </w:t>
      </w:r>
      <w:r w:rsidR="00F9654F">
        <w:rPr>
          <w:rFonts w:ascii="Arial" w:hAnsi="Arial" w:cs="Arial"/>
          <w:lang w:val="mn-MN"/>
        </w:rPr>
        <w:t xml:space="preserve">эрүүл мэндийн даатгалын сангаас хөнгөлөлттэй олгох </w:t>
      </w:r>
      <w:r w:rsidRPr="00F6454D">
        <w:rPr>
          <w:rFonts w:ascii="Arial" w:hAnsi="Arial" w:cs="Arial"/>
          <w:lang w:val="mn-MN"/>
        </w:rPr>
        <w:t xml:space="preserve">эмийн жагсаалт, төрийн </w:t>
      </w:r>
      <w:r w:rsidR="00F9654F">
        <w:rPr>
          <w:rFonts w:ascii="Arial" w:hAnsi="Arial" w:cs="Arial"/>
          <w:lang w:val="mn-MN"/>
        </w:rPr>
        <w:t xml:space="preserve">нэгдсэн </w:t>
      </w:r>
      <w:r w:rsidRPr="00F6454D">
        <w:rPr>
          <w:rFonts w:ascii="Arial" w:hAnsi="Arial" w:cs="Arial"/>
          <w:lang w:val="mn-MN"/>
        </w:rPr>
        <w:t>худалдан авалтын эмийн жагсаалт, эмнэлгийн дотоод</w:t>
      </w:r>
      <w:r w:rsidR="00F9654F">
        <w:rPr>
          <w:rFonts w:ascii="Arial" w:hAnsi="Arial" w:cs="Arial"/>
          <w:lang w:val="mn-MN"/>
        </w:rPr>
        <w:t xml:space="preserve">доо хэрэглэх </w:t>
      </w:r>
      <w:r w:rsidRPr="00F6454D">
        <w:rPr>
          <w:rFonts w:ascii="Arial" w:hAnsi="Arial" w:cs="Arial"/>
          <w:lang w:val="mn-MN"/>
        </w:rPr>
        <w:t xml:space="preserve">эмийн сонголтод өртөг-үр ашгийн </w:t>
      </w:r>
      <w:r w:rsidRPr="00F6454D">
        <w:rPr>
          <w:rFonts w:ascii="Arial" w:hAnsi="Arial" w:cs="Arial"/>
          <w:lang w:val="mn-MN"/>
        </w:rPr>
        <w:lastRenderedPageBreak/>
        <w:t xml:space="preserve">шинжилгээг үндэслэдэггүй, хоорондоо уялдаагүй, тус тусдаа зохицуулагдаж байгаа бөгөөд </w:t>
      </w:r>
      <w:r w:rsidR="00E67215">
        <w:rPr>
          <w:rFonts w:ascii="Arial" w:hAnsi="Arial" w:cs="Arial"/>
          <w:lang w:val="mn-MN"/>
        </w:rPr>
        <w:t xml:space="preserve">зайлшгүй </w:t>
      </w:r>
      <w:r w:rsidRPr="00F6454D">
        <w:rPr>
          <w:rFonts w:ascii="Arial" w:hAnsi="Arial" w:cs="Arial"/>
          <w:lang w:val="mn-MN"/>
        </w:rPr>
        <w:t>шаардлагатай эмийн жагсаалтаас худалдааны нэршлээр эмийг шууд сонгож, харин сонголтын шалгуур нь тодорхойгүй байна. Энэ нь бодлогын нэгдмэл байдал алдагдахад хүргэж, төсвийн үр ашиггүй зарцуулалт бий болгох нөхцөл болдог.</w:t>
      </w:r>
    </w:p>
    <w:p w14:paraId="2314B27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Одоо дагаж мөрдөж буй хууль тогтоомжуудын хүрээнд формуларийн ойлголт, тогтолцоо эрх зүйн хувьд бүрдээгүй, эмийн сонголтыг бодлогын түвшинд удирдах механизм хангалтгүй, формулари, жор бичилт, даатгал, худалдан авалтын уялдаа алдагдсан хэмээн дүгнэх боломжтой. Энэ нөхцөл байдал нь эмийн зохистой хэрэглээ, эмчилгээний чанар, эдийн засгийн үр ашигт сөрөг нөлөө үзүүлдэг. </w:t>
      </w:r>
    </w:p>
    <w:p w14:paraId="6C0EAE01"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ab/>
        <w:t xml:space="preserve">Өөрөөр хэлбэл Монгол улсад бүртгэгдээгүй боловч эмнэл зүйн өндөр үр нөлөөтэй, олон улсын эмнэл зүйн практикт туршигдаж, хүлээн зөвшөөрөгдсөн олон нэр төрлийн эмийг хэрэглэх боломжгүй, зөвхөн бүртгэгдсэн эмийн хязгаарлалт дор эмчилгээ хийгдэж байна гэж үзэж болно. </w:t>
      </w:r>
    </w:p>
    <w:p w14:paraId="7BA34A9A" w14:textId="77777777" w:rsidR="00AA68A7" w:rsidRDefault="00AA68A7" w:rsidP="00AA68A7">
      <w:pPr>
        <w:spacing w:line="276" w:lineRule="auto"/>
        <w:contextualSpacing/>
        <w:rPr>
          <w:rFonts w:ascii="Arial" w:hAnsi="Arial" w:cs="Arial"/>
          <w:szCs w:val="24"/>
          <w:lang w:val="mn-MN" w:bidi="mn-Mong-CN"/>
        </w:rPr>
      </w:pPr>
    </w:p>
    <w:p w14:paraId="631F71B2" w14:textId="7EA42EC5" w:rsidR="005C0E55" w:rsidRPr="00AA68A7" w:rsidRDefault="005C0E55" w:rsidP="00AA68A7">
      <w:pPr>
        <w:spacing w:line="276" w:lineRule="auto"/>
        <w:contextualSpacing/>
        <w:jc w:val="center"/>
        <w:rPr>
          <w:rFonts w:ascii="Arial" w:hAnsi="Arial" w:cs="Arial"/>
          <w:szCs w:val="24"/>
          <w:lang w:val="mn-MN" w:bidi="mn-Mong-CN"/>
        </w:rPr>
      </w:pPr>
      <w:r w:rsidRPr="00F6454D">
        <w:rPr>
          <w:rFonts w:ascii="Arial" w:hAnsi="Arial" w:cs="Arial"/>
          <w:b/>
          <w:bCs/>
          <w:szCs w:val="24"/>
          <w:lang w:val="mn-MN" w:bidi="mn-Mong-CN"/>
        </w:rPr>
        <w:t>ХОЁРДУГААР БҮЛЭГ. АСУУДАЛД ДҮН ШИНЖИЛГЭЭ ХИЙХ</w:t>
      </w:r>
    </w:p>
    <w:p w14:paraId="4859A9E8"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 xml:space="preserve">(Хууль тогтоомжийн хэрэгцээ, шаардлагыг урьдчилан </w:t>
      </w:r>
    </w:p>
    <w:p w14:paraId="32D806DE"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тандан судлах аргачлалын 3-р бүлэг)</w:t>
      </w:r>
    </w:p>
    <w:p w14:paraId="248C4778" w14:textId="77777777" w:rsidR="005C0E55" w:rsidRPr="00F6454D" w:rsidRDefault="005C0E55" w:rsidP="005C0E55">
      <w:pPr>
        <w:spacing w:line="276" w:lineRule="auto"/>
        <w:contextualSpacing/>
        <w:jc w:val="both"/>
        <w:rPr>
          <w:rFonts w:ascii="Arial" w:hAnsi="Arial" w:cs="Arial"/>
          <w:szCs w:val="24"/>
          <w:lang w:val="mn-MN" w:bidi="mn-Mong-CN"/>
        </w:rPr>
      </w:pPr>
    </w:p>
    <w:p w14:paraId="349E91B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Монгол улсын эм, эмнэлгийн хэрэгслийн салбарт тулгамдаж буй асуудлын судлан шинжилсэн байдлыг салбарын эрдэмтдийн бүтээл болон ОУ-ын байгууллагын дүгнэлт, тайлангуудаас ерөнхийлөн дүгнэвэл дараах нөхцөл байдал ажиглагдаж байна. </w:t>
      </w:r>
    </w:p>
    <w:p w14:paraId="424A2D58"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“Journal of Pharmaceutical Policy and Practice”</w:t>
      </w:r>
      <w:r w:rsidRPr="00F6454D">
        <w:rPr>
          <w:rStyle w:val="FootnoteReference"/>
          <w:rFonts w:ascii="Arial" w:hAnsi="Arial" w:cs="Arial"/>
          <w:szCs w:val="24"/>
          <w:lang w:val="mn-MN" w:bidi="mn-Mong-CN"/>
        </w:rPr>
        <w:footnoteReference w:id="10"/>
      </w:r>
      <w:r w:rsidRPr="00F6454D">
        <w:rPr>
          <w:rFonts w:ascii="Arial" w:hAnsi="Arial" w:cs="Arial"/>
          <w:szCs w:val="24"/>
          <w:lang w:val="mn-MN" w:bidi="mn-Mong-CN"/>
        </w:rPr>
        <w:t xml:space="preserve"> сэтгүүлд доктор (Ph.D) Д.Гэрэлтуяа нарын хэвлүүлсэн “Монгол дахь эмийн үнэ болон нөхөн төлбөрийн шийдвэр гаргах системүүд” өгүүлэлд “Монгол Улсад эмийн нөхөн төлбөрийн жагсаалт болон даатгалаар олгох зарим эмийн дээд үнэ, даатгалын хариуцах хувийг тогтоосон зохицуулалт оршин байгаа хэдий ч жагсаалтад оруулах/хасах, нөхөн төлбөрийн түвшин тогтоох шийдвэрийн үндэслэл, үнэлгээний аргачлал, тайлагналын ил тод байдал хязгаарлагдмал байна. Нөхөн төлбөрийн шийдвэр гаргалтад эмийн үр нөлөө, харьцуулсан өртөг-үр нөлөө зэрэг нотолгоонд суурилсан өгөгдөл дутмаг, олон байгууллагын оролцооноос шалтгаалан систем хэт нийлмэл байгаа нь бодлогын үр нөлөөг сулруулж болзошгүй”</w:t>
      </w:r>
      <w:r w:rsidRPr="00F6454D">
        <w:rPr>
          <w:rStyle w:val="FootnoteReference"/>
          <w:rFonts w:ascii="Arial" w:hAnsi="Arial" w:cs="Arial"/>
          <w:szCs w:val="24"/>
          <w:lang w:val="mn-MN" w:bidi="mn-Mong-CN"/>
        </w:rPr>
        <w:footnoteReference w:id="11"/>
      </w:r>
      <w:r w:rsidRPr="00F6454D">
        <w:rPr>
          <w:rFonts w:ascii="Arial" w:hAnsi="Arial" w:cs="Arial"/>
          <w:szCs w:val="24"/>
          <w:lang w:val="mn-MN" w:bidi="mn-Mong-CN"/>
        </w:rPr>
        <w:t xml:space="preserve"> хэмээн дурдсан байдаг. </w:t>
      </w:r>
    </w:p>
    <w:p w14:paraId="32BA647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Мөн түүний хамтын бүтээл болох  BMC Pediatrics</w:t>
      </w:r>
      <w:r w:rsidRPr="00F6454D">
        <w:rPr>
          <w:rStyle w:val="FootnoteReference"/>
          <w:rFonts w:ascii="Arial" w:hAnsi="Arial" w:cs="Arial"/>
          <w:szCs w:val="24"/>
          <w:lang w:val="mn-MN" w:bidi="mn-Mong-CN"/>
        </w:rPr>
        <w:footnoteReference w:id="12"/>
      </w:r>
      <w:r w:rsidRPr="00F6454D">
        <w:rPr>
          <w:rFonts w:ascii="Arial" w:hAnsi="Arial" w:cs="Arial"/>
          <w:szCs w:val="24"/>
          <w:lang w:val="mn-MN" w:bidi="mn-Mong-CN"/>
        </w:rPr>
        <w:t xml:space="preserve"> сэтгүүлд хэвлүүлсэн “Монголд хүүхдийн эмийн хүртээмж, хямд байдал, өртөг” судалгаандаа “Хүүхдийн зайлшгүй шаардлагатай эмийн дундаж бэлэн байдал 70%-иас дээш боловч эм тус бүрээр 9.1% хүртэл унах зэрэг өндөр хэлбэлзэлтэй, мөн хямд </w:t>
      </w:r>
      <w:r w:rsidRPr="00F6454D">
        <w:rPr>
          <w:rFonts w:ascii="Arial" w:hAnsi="Arial" w:cs="Arial"/>
          <w:szCs w:val="24"/>
          <w:lang w:val="mn-MN" w:bidi="mn-Mong-CN"/>
        </w:rPr>
        <w:lastRenderedPageBreak/>
        <w:t>үнэтэй эм нь олон улсын лавлах үнээс 1.95–2.45 дахин өндөр байсан. Хамгийн боломж муутай эмчилгээ (amoxicillin-clavulanic acid суспенз) 1.03 өдрийн цалинтай тэнцэхээр тооцогдсон. Түүнчлэн WHO EMLc</w:t>
      </w:r>
      <w:r w:rsidRPr="00F6454D">
        <w:rPr>
          <w:rStyle w:val="FootnoteReference"/>
          <w:rFonts w:ascii="Arial" w:hAnsi="Arial" w:cs="Arial"/>
          <w:szCs w:val="24"/>
          <w:lang w:val="mn-MN" w:bidi="mn-Mong-CN"/>
        </w:rPr>
        <w:footnoteReference w:id="13"/>
      </w:r>
      <w:r w:rsidRPr="00F6454D">
        <w:rPr>
          <w:rFonts w:ascii="Arial" w:hAnsi="Arial" w:cs="Arial"/>
          <w:szCs w:val="24"/>
          <w:lang w:val="mn-MN" w:bidi="mn-Mong-CN"/>
        </w:rPr>
        <w:t>-д багтдаг зарим хүүхдийн эмийн хэлбэрүүд Монголд бүртгэлгүй, эсвэл огт олдохгүй байдал ажиглагдсан. Эдгээр үр дүн нь хүүхдийн эмийн хүртээмжийг зөвхөн жагсаалт гаргах замаар бус, формулари, бүртгэл, худалдан авалт, нийлүүлэлт, үнэ, мониторингийг нэг тогтолцоонд уялдуулсан үндэсний формуларийн зохицуулалт шаардлагатайг харуулж байна”</w:t>
      </w:r>
      <w:r w:rsidRPr="00F6454D">
        <w:rPr>
          <w:rStyle w:val="FootnoteReference"/>
          <w:rFonts w:ascii="Arial" w:hAnsi="Arial" w:cs="Arial"/>
          <w:szCs w:val="24"/>
          <w:lang w:val="mn-MN" w:bidi="mn-Mong-CN"/>
        </w:rPr>
        <w:footnoteReference w:id="14"/>
      </w:r>
      <w:r w:rsidRPr="00F6454D">
        <w:rPr>
          <w:rFonts w:ascii="Arial" w:hAnsi="Arial" w:cs="Arial"/>
          <w:szCs w:val="24"/>
          <w:lang w:val="mn-MN" w:bidi="mn-Mong-CN"/>
        </w:rPr>
        <w:t xml:space="preserve"> хэмээн дүгнэсэн байна. </w:t>
      </w:r>
    </w:p>
    <w:p w14:paraId="33ACAE0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Түүнээс гадна С.Пүрэвсүрэн нарын Pharmacy Practice</w:t>
      </w:r>
      <w:r w:rsidRPr="00F6454D">
        <w:rPr>
          <w:rStyle w:val="FootnoteReference"/>
          <w:rFonts w:ascii="Arial" w:hAnsi="Arial" w:cs="Arial"/>
          <w:szCs w:val="24"/>
          <w:lang w:val="mn-MN" w:bidi="mn-Mong-CN"/>
        </w:rPr>
        <w:footnoteReference w:id="15"/>
      </w:r>
      <w:r w:rsidRPr="00F6454D">
        <w:rPr>
          <w:rFonts w:ascii="Arial" w:hAnsi="Arial" w:cs="Arial"/>
          <w:szCs w:val="24"/>
          <w:lang w:val="mn-MN" w:bidi="mn-Mong-CN"/>
        </w:rPr>
        <w:t xml:space="preserve"> сэтгүүлд  2023 онд хэвлүүлсэн “Монгол дахь эмийн сангийн үйлчилгээ: Түүхийн үндэслэл ба өнөөгийн байдал”</w:t>
      </w:r>
      <w:r w:rsidRPr="00F6454D">
        <w:rPr>
          <w:rStyle w:val="FootnoteReference"/>
          <w:rFonts w:ascii="Arial" w:hAnsi="Arial" w:cs="Arial"/>
          <w:szCs w:val="24"/>
          <w:lang w:val="mn-MN" w:bidi="mn-Mong-CN"/>
        </w:rPr>
        <w:footnoteReference w:id="16"/>
      </w:r>
      <w:r w:rsidRPr="00F6454D">
        <w:rPr>
          <w:rFonts w:ascii="Arial" w:hAnsi="Arial" w:cs="Arial"/>
          <w:szCs w:val="24"/>
          <w:lang w:val="mn-MN" w:bidi="mn-Mong-CN"/>
        </w:rPr>
        <w:t xml:space="preserve"> судалгаанд дурдсанаар “Монгол Улсын эм зүйн салбар нь зах зээлийн тогтолцоонд бүрэн шилжиж, хувийн хэвшил давамгайлсан бүтэцтэй болсон боловч эмийн үйлчилгээний чанар, хүртээмжийн тэгш байдал жигд хангагдаагүй байна. Эмийн сангийн үйлчилгээ аажмаар өвчтөн төвтэй чиглэлд шилжиж байгаа ч формуларид суурилсан эмийн зохистой хэрэглээний нэгдсэн механизм дутмаг хэвээр байна. Ийм нөхцөлд эмийн сонголт, хүртээмж, үйлчилгээний стандарт, мэргэжлийн хяналтыг уялдуулсан Үндэсний формуларийн тогтолцоог эрх зүйн түвшинд баталгаажуулах шаардлага үүсэж байна. Иймээс Эм, эмнэлгийн хэрэгслийн тухай хуульд формуларийн бүтэц, хэрэгжилт, эмийн сангийн үйлчилгээний стандарт, хяналт-үнэлгээний механизмыг тодорхой тусгах нь зүйтэй” хэмээснийг онцлох нь зүйтэй. </w:t>
      </w:r>
    </w:p>
    <w:p w14:paraId="49599D51" w14:textId="1D19383D" w:rsidR="000D163F" w:rsidRPr="00F6454D" w:rsidRDefault="005C0E55" w:rsidP="000D163F">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Судлаач, эм зүйн ухааны доктор (Ph.D) Х.Даариймаа нар нь 2020 онд “Бага-дунд орлоготой орнуудад хуурамч, хуурамч болон чанар муутай эмийн хөндлөн огтлолын шинжилгээ”</w:t>
      </w:r>
      <w:r w:rsidRPr="00F6454D">
        <w:rPr>
          <w:rStyle w:val="FootnoteReference"/>
          <w:rFonts w:ascii="Arial" w:hAnsi="Arial" w:cs="Arial"/>
          <w:szCs w:val="24"/>
          <w:lang w:val="mn-MN" w:bidi="mn-Mong-CN"/>
        </w:rPr>
        <w:footnoteReference w:id="17"/>
      </w:r>
      <w:r w:rsidRPr="00F6454D">
        <w:rPr>
          <w:rFonts w:ascii="Arial" w:hAnsi="Arial" w:cs="Arial"/>
          <w:szCs w:val="24"/>
          <w:lang w:val="mn-MN" w:bidi="mn-Mong-CN"/>
        </w:rPr>
        <w:t xml:space="preserve"> судалгааны бүтээлээрээ Монгол Улсад худалдаалагдаж буй эмүүдээс хуурамч (falsified), хуурамч шошготой (counterfeit), стандартын бус (substandard) эмийн тархалтыг лабораторийн шинжилгээнд тулгуурлан үнэлсэн хөндлөн огтлолыг судалсан байна. Уг судалгаанд Монголын 118 эмийн сангаас 1770 эмийн дээж цуглуулж, фармакопейн (pharmacopoeial) чанарын шинжилгээнд илгээгдсэн үед 179 дээж буюу 10.1% нь хүлээн зөвшөөрөгдөх стандартын шаардлага хангаагүй (substandard эсвэл хуурамч эсэх эргэлзээтэй) гэж тогтоогдсон. Үүнээс “105 нь дотоодын үйлдвэрлэлийн (5.9 %), 74 нь импортын (4.17 %) стандартын бус эм байсан бөгөөд нийт дээжийн 4.3 % нь бүртгэлгүй байжээ” хэмээн дүгнэсэн энэ судалгаа нь Монгол Улсын эмийн чанарыг сайжруулах, зах зээлийн дараах хяналт, шалгалтыг өргөжүүлэх, мөн эмийн хангамжийн системд чанарын баталгаажуулалтын механизмыг формуларийн тогтолцоотой уялдуулан зохицуулах шаардлагатайг илэрхийлж байгаа юм. </w:t>
      </w:r>
    </w:p>
    <w:p w14:paraId="5E2EC61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“Монгол улсын антибиотикийн хэрэглээний тандалт”</w:t>
      </w:r>
      <w:r w:rsidRPr="00F6454D">
        <w:rPr>
          <w:rStyle w:val="FootnoteReference"/>
          <w:rFonts w:ascii="Arial" w:hAnsi="Arial" w:cs="Arial"/>
          <w:szCs w:val="24"/>
          <w:lang w:val="mn-MN" w:bidi="mn-Mong-CN"/>
        </w:rPr>
        <w:footnoteReference w:id="18"/>
      </w:r>
      <w:r w:rsidRPr="00F6454D">
        <w:rPr>
          <w:rFonts w:ascii="Arial" w:hAnsi="Arial" w:cs="Arial"/>
          <w:szCs w:val="24"/>
          <w:lang w:val="mn-MN" w:bidi="mn-Mong-CN"/>
        </w:rPr>
        <w:t xml:space="preserve"> судалгаанд дурдсанаар 2015 онд антибиотикийн нийт хэрэглээ 1000 хүн амд өдөрт 64.41 ӨТТ </w:t>
      </w:r>
      <w:r w:rsidRPr="00F6454D">
        <w:rPr>
          <w:rFonts w:ascii="Arial" w:hAnsi="Arial" w:cs="Arial"/>
          <w:szCs w:val="24"/>
          <w:lang w:val="mn-MN" w:bidi="mn-Mong-CN"/>
        </w:rPr>
        <w:lastRenderedPageBreak/>
        <w:t xml:space="preserve">байсан бол 2018 онд 50.68 ӨТТ болж 21.3%-иар буурсан хэдий ч олон улсын зарим оронтой харьцуулахад өндөр түвшинд хэвээр байна Нийт хэрэглээний 40 хувь орчмыг пенициллиний бүлгийн антибиотик эзэлж байгаа боловч аминогликозидын хэрэглээ 2015 онд 0.2% байсан бол 2018 онд 12.7% болж огцом нэмэгдсэн нь эмийн сонголт, хэрэглээний хяналт сул байгааг илтгэж байна. </w:t>
      </w:r>
    </w:p>
    <w:p w14:paraId="4372C4D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Түүнчлэн 2018 оны ангиллаар нийт антибиотикийн хэрэглээний 62.5 хувийг өргөн хүртээмжтэй бүлгийн эмүүд, 23.2 хувийг хяналт шаардлагатай бүлгийн эмүүд, 0.003 хувийг нөөцөд хэрэглэх бүлгийн эмүүд, 14.2 хувийг бусад ангиллын эмүүд тус тус эзэлж байна. Нөөцөд хэрэглэх ангиллын эмийн хэрэглээ 2015 оноос хойш 12 дахин өссөн нь цаашид эмийн сонголт, хэрэглээнд онцгой анхаарал хандуулж, зохистой хэрэглээний бодлогыг чангатгах шаардлагатайг харуулж байна. Мөн цаашид жоргүй антибиотик олголтыг таслан зогсоох, ЭМД-аар хөнгөлөлттэй олгож буй антибиотикийн хэрэглээг цахим жороор хянах, нянгийн мэдрэг чанарын судалгаанд суурилсан эмчилгээний удирдамжийг мөрдүүлэх, жил бүр хэрэглээний тандалт хийх шаардлагатайг зөвлөсөн нь антибиотикийн хэрэглээг формуларийн зарчимтай уялдуулан нэгдсэн хяналтын тогтолцоо бий болгох хэрэгцээг харуулж байна. </w:t>
      </w:r>
    </w:p>
    <w:p w14:paraId="24F5499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 зүйн салбарын үзүүлэлт” 2021, 2024</w:t>
      </w:r>
      <w:r w:rsidRPr="00F6454D">
        <w:rPr>
          <w:rStyle w:val="FootnoteReference"/>
          <w:rFonts w:ascii="Arial" w:hAnsi="Arial" w:cs="Arial"/>
          <w:szCs w:val="24"/>
          <w:lang w:val="mn-MN" w:bidi="mn-Mong-CN"/>
        </w:rPr>
        <w:footnoteReference w:id="19"/>
      </w:r>
      <w:r w:rsidRPr="00F6454D">
        <w:rPr>
          <w:rFonts w:ascii="Arial" w:hAnsi="Arial" w:cs="Arial"/>
          <w:szCs w:val="24"/>
          <w:lang w:val="mn-MN" w:bidi="mn-Mong-CN"/>
        </w:rPr>
        <w:t xml:space="preserve"> тайланг харьцуулан харвал салбарын бүтэц, зохицуулалт, өвчлөлийн ачаалал, чанарын хяналтын тогтолцоонд тодорхой ахиц гарсан боловч эмийн сонголт, нөхөн төлбөр, эмчилгээний удирдамжийг нэгтгэсэн нэгдсэн формуларийн тогтолцоо бүрдээгүй хэвээр байна. </w:t>
      </w:r>
    </w:p>
    <w:p w14:paraId="7114DA2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Тухайлбал, өвчлөлийн тэргүүлэх шалтгаанд хоол боловсруулах, зүрх-судас, амьсгалын замын өвчин тогтвортой давамгайлж байгаа бол нас баралтын тэргүүлэх шалтгаанд зүрх-судасны өвчин, хавдар олон жил дараалан тэргүүлж байгаа нь архаг өвчлөлийн өндөр ачааллыг илтгэнэ. Энэ нь үндсэндээ урт хугацааны эмийн хэрэглээ нэмэгдэж буйг, архаг өвчний эмийн санхүүжилтийн дарамт өсөж буйг, эмийн сонголтыг клиник болон эдийн засгийн үндэслэлтэй болгох хэрэгцээг илэрхийлнэ. </w:t>
      </w:r>
    </w:p>
    <w:p w14:paraId="4802022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Нийт бүртгэлтэй эмийн тоо 3 жилийн хугацаанд 1.4%-иар өссөн бол жороор олгох эмийн тоо буурч, оргүй эмийн хувь бага зэрэг нэмэгдсэн болохыг мөн дээрх тайлангуудын харьцуулалтаас харж болно. </w:t>
      </w:r>
    </w:p>
    <w:p w14:paraId="10187E7D" w14:textId="77777777" w:rsidR="005C0E55" w:rsidRPr="00F6454D" w:rsidRDefault="005C0E55" w:rsidP="005C0E55">
      <w:pPr>
        <w:spacing w:line="276" w:lineRule="auto"/>
        <w:ind w:firstLine="720"/>
        <w:contextualSpacing/>
        <w:jc w:val="both"/>
        <w:rPr>
          <w:rFonts w:ascii="Arial" w:hAnsi="Arial" w:cs="Arial"/>
          <w:szCs w:val="24"/>
          <w:lang w:val="mn-MN" w:bidi="mn-Mong-CN"/>
        </w:rPr>
      </w:pPr>
    </w:p>
    <w:tbl>
      <w:tblPr>
        <w:tblStyle w:val="TableGrid"/>
        <w:tblW w:w="9060" w:type="dxa"/>
        <w:tblLook w:val="04A0" w:firstRow="1" w:lastRow="0" w:firstColumn="1" w:lastColumn="0" w:noHBand="0" w:noVBand="1"/>
      </w:tblPr>
      <w:tblGrid>
        <w:gridCol w:w="562"/>
        <w:gridCol w:w="3062"/>
        <w:gridCol w:w="1812"/>
        <w:gridCol w:w="1812"/>
        <w:gridCol w:w="1812"/>
      </w:tblGrid>
      <w:tr w:rsidR="005C0E55" w:rsidRPr="00F6454D" w14:paraId="0426CAD1" w14:textId="77777777" w:rsidTr="009B2637">
        <w:tc>
          <w:tcPr>
            <w:tcW w:w="562" w:type="dxa"/>
          </w:tcPr>
          <w:p w14:paraId="16B9345D"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д/д</w:t>
            </w:r>
          </w:p>
        </w:tc>
        <w:tc>
          <w:tcPr>
            <w:tcW w:w="3062" w:type="dxa"/>
            <w:vAlign w:val="center"/>
          </w:tcPr>
          <w:p w14:paraId="5A1A9B0A"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Үзүүлэлт</w:t>
            </w:r>
          </w:p>
        </w:tc>
        <w:tc>
          <w:tcPr>
            <w:tcW w:w="1812" w:type="dxa"/>
            <w:vAlign w:val="center"/>
          </w:tcPr>
          <w:p w14:paraId="49BAC4DF"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2021 он</w:t>
            </w:r>
          </w:p>
        </w:tc>
        <w:tc>
          <w:tcPr>
            <w:tcW w:w="1812" w:type="dxa"/>
            <w:vAlign w:val="center"/>
          </w:tcPr>
          <w:p w14:paraId="1D1F6A9E"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2024 он</w:t>
            </w:r>
          </w:p>
        </w:tc>
        <w:tc>
          <w:tcPr>
            <w:tcW w:w="1812" w:type="dxa"/>
            <w:vAlign w:val="center"/>
          </w:tcPr>
          <w:p w14:paraId="5949ED70"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Өөрчлөлт (хувиар)</w:t>
            </w:r>
          </w:p>
        </w:tc>
      </w:tr>
      <w:tr w:rsidR="005C0E55" w:rsidRPr="00F6454D" w14:paraId="21A527F1" w14:textId="77777777" w:rsidTr="009B2637">
        <w:tc>
          <w:tcPr>
            <w:tcW w:w="562" w:type="dxa"/>
          </w:tcPr>
          <w:p w14:paraId="5F3F6155"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1D85D691"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b/>
                <w:bCs/>
                <w:sz w:val="22"/>
                <w:szCs w:val="22"/>
                <w:lang w:val="mn-MN" w:eastAsia="zh-CN" w:bidi="mn-Mong-CN"/>
              </w:rPr>
              <w:t>Нийт бүртгэлтэй эм</w:t>
            </w:r>
          </w:p>
        </w:tc>
        <w:tc>
          <w:tcPr>
            <w:tcW w:w="1812" w:type="dxa"/>
            <w:vAlign w:val="center"/>
          </w:tcPr>
          <w:p w14:paraId="3285469A"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3,964 нэр</w:t>
            </w:r>
          </w:p>
        </w:tc>
        <w:tc>
          <w:tcPr>
            <w:tcW w:w="1812" w:type="dxa"/>
            <w:vAlign w:val="center"/>
          </w:tcPr>
          <w:p w14:paraId="3DF25830"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4,020 нэр</w:t>
            </w:r>
          </w:p>
        </w:tc>
        <w:tc>
          <w:tcPr>
            <w:tcW w:w="1812" w:type="dxa"/>
            <w:vAlign w:val="center"/>
          </w:tcPr>
          <w:p w14:paraId="152E05E7"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b/>
                <w:bCs/>
                <w:sz w:val="22"/>
                <w:szCs w:val="22"/>
                <w:lang w:val="mn-MN" w:eastAsia="zh-CN" w:bidi="mn-Mong-CN"/>
              </w:rPr>
              <w:t>+56 нэр</w:t>
            </w:r>
            <w:r w:rsidRPr="00F6454D">
              <w:rPr>
                <w:rFonts w:ascii="Arial" w:eastAsia="Times New Roman" w:hAnsi="Arial" w:cs="Arial"/>
                <w:sz w:val="22"/>
                <w:szCs w:val="22"/>
                <w:lang w:val="mn-MN" w:eastAsia="zh-CN" w:bidi="mn-Mong-CN"/>
              </w:rPr>
              <w:t xml:space="preserve"> (+1.4%)</w:t>
            </w:r>
          </w:p>
        </w:tc>
      </w:tr>
      <w:tr w:rsidR="005C0E55" w:rsidRPr="00F6454D" w14:paraId="0F5DFF8B" w14:textId="77777777" w:rsidTr="009B2637">
        <w:tc>
          <w:tcPr>
            <w:tcW w:w="562" w:type="dxa"/>
          </w:tcPr>
          <w:p w14:paraId="57FA04CB"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2D96BB16"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Жороор олгох</w:t>
            </w:r>
          </w:p>
        </w:tc>
        <w:tc>
          <w:tcPr>
            <w:tcW w:w="1812" w:type="dxa"/>
            <w:vAlign w:val="center"/>
          </w:tcPr>
          <w:p w14:paraId="0A93FE95"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70.4%</w:t>
            </w:r>
          </w:p>
        </w:tc>
        <w:tc>
          <w:tcPr>
            <w:tcW w:w="1812" w:type="dxa"/>
            <w:vAlign w:val="center"/>
          </w:tcPr>
          <w:p w14:paraId="6A9A4775"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69.6%</w:t>
            </w:r>
          </w:p>
        </w:tc>
        <w:tc>
          <w:tcPr>
            <w:tcW w:w="1812" w:type="dxa"/>
            <w:vAlign w:val="center"/>
          </w:tcPr>
          <w:p w14:paraId="3BB44F96"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−0.8%</w:t>
            </w:r>
          </w:p>
        </w:tc>
      </w:tr>
      <w:tr w:rsidR="005C0E55" w:rsidRPr="00F6454D" w14:paraId="1CB1BF7C" w14:textId="77777777" w:rsidTr="009B2637">
        <w:tc>
          <w:tcPr>
            <w:tcW w:w="562" w:type="dxa"/>
          </w:tcPr>
          <w:p w14:paraId="24212701"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26E20AFC"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Жоргүй олгох</w:t>
            </w:r>
          </w:p>
        </w:tc>
        <w:tc>
          <w:tcPr>
            <w:tcW w:w="1812" w:type="dxa"/>
            <w:vAlign w:val="center"/>
          </w:tcPr>
          <w:p w14:paraId="48CC332C"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26.8%</w:t>
            </w:r>
          </w:p>
        </w:tc>
        <w:tc>
          <w:tcPr>
            <w:tcW w:w="1812" w:type="dxa"/>
            <w:vAlign w:val="center"/>
          </w:tcPr>
          <w:p w14:paraId="5CD3FFB7"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27.8%</w:t>
            </w:r>
          </w:p>
        </w:tc>
        <w:tc>
          <w:tcPr>
            <w:tcW w:w="1812" w:type="dxa"/>
            <w:vAlign w:val="center"/>
          </w:tcPr>
          <w:p w14:paraId="4C05FC6D"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+1.0%</w:t>
            </w:r>
          </w:p>
        </w:tc>
      </w:tr>
      <w:tr w:rsidR="005C0E55" w:rsidRPr="00F6454D" w14:paraId="7909DE85" w14:textId="77777777" w:rsidTr="009B2637">
        <w:tc>
          <w:tcPr>
            <w:tcW w:w="562" w:type="dxa"/>
          </w:tcPr>
          <w:p w14:paraId="6A0BC260"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602CBDE8"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Эмнэлгийн нөхцөлд</w:t>
            </w:r>
          </w:p>
        </w:tc>
        <w:tc>
          <w:tcPr>
            <w:tcW w:w="1812" w:type="dxa"/>
            <w:vAlign w:val="center"/>
          </w:tcPr>
          <w:p w14:paraId="2F7E4FBD"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1.6%</w:t>
            </w:r>
          </w:p>
        </w:tc>
        <w:tc>
          <w:tcPr>
            <w:tcW w:w="1812" w:type="dxa"/>
            <w:vAlign w:val="center"/>
          </w:tcPr>
          <w:p w14:paraId="1BC5D310"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1.6%</w:t>
            </w:r>
          </w:p>
        </w:tc>
        <w:tc>
          <w:tcPr>
            <w:tcW w:w="1812" w:type="dxa"/>
            <w:vAlign w:val="center"/>
          </w:tcPr>
          <w:p w14:paraId="0F3ED8A5"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w:t>
            </w:r>
          </w:p>
        </w:tc>
      </w:tr>
      <w:tr w:rsidR="005C0E55" w:rsidRPr="00F6454D" w14:paraId="4E950039" w14:textId="77777777" w:rsidTr="009B2637">
        <w:tc>
          <w:tcPr>
            <w:tcW w:w="562" w:type="dxa"/>
          </w:tcPr>
          <w:p w14:paraId="0AAA9772"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4D809F18"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Сэтгэцэд нөлөөт</w:t>
            </w:r>
          </w:p>
        </w:tc>
        <w:tc>
          <w:tcPr>
            <w:tcW w:w="1812" w:type="dxa"/>
            <w:vAlign w:val="center"/>
          </w:tcPr>
          <w:p w14:paraId="5A643BC7"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0.7%</w:t>
            </w:r>
          </w:p>
        </w:tc>
        <w:tc>
          <w:tcPr>
            <w:tcW w:w="1812" w:type="dxa"/>
            <w:vAlign w:val="center"/>
          </w:tcPr>
          <w:p w14:paraId="525615E3"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0.7%</w:t>
            </w:r>
          </w:p>
        </w:tc>
        <w:tc>
          <w:tcPr>
            <w:tcW w:w="1812" w:type="dxa"/>
            <w:vAlign w:val="center"/>
          </w:tcPr>
          <w:p w14:paraId="4B928213"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w:t>
            </w:r>
          </w:p>
        </w:tc>
      </w:tr>
      <w:tr w:rsidR="005C0E55" w:rsidRPr="00F6454D" w14:paraId="4081AEF6" w14:textId="77777777" w:rsidTr="009B2637">
        <w:tc>
          <w:tcPr>
            <w:tcW w:w="562" w:type="dxa"/>
          </w:tcPr>
          <w:p w14:paraId="45366512" w14:textId="77777777" w:rsidR="005C0E55" w:rsidRPr="00F6454D" w:rsidRDefault="005C0E55" w:rsidP="005C0E55">
            <w:pPr>
              <w:pStyle w:val="ListParagraph"/>
              <w:numPr>
                <w:ilvl w:val="0"/>
                <w:numId w:val="4"/>
              </w:numPr>
              <w:spacing w:line="276" w:lineRule="auto"/>
              <w:jc w:val="both"/>
              <w:rPr>
                <w:rFonts w:ascii="Arial" w:hAnsi="Arial" w:cs="Arial"/>
                <w:sz w:val="22"/>
                <w:lang w:val="mn-MN" w:bidi="mn-Mong-CN"/>
              </w:rPr>
            </w:pPr>
          </w:p>
        </w:tc>
        <w:tc>
          <w:tcPr>
            <w:tcW w:w="3062" w:type="dxa"/>
            <w:vAlign w:val="center"/>
          </w:tcPr>
          <w:p w14:paraId="52D03FA0"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Мансууруулах</w:t>
            </w:r>
          </w:p>
        </w:tc>
        <w:tc>
          <w:tcPr>
            <w:tcW w:w="1812" w:type="dxa"/>
            <w:vAlign w:val="center"/>
          </w:tcPr>
          <w:p w14:paraId="1A25C008"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0.5%</w:t>
            </w:r>
          </w:p>
        </w:tc>
        <w:tc>
          <w:tcPr>
            <w:tcW w:w="1812" w:type="dxa"/>
            <w:vAlign w:val="center"/>
          </w:tcPr>
          <w:p w14:paraId="3544C3C1"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0.3%</w:t>
            </w:r>
          </w:p>
        </w:tc>
        <w:tc>
          <w:tcPr>
            <w:tcW w:w="1812" w:type="dxa"/>
            <w:vAlign w:val="center"/>
          </w:tcPr>
          <w:p w14:paraId="2A169C94" w14:textId="77777777" w:rsidR="005C0E55" w:rsidRPr="00F6454D" w:rsidRDefault="005C0E55" w:rsidP="009B2637">
            <w:pPr>
              <w:spacing w:line="276" w:lineRule="auto"/>
              <w:contextualSpacing/>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−0.2%</w:t>
            </w:r>
          </w:p>
        </w:tc>
      </w:tr>
    </w:tbl>
    <w:p w14:paraId="4A21DB00" w14:textId="77777777" w:rsidR="005C0E55" w:rsidRPr="00F6454D" w:rsidRDefault="005C0E55" w:rsidP="005C0E55">
      <w:pPr>
        <w:spacing w:line="276" w:lineRule="auto"/>
        <w:contextualSpacing/>
        <w:jc w:val="both"/>
        <w:rPr>
          <w:rFonts w:ascii="Arial" w:hAnsi="Arial" w:cs="Arial"/>
          <w:szCs w:val="24"/>
          <w:lang w:val="mn-MN" w:bidi="mn-Mong-CN"/>
        </w:rPr>
      </w:pPr>
    </w:p>
    <w:p w14:paraId="0FDB5B5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lastRenderedPageBreak/>
        <w:t xml:space="preserve">Бүртгэлтэй эмийн тоо тогтвортой өсөж байгаа нь эмийн сонголт улам өргөжиж буйг илтгэнэ. </w:t>
      </w:r>
    </w:p>
    <w:p w14:paraId="6D4C690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Тэгвэл эмийн гаж нөлөөний хувьд 2021 онд гаж нөлөөний 44 тохиолдлыг мэргэжлийн түвшинд хэлэлцсэн бол 2024 онд гаж нөлөөг АТС ангиллаар бүлэглэн гаргасан байна. Нянгийн эсрэг эм (11.9%), зүрх судасны эм (10.7%) зэрэг бүлгүүд харьцангуй өндөр хувийг эзэлж байна.  </w:t>
      </w:r>
    </w:p>
    <w:p w14:paraId="2767245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Үүнээс гадна 10000 хүн амд ногдох өвчлөлийн бүтцээр хоол боловсруулах тогтолцооны өвчин 2010, амьсгалын тогтолцооны өвчин 1848.9, зүрх судасны өвчин 1340.9 байгаа нь өвчлөлийн бодит ачаалалд суурилсан, эмнэлзүйд суурилсан эмийн сонголт хийх шаардлагатайг илтгэнэ. Мөн 2017–2021 онд 1,211 зөрчилтэй эм илэрсэн нь эргээд эмийн чанарын баталгааг формулари дахь шалгуурт зайлшгүй тусгах хэрэгцээг нотолж байна гэж үзэж болно. </w:t>
      </w:r>
    </w:p>
    <w:p w14:paraId="3AEADB6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Бүтцийн томоохон өөрчлөлт гараагүй ч зах зээл дээрх эмийн тоо өндөр хэвээр байгаа нь ажиглагдаж байна. ЭМД-ын сангаас 2021 онд 510 нэрийн эмэнд 60.4 тэрбум төгрөгийн санхүүжилтийг гэрээт эмийн сангуудаар дамжуулан олгосон бол 2024 онд 502 нэрийн эмэнд 134.5 тэрбум төгрөг олгосон бөгөөд өмнөх онтой харьцуулахад эмийн санхүүжилт 44.4 тэрбум төгрөгөөр (49.3%) нэмэгдсэн гэж тайланд дурдсан нь даатгалын эмийн зардал хурдтай өсөж байгааг харуулж байгаа юм. Энэ нөхцөлд “ямар эмийг, ямар заалтаар, ямар шатлалд, ямар хувьтай санхүүжүүлэх вэ?” гэдгийг нэг мөр болгох зохицуулалтыг бий болгох нь зүйтэй юм.  </w:t>
      </w:r>
    </w:p>
    <w:p w14:paraId="5EEED8A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Зах зээлд импортын хэмжээ өсөж, үнийн дарамт нэмэгдэж байгааг дараах хүснэгтээс харж болно.  </w:t>
      </w:r>
    </w:p>
    <w:tbl>
      <w:tblPr>
        <w:tblStyle w:val="TableGrid"/>
        <w:tblW w:w="9060" w:type="dxa"/>
        <w:tblLook w:val="04A0" w:firstRow="1" w:lastRow="0" w:firstColumn="1" w:lastColumn="0" w:noHBand="0" w:noVBand="1"/>
      </w:tblPr>
      <w:tblGrid>
        <w:gridCol w:w="988"/>
        <w:gridCol w:w="2268"/>
        <w:gridCol w:w="2180"/>
        <w:gridCol w:w="1930"/>
        <w:gridCol w:w="1694"/>
      </w:tblGrid>
      <w:tr w:rsidR="005C0E55" w:rsidRPr="00F6454D" w14:paraId="4DC277D6" w14:textId="77777777" w:rsidTr="009B2637">
        <w:tc>
          <w:tcPr>
            <w:tcW w:w="988" w:type="dxa"/>
            <w:vAlign w:val="center"/>
          </w:tcPr>
          <w:p w14:paraId="0BFB46C8"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Он</w:t>
            </w:r>
          </w:p>
        </w:tc>
        <w:tc>
          <w:tcPr>
            <w:tcW w:w="2268" w:type="dxa"/>
            <w:vAlign w:val="center"/>
          </w:tcPr>
          <w:p w14:paraId="41D729A4"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Эмийн импорт (тэрбум төгрөг)</w:t>
            </w:r>
          </w:p>
        </w:tc>
        <w:tc>
          <w:tcPr>
            <w:tcW w:w="2180" w:type="dxa"/>
            <w:vAlign w:val="center"/>
          </w:tcPr>
          <w:p w14:paraId="76656140"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Өмнөх оноос өсөлт</w:t>
            </w:r>
          </w:p>
        </w:tc>
        <w:tc>
          <w:tcPr>
            <w:tcW w:w="1930" w:type="dxa"/>
            <w:vAlign w:val="center"/>
          </w:tcPr>
          <w:p w14:paraId="2A50CAF0"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Бөөний борлуулалт (тэрбум төгрөг)</w:t>
            </w:r>
          </w:p>
        </w:tc>
        <w:tc>
          <w:tcPr>
            <w:tcW w:w="1694" w:type="dxa"/>
            <w:vAlign w:val="center"/>
          </w:tcPr>
          <w:p w14:paraId="7886283C"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Өмнөх оноос өсөлт</w:t>
            </w:r>
          </w:p>
        </w:tc>
      </w:tr>
      <w:tr w:rsidR="005C0E55" w:rsidRPr="00F6454D" w14:paraId="212CC6DE" w14:textId="77777777" w:rsidTr="009B2637">
        <w:tc>
          <w:tcPr>
            <w:tcW w:w="988" w:type="dxa"/>
            <w:vAlign w:val="center"/>
          </w:tcPr>
          <w:p w14:paraId="387C3844"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2021</w:t>
            </w:r>
          </w:p>
        </w:tc>
        <w:tc>
          <w:tcPr>
            <w:tcW w:w="2268" w:type="dxa"/>
            <w:vAlign w:val="center"/>
          </w:tcPr>
          <w:p w14:paraId="10875548"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489.7</w:t>
            </w:r>
          </w:p>
        </w:tc>
        <w:tc>
          <w:tcPr>
            <w:tcW w:w="2180" w:type="dxa"/>
            <w:vAlign w:val="center"/>
          </w:tcPr>
          <w:p w14:paraId="32DF770F"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+19.6% (2020 оноос)</w:t>
            </w:r>
          </w:p>
        </w:tc>
        <w:tc>
          <w:tcPr>
            <w:tcW w:w="1930" w:type="dxa"/>
            <w:vAlign w:val="center"/>
          </w:tcPr>
          <w:p w14:paraId="41E7545D"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431.0</w:t>
            </w:r>
          </w:p>
        </w:tc>
        <w:tc>
          <w:tcPr>
            <w:tcW w:w="1694" w:type="dxa"/>
            <w:vAlign w:val="center"/>
          </w:tcPr>
          <w:p w14:paraId="629C4C6C"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+9.5% (2020 оноос)</w:t>
            </w:r>
          </w:p>
        </w:tc>
      </w:tr>
      <w:tr w:rsidR="005C0E55" w:rsidRPr="00F6454D" w14:paraId="6BBC1CC2" w14:textId="77777777" w:rsidTr="009B2637">
        <w:tc>
          <w:tcPr>
            <w:tcW w:w="988" w:type="dxa"/>
            <w:vAlign w:val="center"/>
          </w:tcPr>
          <w:p w14:paraId="4DD6013F"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2024</w:t>
            </w:r>
          </w:p>
        </w:tc>
        <w:tc>
          <w:tcPr>
            <w:tcW w:w="2268" w:type="dxa"/>
            <w:vAlign w:val="center"/>
          </w:tcPr>
          <w:p w14:paraId="25FABC7C"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612.2</w:t>
            </w:r>
          </w:p>
        </w:tc>
        <w:tc>
          <w:tcPr>
            <w:tcW w:w="2180" w:type="dxa"/>
            <w:vAlign w:val="center"/>
          </w:tcPr>
          <w:p w14:paraId="1F1D986C"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+15.9% (2023 оноос)</w:t>
            </w:r>
          </w:p>
        </w:tc>
        <w:tc>
          <w:tcPr>
            <w:tcW w:w="1930" w:type="dxa"/>
            <w:vAlign w:val="center"/>
          </w:tcPr>
          <w:p w14:paraId="4D6D23A0"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w:t>
            </w:r>
          </w:p>
        </w:tc>
        <w:tc>
          <w:tcPr>
            <w:tcW w:w="1694" w:type="dxa"/>
            <w:vAlign w:val="center"/>
          </w:tcPr>
          <w:p w14:paraId="6EFC9A66" w14:textId="77777777" w:rsidR="005C0E55" w:rsidRPr="00F6454D" w:rsidRDefault="005C0E55" w:rsidP="009B2637">
            <w:pPr>
              <w:spacing w:line="276" w:lineRule="auto"/>
              <w:contextualSpacing/>
              <w:jc w:val="both"/>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w:t>
            </w:r>
          </w:p>
        </w:tc>
      </w:tr>
    </w:tbl>
    <w:p w14:paraId="2AA83949" w14:textId="77777777" w:rsidR="005C0E55" w:rsidRPr="00F6454D" w:rsidRDefault="005C0E55" w:rsidP="005C0E55">
      <w:pPr>
        <w:spacing w:line="276" w:lineRule="auto"/>
        <w:contextualSpacing/>
        <w:jc w:val="both"/>
        <w:rPr>
          <w:rFonts w:ascii="Arial" w:hAnsi="Arial" w:cs="Arial"/>
          <w:szCs w:val="24"/>
          <w:lang w:val="mn-MN" w:bidi="mn-Mong-CN"/>
        </w:rPr>
      </w:pPr>
    </w:p>
    <w:p w14:paraId="12AA744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Импортын өсөлт нь үнийн савлагаа, нийлүүлэлтийн эрсдэл, даатгал, төрийн худалдан авах ажиллагааны зардлын дарамтыг нэмэгдүүлдэг. Үүнийг “жагсаалт”-аар, эсвэл бүртгэлээр зохицуулах нь өрөөсгөл бөгөөд харин эмийн сонголтыг цэгцэлж, орлуулах боломжтой эмүүдийг оновчлох, худалдан авалт, санхүүжилттэй уялдуулах суурийг бүрдүүлэх нь чухал. </w:t>
      </w:r>
    </w:p>
    <w:p w14:paraId="303B513C"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Чанарын хяналтын ачаалал өсөж, импортын бүтээгдэхүүний эзлэх хувь нэмэгдэж байгааг Лавлагаа лабораторид шинжилсэн дээж 2021 онд 1727 байсан бол 2024 онд 2577 болж өссөн бөгөөд 2024 онд шинжилгээнд хамрагдсан дээжийн 73.38% нь импортын эм, 26.62% нь үндэсний эм гэж тайланд тооцсоноос тодорхой харагдана. </w:t>
      </w:r>
    </w:p>
    <w:p w14:paraId="6EA8404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Эмийн сангийн сүлжээ том, гэрээт үйлчилгээ өргөжин тэлж буй хэдий ч удирдлага, хяналтын тогтолцоо, бодлогын зохицуулалт сул байгааг дээрх тайлангуудыг харьцуулснаар харж болохоор байна. Тухайлбал, 2021 онд улсын хэмжээнд 2335 эмийн сан үйл ажиллагаа явуулж байсан бол 2024 онд тусгай </w:t>
      </w:r>
      <w:r w:rsidRPr="00F6454D">
        <w:rPr>
          <w:rFonts w:ascii="Arial" w:hAnsi="Arial" w:cs="Arial"/>
          <w:szCs w:val="24"/>
          <w:lang w:val="mn-MN" w:bidi="mn-Mong-CN"/>
        </w:rPr>
        <w:lastRenderedPageBreak/>
        <w:t xml:space="preserve">зөвшөөрөлтэй эмийн сан 2835 болж өссөн. Мөн 2024 онд 1507 эмийн сан ЭМД-тай гэрээтэй ажилласан гэж тайланд дурдсан байна. </w:t>
      </w:r>
    </w:p>
    <w:p w14:paraId="47B73A6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Эмийн сангийн сүлжээ өргөжих тусам “нэг стандартаар эмийн жор бичих, олгох, даатгалаар санхүүжүүлэх” удирдлага, хяналтын тогтолцоо зайлшгүй шаардлагатай болдогийг анхаарах нь зүйтэй.  </w:t>
      </w:r>
    </w:p>
    <w:p w14:paraId="5B47CA32"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Иймд эмийн бүртгэл, гаж нөлөө, чанарын хяналт, өвчлөлийн статистик болон импортын бүтэц зэрэг мэдээллийг нэгтгэсэн, эрсдэл ба өртөг-үр ашгийн үнэлгээнд суурилсан үндэсний формуларийн тогтолцоог Эм, эмнэлгийн хэрэгслийн тухай хуульд тусган, эрх зүйн статус, шалгуур, шинэчлэлтийн механизмыг тодорхой болгох зайлшгүй шаардлагатай байна. </w:t>
      </w:r>
    </w:p>
    <w:p w14:paraId="6C24BF0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“Зайлшгүй шаардлагатай эмийн жагсаалт” байгаа ч формуларийн үзэл санаанд дүйцэх шийдвэрийн тогтолцоо биш юм. Жагсаалт нь бодлогын чухал суурь баримт бичиг мөн боловч эмчилгээний шатлалтай сонголт, заалт, хязгаарлалт, өртөг-үр ашиг, даатгалын тогтолцоо, эм хангамж, шинэчлэлтийн журам зэрэг формуларийн бүрэн механизмыг орлож чадахгүй бөгөөд үүнийг хууль, тогтоомжийн түвшинд бэхжүүлэх нэн чухал юм. </w:t>
      </w:r>
    </w:p>
    <w:p w14:paraId="58C1215E" w14:textId="77777777" w:rsidR="005C0E55" w:rsidRPr="00F6454D" w:rsidRDefault="005C0E55" w:rsidP="005C0E55">
      <w:pPr>
        <w:spacing w:line="276" w:lineRule="auto"/>
        <w:ind w:firstLine="720"/>
        <w:contextualSpacing/>
        <w:jc w:val="both"/>
        <w:rPr>
          <w:rFonts w:ascii="Arial" w:hAnsi="Arial" w:cs="Arial"/>
          <w:szCs w:val="24"/>
          <w:lang w:val="mn-MN" w:bidi="mn-Mong-CN"/>
        </w:rPr>
      </w:pPr>
      <w:bookmarkStart w:id="0" w:name="_Hlk223943805"/>
      <w:r w:rsidRPr="00F6454D">
        <w:rPr>
          <w:rFonts w:ascii="Arial" w:hAnsi="Arial" w:cs="Arial"/>
          <w:szCs w:val="24"/>
          <w:lang w:val="mn-MN" w:bidi="mn-Mong-CN"/>
        </w:rPr>
        <w:t>Монгол Улсад эмийн зах зээл, хэрэглээ, хангалттай холбоотой цуглуулсан</w:t>
      </w:r>
      <w:r w:rsidRPr="00F6454D">
        <w:rPr>
          <w:rStyle w:val="FootnoteReference"/>
          <w:rFonts w:ascii="Arial" w:hAnsi="Arial" w:cs="Arial"/>
          <w:szCs w:val="24"/>
          <w:lang w:val="mn-MN" w:bidi="mn-Mong-CN"/>
        </w:rPr>
        <w:footnoteReference w:id="20"/>
      </w:r>
      <w:r w:rsidRPr="00F6454D">
        <w:rPr>
          <w:rFonts w:ascii="Arial" w:hAnsi="Arial" w:cs="Arial"/>
          <w:szCs w:val="24"/>
          <w:lang w:val="mn-MN" w:bidi="mn-Mong-CN"/>
        </w:rPr>
        <w:t xml:space="preserve"> мэдээллээс харахад эмийн бодлогыг нотолгоонд суурилсан тогтолцоонд шилжүүлэх шаардлага бодитоор үүссэн байна. Үүнд: </w:t>
      </w:r>
    </w:p>
    <w:p w14:paraId="042A0B6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Нэгдүгээрт, төрийн худалдан авалтын мэдээллээс харахад зөвхөн 2024 онд 60.2 тэрбум төгрөг, 2025 онд 45.3 тэрбум төгрөгийн эм, эмнэлгийн хэрэгсэл худалдан авсан нь эмийн зардал улсын төсөвт өндөр дарамт үзүүлж байгааг харуулж байна. Үүний зэрэгцээ ижил үйлдэлтэй эмүүд (жишээлбэл антибиотик, зүрх судасны эмүүд) олон төрөл, өөр өөр үнэтэйгээр хэрэглэгдэж байгаа нь стандартчлагдсан сонголт дутмаг байгааг илтгэнэ.</w:t>
      </w:r>
    </w:p>
    <w:p w14:paraId="5C04831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Хоёрдугаарт, импортын мэдээллээс үзэхэд Монгол Улсын эмийн зах зээл бараг бүрэн импортоос хамааралтай бөгөөд 2024–2026 онд 1 тэрбум гаруй ширхэг эм импортолсон нь нийлүүлэлтийн өндөр хамаарал, бодлогын сул байдлыг харуулж байна. Энэ нөхцөлд эмийн сонголтыг бодлогоор удирдахгүй бол хангалтын тогтвортой байдал алдагдах эрсдэлтэй.</w:t>
      </w:r>
    </w:p>
    <w:p w14:paraId="3425582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Гуравдугаарт, 2023–2025 онд эмийн тасалдлын мэдээллээс харахад амин чухал эмүүд (жишээ нь окситоцин, галоперидол, цефтазидим зэрэг) давтамжтай тасалдаж байгаа нь эмийн жагсаалт, нөөц, хэрэглээний бодлого уялдаагүй байгааг харуулж байна. Энэ нь формуларийн нэг үндсэн зорилго болох “тасралтгүй хангалт”-ын асуудал бодит байгааг нотолж байна.</w:t>
      </w:r>
    </w:p>
    <w:p w14:paraId="17B2B6D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Дөрөвдүгээрт, эмийн төрөл, үнэ, хэрэглээний ялгаа нь эмчилгээний практикт нэг мөр тогтсон жишиг ойлголт дутмаг, улмаар зардлын үр ашиг алдагдаж байж болзошгүйг илтгэнэ. Ялангуяа ижил бүлгийн эмүүдийн үнэ ихээхэн хэлбэлзэлтэй байгаа нь эмийн оновчтой сонголтын механизмыг нэвтрүүлэх шаардлагатайг харуулж байна.</w:t>
      </w:r>
    </w:p>
    <w:p w14:paraId="3E1E241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Эдгээр нотолгоонуудыг нэгтгэн үзэхэд Монгол улсад эмийн сонголт нэг мөр тогтсон жишиг ойлголтгүй, зардлын үр ашиг хангалтгүй, нийлүүлэлтийн </w:t>
      </w:r>
      <w:r w:rsidRPr="00F6454D">
        <w:rPr>
          <w:rFonts w:ascii="Arial" w:hAnsi="Arial" w:cs="Arial"/>
          <w:szCs w:val="24"/>
          <w:lang w:val="mn-MN" w:bidi="mn-Mong-CN"/>
        </w:rPr>
        <w:lastRenderedPageBreak/>
        <w:t>тогтвортой байдал эрсдэлтэй, амин чухал эмийн тасалдал зэрэг системийн асуудлууд байна.</w:t>
      </w:r>
    </w:p>
    <w:p w14:paraId="255A433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Иймд эмийн сонголтыг нотолгоо, өртөг-үр ашиг, аюулгүй байдалд тулгуурлан зохицуулах Үндэсний эмийн формуларийн тогтолцоог хуульчлах нь зайлшгүй шаардлагатай гэсэн дүгнэлтэд хүрч байна.</w:t>
      </w:r>
    </w:p>
    <w:p w14:paraId="12D27BA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 эмнэлгийн хэрэгслийн талаар төрөөс баримталж буй бодлого болон холбогдох хууль тогтоомжийн хэрэгжилтийн үр дүн”</w:t>
      </w:r>
      <w:r w:rsidRPr="00F6454D">
        <w:rPr>
          <w:rStyle w:val="FootnoteReference"/>
          <w:rFonts w:ascii="Arial" w:hAnsi="Arial" w:cs="Arial"/>
          <w:szCs w:val="24"/>
          <w:lang w:val="mn-MN" w:bidi="mn-Mong-CN"/>
        </w:rPr>
        <w:footnoteReference w:id="21"/>
      </w:r>
      <w:r w:rsidRPr="00F6454D">
        <w:rPr>
          <w:rFonts w:ascii="Arial" w:hAnsi="Arial" w:cs="Arial"/>
          <w:szCs w:val="24"/>
          <w:lang w:val="mn-MN" w:bidi="mn-Mong-CN"/>
        </w:rPr>
        <w:t xml:space="preserve"> сэдэвт Нийцлийн аудитын 2025 оны тайланд дурдсанаар Монгол Улсад эм, эмнэлгийн хэрэгслийн бүртгэл, хяналт, зохицуулалтын үйл ажиллагаанд ашиглагдаж буй мэдээллийн системүүд хоорондоо уялдаа хангалтгүй, зарим үйл ажиллагаа огт цахимжаагүй хэвээр байна. Тухайлбал эм, эмнэлгийн хэрэгслийн бүртгэл, импорт, түгээлт, чанар аюулгүй байдлын мэдээллийг нэгтгэсэн нэгдсэн цахим мэдээллийн сан бүрдээгүй бөгөөд мэдээллийг зарим тохиолдолд албан бичиг, и-мэйл зэрэг уламжлалт хэлбэрээр солилцож байгаа нь мэдээллийн нэгдмэл байдал, шуурхай байдлыг алдагдуулах эрсдэлтэй байна.</w:t>
      </w:r>
    </w:p>
    <w:p w14:paraId="2FDEEFF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lang w:val="mn-MN"/>
        </w:rPr>
        <w:t>Өөр нэгэн анхаарах асуудал нь одоо хүчин төгөлдөр дагаж мөрдөж буй Эм, эмнэлгийн хэрэгслийн тухай хууьд “бүртгэлтэй эм”, “эмийн бүртгэл” хэмээх ойлголтыг хуульчилсан нь эм ханган нийлүүлэгч, импортлогч байгууллагууд нь байгууллагын үйл ажллагаандаа тусгай зөвшөөрөл авахаас гадна Дэлхийн эрүүл мэндийн байгууллагын загварын дагуу эмийн бүтээгдэхүүний гэрчилгээтэй эмийг Монгол улсад худалдан борлуулахтай зөвшөөрөл авах шаардлагатай процессийг бий болгож байна. Үндсэндээ ДЭМБ-аас баталгаажуулсан эмийг худалдан борлуулах эрх олгох нэрээр давхар зөвшөөрлийн систем ажиллаж байгаа юм.</w:t>
      </w:r>
    </w:p>
    <w:p w14:paraId="16A7B97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Өөрөөр хэлбэл Монгол улсад импортоор оруулж байгаа эмийг улсын бүртгэлд бүртгүүлэх шаардлага нь давхар зөвшөөрлийн тогтолцоо үүсгэсэн буюу “Худалдаан дахь техникийн саад тотгорын тухай Уругвайн хэлэлцээр”</w:t>
      </w:r>
      <w:r w:rsidRPr="00F6454D">
        <w:rPr>
          <w:rStyle w:val="FootnoteReference"/>
          <w:rFonts w:ascii="Arial" w:hAnsi="Arial" w:cs="Arial"/>
          <w:szCs w:val="24"/>
          <w:lang w:val="mn-MN" w:bidi="mn-Mong-CN"/>
        </w:rPr>
        <w:footnoteReference w:id="22"/>
      </w:r>
      <w:r w:rsidRPr="00F6454D">
        <w:rPr>
          <w:rFonts w:ascii="Arial" w:hAnsi="Arial" w:cs="Arial"/>
          <w:szCs w:val="24"/>
          <w:lang w:val="mn-MN" w:bidi="mn-Mong-CN"/>
        </w:rPr>
        <w:t>-ийн 2.2 дахь хэсэгт:</w:t>
      </w:r>
    </w:p>
    <w:p w14:paraId="3B828D3A" w14:textId="77777777" w:rsidR="005C0E55" w:rsidRPr="00F6454D" w:rsidRDefault="005C0E55" w:rsidP="005C0E55">
      <w:pPr>
        <w:spacing w:line="276" w:lineRule="auto"/>
        <w:ind w:firstLine="720"/>
        <w:contextualSpacing/>
        <w:jc w:val="both"/>
        <w:rPr>
          <w:rFonts w:ascii="Arial" w:hAnsi="Arial" w:cs="Arial"/>
          <w:color w:val="FF0000"/>
          <w:szCs w:val="24"/>
          <w:lang w:val="mn-MN" w:bidi="mn-Mong-CN"/>
        </w:rPr>
      </w:pPr>
      <w:r w:rsidRPr="00F6454D">
        <w:rPr>
          <w:rFonts w:ascii="Arial" w:hAnsi="Arial" w:cs="Arial"/>
          <w:szCs w:val="24"/>
          <w:lang w:val="mn-MN" w:bidi="mn-Mong-CN"/>
        </w:rPr>
        <w:t xml:space="preserve">“Гишүүд нь техникийн дүрмийг олон улсын худалдаанд илүүц саад тотгор учруулах, эсхүл, учруулахад хүргэхгүй байхаар боловсруулах, батлах буюу хэрэгжүүлэх явдлыг хангана. Эл зорилгын үүднээс техникийн дүрэм нь хуулийн зорилтыг биелүүлэхээс илүү хэмжээнд худалдааг хязгаарлахгүй байх бөгөөд хуулийн зорилтыг үл биелүүлэх нөхцөлд үүсч болох эрсдлийг бодолцсон байвал зохино. Хуулийн эдгээр зорилт нь inter alia: үндэсний аюулгүй байдлын шаардлагууд; залилах дадлаас урьдчилан сэргийлэх; хүн амын аюулгүй байдал буюу эрүүл мэнд, амьтан, ургамлын амьдрал буюу эрүүл мэнд, эсхүл, байгаль орчныг хамгаалах явдал. Гарч болзошгүй эрсдлийг тооцохдоо шинжлэх ухаан, техникийн мэдээлэл, холбогдох технологи буюу бүтээгдэхүүний төлөвлөж байгаа эцсийн ашиглалт зэрэг inter alia хүчин зүйлийг анхааралдаа авна.” гэснээс илт зөрж буй явдал юм. </w:t>
      </w:r>
    </w:p>
    <w:p w14:paraId="1A70CE1A" w14:textId="77777777" w:rsidR="005C0E55" w:rsidRPr="00F6454D" w:rsidRDefault="005C0E55" w:rsidP="005C0E55">
      <w:pPr>
        <w:spacing w:line="276" w:lineRule="auto"/>
        <w:ind w:firstLine="720"/>
        <w:contextualSpacing/>
        <w:jc w:val="both"/>
        <w:rPr>
          <w:rFonts w:ascii="Arial" w:hAnsi="Arial" w:cs="Arial"/>
          <w:lang w:val="mn-MN"/>
        </w:rPr>
      </w:pPr>
      <w:r w:rsidRPr="00F6454D">
        <w:rPr>
          <w:rFonts w:ascii="Arial" w:hAnsi="Arial" w:cs="Arial"/>
          <w:lang w:val="mn-MN"/>
        </w:rPr>
        <w:t xml:space="preserve">Түүнээс гадна нэн чухал хэрэгцээтэй эмийг Монгол улсын эмийн бүртгэлд бүртгэлгүй гэх шалтгаанаар хэрэглэж чадахгүй байх, эсвэл хувь хүмүүсээр дамжуулан цөөн тоогоор тээвэрлүүлэх асуудал иргэдийн дунд цөөнгүй байдаг. Ийнхүү цөөн тоогоор амин чухал эмийг тээвэрлэхтэй холбоотойгоор Зөрчил, </w:t>
      </w:r>
      <w:r w:rsidRPr="00F6454D">
        <w:rPr>
          <w:rFonts w:ascii="Arial" w:hAnsi="Arial" w:cs="Arial"/>
          <w:lang w:val="mn-MN"/>
        </w:rPr>
        <w:lastRenderedPageBreak/>
        <w:t xml:space="preserve">эрүүгийн хэрэгт холбогдох тохиолдол ч үүссэнийг харж болно. Энэ нь эмийн далд бизнес бий болгох эрсдэлийг нэмэгдүүлэх боломжтой. </w:t>
      </w:r>
    </w:p>
    <w:p w14:paraId="749F81B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Монгол улсын шүүхийн цахим систем shuukh.mn сайтаас “бүртгэлгүй эм” түлхүүр үгээр хайлт хийхэд 489 илэрц гарах бөгөөд санамсаргүй түүврийн аргаар 49 хэргийг сонгон дүн шинжилгээ хийхэд: </w:t>
      </w:r>
    </w:p>
    <w:p w14:paraId="2640A4F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Эрүүгийн хуулийн 20 дугаар зүйлийн 20.14 дэх хэсэгт заасан Хууль бусаар эм, эмийн түүхий эд, биобэлдмэл, эмнэлгийн хэрэгслийг үйлдвэрлэх-экспортлох, импортлох-ханган нийлүүлэх, худалдах гэмт хэрэг үйлдсэн тооцогдсон 7 үйлдэлд эрүүгийн хариуцлага хүлээлгэсэн байна. </w:t>
      </w:r>
    </w:p>
    <w:p w14:paraId="1904B2C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Үүний дотор сэтгэцийн эмгэг, ялангуяа шизофрени өвчний хүнд хэлбэрийн үед хэрэглэдэг, тархины нейротрансмиттерт нөлөөлж хий үзэгдэл, төөрөгдлийг бууруулах үйлчилгээтэй Clozapine эмийг худалдаалсан кейс байна. Энэ нь ДЭМБ-ын загварын дагуу гэрчилгээтээй боловч Монгол улсад бүртгэлгүй гэх эм юм.</w:t>
      </w:r>
    </w:p>
    <w:p w14:paraId="644C48F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Мөн аудитын дүгнэлтээр эм, эмнэлгийн хэрэгслийн хяналт, зохицуулалтын үйл ажиллагаанд ашиглагдаж буй Licemed, LIMS, E-Mongolia, License.mn зэрэг системүүдийн мэдээллийн уялдаа сул, зарим мэдээллийг давхар бүртгэх, бүрэн оруулахгүй байх зэрэг асуудал илэрсэн нь салбарын мэдээллийн нэгдсэн удирдлагыг хэрэгжүүлэхэд хүндрэл учруулж байна. Үүний улмаас эмийн чанар, аюулгүй байдал, хангамж, хүртээмжийн мэдээллийг нэгдсэн байдлаар хянах боломж хязгаарлагдмал байгаа талаар аудитын тайланд дурдсан байна. </w:t>
      </w:r>
    </w:p>
    <w:p w14:paraId="5D9864E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Иймээс эм, эмнэлгийн хэрэгслийн бүртгэл, хяналт, зохицуулалтын мэдээллийг нэгтгэн боловсруулах, салбарын бодлого төлөвлөлт болон шийдвэр гаргалтыг дэмжих зорилгоор нэгдсэн мэдээллийн сан болон стандартчилсан мэдээллийн бүтэц боловсруулах хэрэгцээ, шаардлага үүсэж байна. Энэ нь салбарын мэдээллийг нэг стандартын дагуу цуглуулах, дүн шинжилгээ хийх, бодлогын шийдвэр гаргалтыг мэдээллээр хангах үндсэн суурь болох ач холбогдолтой юм.</w:t>
      </w:r>
    </w:p>
    <w:bookmarkEnd w:id="0"/>
    <w:p w14:paraId="3A62DF36" w14:textId="77777777" w:rsidR="005C0E55" w:rsidRPr="00F6454D" w:rsidRDefault="005C0E55" w:rsidP="005C0E55">
      <w:pPr>
        <w:spacing w:line="276" w:lineRule="auto"/>
        <w:contextualSpacing/>
        <w:rPr>
          <w:rFonts w:ascii="Arial" w:hAnsi="Arial" w:cs="Arial"/>
          <w:szCs w:val="24"/>
          <w:lang w:val="mn-MN" w:bidi="mn-Mong-CN"/>
        </w:rPr>
      </w:pPr>
    </w:p>
    <w:p w14:paraId="7E19DB6D" w14:textId="77777777" w:rsidR="005C0E55" w:rsidRPr="00F6454D" w:rsidRDefault="005C0E55" w:rsidP="005C0E55">
      <w:pPr>
        <w:spacing w:line="276" w:lineRule="auto"/>
        <w:contextualSpacing/>
        <w:rPr>
          <w:rFonts w:ascii="Arial" w:hAnsi="Arial" w:cs="Arial"/>
          <w:szCs w:val="24"/>
          <w:lang w:val="mn-MN" w:bidi="mn-Mong-CN"/>
        </w:rPr>
      </w:pPr>
      <w:r w:rsidRPr="00F6454D">
        <w:rPr>
          <w:rFonts w:ascii="Arial" w:hAnsi="Arial" w:cs="Arial"/>
          <w:szCs w:val="24"/>
          <w:lang w:val="mn-MN" w:bidi="mn-Mong-CN"/>
        </w:rPr>
        <w:br w:type="page"/>
      </w:r>
    </w:p>
    <w:p w14:paraId="4103E95F" w14:textId="77777777" w:rsidR="005C0E55" w:rsidRPr="00F6454D" w:rsidRDefault="005C0E55" w:rsidP="005C0E55">
      <w:pPr>
        <w:spacing w:line="276" w:lineRule="auto"/>
        <w:contextualSpacing/>
        <w:jc w:val="center"/>
        <w:rPr>
          <w:rFonts w:ascii="Arial" w:hAnsi="Arial" w:cs="Arial"/>
          <w:b/>
          <w:bCs/>
          <w:szCs w:val="24"/>
          <w:lang w:val="mn-MN" w:bidi="mn-Mong-CN"/>
        </w:rPr>
      </w:pPr>
      <w:r w:rsidRPr="00F6454D">
        <w:rPr>
          <w:rFonts w:ascii="Arial" w:hAnsi="Arial" w:cs="Arial"/>
          <w:b/>
          <w:bCs/>
          <w:szCs w:val="24"/>
          <w:lang w:val="mn-MN" w:bidi="mn-Mong-CN"/>
        </w:rPr>
        <w:lastRenderedPageBreak/>
        <w:t>ГУРАВДУГААР БҮЛЭГ. АСУУДЛЫГ ЗОХИЦУУЛАХ ХУВИЛБАРУУД, ХАРЬЦУУЛСАН ШИНЖИЛГЭЭ</w:t>
      </w:r>
    </w:p>
    <w:p w14:paraId="4E1CB641"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(Аргачлалын 5-р бүлэг)</w:t>
      </w:r>
    </w:p>
    <w:p w14:paraId="3E88C629" w14:textId="77777777" w:rsidR="005C0E55" w:rsidRPr="00F6454D" w:rsidRDefault="005C0E55" w:rsidP="005C0E55">
      <w:pPr>
        <w:spacing w:line="276" w:lineRule="auto"/>
        <w:ind w:firstLine="720"/>
        <w:contextualSpacing/>
        <w:jc w:val="both"/>
        <w:rPr>
          <w:rFonts w:ascii="Arial" w:hAnsi="Arial" w:cs="Arial"/>
          <w:szCs w:val="24"/>
          <w:lang w:val="mn-MN" w:bidi="mn-Mong-CN"/>
        </w:rPr>
      </w:pPr>
    </w:p>
    <w:p w14:paraId="2026F7F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Монгол Улсад эмийн бодлогын хэрэгжилт нь чанар, аюулгүй байдлын түвшинд харьцангуй сайн хөгжиж байгаа боловч эмийн эмчилгээний сонголт, жор бичилтийн бодлого, эдийн засгийн үр ашгийг хангах тал дээр сул хэвээр байна. Өөрөөр хэлбэл Эм, эмнэлгийн хэрэгслийн тухай хуульд тусгасан “бүртгэл” гэх зохицуулалт нь хүний суурь эрх, эрүүл мэндэд ноцтой сөрөг нөлөө үзүүлж болзошгүй байна. Эдгээр нь практикт дараах хэлбэрээр илэрч байна. Үүнд:</w:t>
      </w:r>
    </w:p>
    <w:p w14:paraId="1203E69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Нэгдүгээрт, ижил онош, ижил эмнэл зүйн нөхцөлд эмч нар өөр өөр эмчилгээний схем сонгож байгаа нь эмчилгээ, оношилгооны удирдамжгүй байх, эмчилгээний үр дүн жигд бус байх, өвчтөний итгэл алдагдах, эмчилгээний зардал харилцан адилгүй гарах нөхцөлийг бүрдүүлж байна.</w:t>
      </w:r>
    </w:p>
    <w:p w14:paraId="3AB1441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Хоёрдугаарт, ижил эмнэл зүйн үр нөлөөтэй боловч өртөг өндөр эмүүд эмчилгээний практикт давамгай хэрэглэгдэх хандлага ажиглагдаж байна. Энэ нь эмийн зах зээлийн сурталчилгаа, эмчийн мэдээллийн хүртээмж, бодлогын удирдамжийн дутагдалтай шууд холбоотой.</w:t>
      </w:r>
    </w:p>
    <w:p w14:paraId="3D8DB9B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Гуравдугаарт, эрүүл мэндийн даатгалын сангаас санхүүжүүлж буй эмийн зардал жилээс жилд өсөж байгаа боловч энэхүү өсөлт нь эмчилгээний чанарын бодит сайжралтад бүрэн дүйж байгаа эсэхэд эргэлзээ үүсгэж байна. Даатгалын сангийн эмийн зардал нь эмийн бодлогын зохистой удирдлагагүй нөхцөлд тогтвортой бус байдалд хүрэх эрсдэлтэй.</w:t>
      </w:r>
    </w:p>
    <w:p w14:paraId="0119698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Дөрөвдүгээрт, эмийн худалдан авалт, эмийн даатгалын жагсаалт, эмчийн жор бичилт хоорондоо бодлогын түвшинд уялдаагүй байгаа нь нөөцийн үр ашиггүй зарцуулалт, давхардал, логистикийн хүндрэл үүсгэж байна.</w:t>
      </w:r>
    </w:p>
    <w:p w14:paraId="46F26304"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Тавдугаарт, Монгол улсын иргэн зөвхөн Монгол улсад өвчнөө оношлуулж, Монгол улсад бүртгэлтэй гэх эмийг өөрийн өвчинд бичүүлэх шаардлага бүхий хүний эрүүл мэндээ хамгаалуулах архийн ноцтой зөрчил болж байна. </w:t>
      </w:r>
    </w:p>
    <w:p w14:paraId="5BCD7DC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Мөн түүнчлэн, ЭМД-аар хөнгөлөлттэй олгох эмийн сонголт, түүний хөнгөлөлтийн хувь хэмжээг тогтоох аргачлал ил тод бус, түүнийг өртөг-үр ашгийн судалгааны дүнд үндэслээгүй, даатгалаар хөнгөлөлттэй олгох ба төрөөс төлбөрийг даах эмийн сонголтыг боловсруулах мэргэшсэн хүний нөөц дутмаг зэрэг асуудлууд байна. Эдгээр асуудал нь системийн шинжтэй бөгөөд зөвхөн захиргааны шийдвэр, зөвлөмжийн түвшинд шийдвэрлэх боломжгүй, харин хууль тогтоомжийн түвшинд суурь өөрчлөлт хийх шаардлагатайг харуулж байна.</w:t>
      </w:r>
    </w:p>
    <w:p w14:paraId="755EFAC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Тулгамдаж буй асуудал нь зөвхөн эмч, эмийн салбарт хязгаарлагдахгүй, нийгэм, эдийн засгийн өргөн хүрээнд нөлөөлж болно. Тухайлбал: </w:t>
      </w:r>
    </w:p>
    <w:p w14:paraId="57C6B88C"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Хүн амын түвшинд: Эмчилгээний үр дүн, аюулгүй байдал, эмийн хүртээмжид шууд нөлөөлөх ба иргэд болон өрх гэрийг эрүүл мэндийн тусламж үйлчилгээнээс хамаарсан санхүүгийн дарамтад оруулах зэрэг эрсдэлтэй. Ялангуяа архаг өвчтэй, өндөр настай, эмзэг бүлгийн иргэдэд эмийн сонголтын үр ашиг чухал ач холбогдолтой.</w:t>
      </w:r>
    </w:p>
    <w:p w14:paraId="7DA2A534"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Эрүүл мэндийн тогтолцооны түвшинд: Эмчилгээний стандарт, чанарын хяналт, эмнэлгийн менежмент, эмнэлгийн төсөвт нөлөөлнө.</w:t>
      </w:r>
    </w:p>
    <w:p w14:paraId="63A8ADA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lastRenderedPageBreak/>
        <w:t>Санхүүгийн түвшинд: Эрүүл мэндийн даатгалын сан, улсын төсвийн эмийн зардалд бодит дарамт үүсгэнэ.</w:t>
      </w:r>
    </w:p>
    <w:p w14:paraId="5919EF8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Зах зээлийн түвшинд: Эмийн зах зээлийн өрсөлдөөн ил тод бус болж, эмийн бодлогын тогтвортой байдал алдагдах эрсдэлтэй.</w:t>
      </w:r>
    </w:p>
    <w:p w14:paraId="5305DE8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Иймд асуудлын цар хүрээ нь улс даяар хамрах бөгөөд урт хугацаанд Монгол Улсын эрүүл мэндийн салбарын тогтвортой хөгжилд нөлөөлөх стратегийн асуудал гэж үзнэ.</w:t>
      </w:r>
    </w:p>
    <w:p w14:paraId="233804B8"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Эмийн формуларийг хуульчлахтай холбоотой зохицуулалт нь дараах оролцогч талуудын эрх, хууль ёсны ашиг сонирхолд шууд болон шууд бусаар нөлөөлөх боломжтой. Үүнд:</w:t>
      </w:r>
    </w:p>
    <w:tbl>
      <w:tblPr>
        <w:tblStyle w:val="TableGrid"/>
        <w:tblW w:w="0" w:type="auto"/>
        <w:tblLook w:val="04A0" w:firstRow="1" w:lastRow="0" w:firstColumn="1" w:lastColumn="0" w:noHBand="0" w:noVBand="1"/>
      </w:tblPr>
      <w:tblGrid>
        <w:gridCol w:w="3823"/>
        <w:gridCol w:w="5238"/>
      </w:tblGrid>
      <w:tr w:rsidR="005C0E55" w:rsidRPr="00F6454D" w14:paraId="5C2B25AC" w14:textId="77777777" w:rsidTr="009B2637">
        <w:tc>
          <w:tcPr>
            <w:tcW w:w="3823" w:type="dxa"/>
          </w:tcPr>
          <w:p w14:paraId="3719C87B"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Иргэд, өвчтөнүүд</w:t>
            </w:r>
          </w:p>
        </w:tc>
        <w:tc>
          <w:tcPr>
            <w:tcW w:w="5238" w:type="dxa"/>
          </w:tcPr>
          <w:p w14:paraId="732CF504"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чанартай, аюулгүй, эдийн засгийн хувьд боломжийн эмчилгээ авах эрх,</w:t>
            </w:r>
          </w:p>
          <w:p w14:paraId="1EC08E98"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хаана ямар улсад үзлэг, оношилгоо хийлгэх, ОУ-д хүлээн зөвшөөрөгдсөн эмийг эх орондоо хэрэглэх эрх</w:t>
            </w:r>
          </w:p>
        </w:tc>
      </w:tr>
      <w:tr w:rsidR="005C0E55" w:rsidRPr="00F6454D" w14:paraId="7E3D57EC" w14:textId="77777777" w:rsidTr="009B2637">
        <w:tc>
          <w:tcPr>
            <w:tcW w:w="3823" w:type="dxa"/>
          </w:tcPr>
          <w:p w14:paraId="7E512A1F"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Эмч, эмнэлгийн мэргэжилтнүүд</w:t>
            </w:r>
          </w:p>
        </w:tc>
        <w:tc>
          <w:tcPr>
            <w:tcW w:w="5238" w:type="dxa"/>
          </w:tcPr>
          <w:p w14:paraId="0AC9E405"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нотолгоонд суурилсан, мэргэжлийн шийдвэр гаргалтыг дэмжсэн бодлогын орчинд ажиллах эрх</w:t>
            </w:r>
          </w:p>
        </w:tc>
      </w:tr>
      <w:tr w:rsidR="005C0E55" w:rsidRPr="00F6454D" w14:paraId="5010C514" w14:textId="77777777" w:rsidTr="009B2637">
        <w:tc>
          <w:tcPr>
            <w:tcW w:w="3823" w:type="dxa"/>
          </w:tcPr>
          <w:p w14:paraId="1262FD36"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Эрүүл мэндийн байгууллагууд</w:t>
            </w:r>
          </w:p>
        </w:tc>
        <w:tc>
          <w:tcPr>
            <w:tcW w:w="5238" w:type="dxa"/>
          </w:tcPr>
          <w:p w14:paraId="7A98B97C"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эмчилгээний чанар, санхүүгийн удирдлагыг сайжруулах боломж</w:t>
            </w:r>
          </w:p>
        </w:tc>
      </w:tr>
      <w:tr w:rsidR="005C0E55" w:rsidRPr="00F6454D" w14:paraId="303E64A4" w14:textId="77777777" w:rsidTr="009B2637">
        <w:tc>
          <w:tcPr>
            <w:tcW w:w="3823" w:type="dxa"/>
          </w:tcPr>
          <w:p w14:paraId="2E6573FF"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Эрүүл мэндийн даатгалын сан</w:t>
            </w:r>
          </w:p>
        </w:tc>
        <w:tc>
          <w:tcPr>
            <w:tcW w:w="5238" w:type="dxa"/>
          </w:tcPr>
          <w:p w14:paraId="051FCE6A"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зардлын үр ашиг, тогтвортой байдлыг хангах ашиг сонирхол</w:t>
            </w:r>
          </w:p>
        </w:tc>
      </w:tr>
      <w:tr w:rsidR="005C0E55" w:rsidRPr="00F6454D" w14:paraId="193F83A7" w14:textId="77777777" w:rsidTr="009B2637">
        <w:tc>
          <w:tcPr>
            <w:tcW w:w="3823" w:type="dxa"/>
          </w:tcPr>
          <w:p w14:paraId="64A7C0E4"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Эмийн үйлдвэрлэгч, импортлогч, ханган нийлүүлэгч</w:t>
            </w:r>
          </w:p>
        </w:tc>
        <w:tc>
          <w:tcPr>
            <w:tcW w:w="5238" w:type="dxa"/>
          </w:tcPr>
          <w:p w14:paraId="129FD874"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ил тод, шударга өрсөлдөөний орчинд үйл ажиллагаа явуулах ашиг сонирхол</w:t>
            </w:r>
          </w:p>
        </w:tc>
      </w:tr>
      <w:tr w:rsidR="005C0E55" w:rsidRPr="00F6454D" w14:paraId="65A2C4B7" w14:textId="77777777" w:rsidTr="009B2637">
        <w:tc>
          <w:tcPr>
            <w:tcW w:w="3823" w:type="dxa"/>
          </w:tcPr>
          <w:p w14:paraId="34AA6946"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Эмийн салбарын ТББ -ууд</w:t>
            </w:r>
            <w:r w:rsidRPr="00F6454D">
              <w:rPr>
                <w:rFonts w:ascii="Arial" w:hAnsi="Arial" w:cs="Arial"/>
                <w:sz w:val="22"/>
                <w:szCs w:val="22"/>
                <w:lang w:val="mn-MN" w:bidi="mn-Mong-CN"/>
              </w:rPr>
              <w:tab/>
            </w:r>
          </w:p>
        </w:tc>
        <w:tc>
          <w:tcPr>
            <w:tcW w:w="5238" w:type="dxa"/>
          </w:tcPr>
          <w:p w14:paraId="08956079"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Төр, хувийн хэвшлийн түшлэлийн зарчмаар асуудлыг ил тод, ашиг сонирхлын зөрчилгүйгээр шийдвэрлэх гарц</w:t>
            </w:r>
          </w:p>
        </w:tc>
      </w:tr>
      <w:tr w:rsidR="005C0E55" w:rsidRPr="00F6454D" w14:paraId="4F666822" w14:textId="77777777" w:rsidTr="009B2637">
        <w:tc>
          <w:tcPr>
            <w:tcW w:w="3823" w:type="dxa"/>
          </w:tcPr>
          <w:p w14:paraId="30619A9D"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Төрийн захиргааны байгууллагууд</w:t>
            </w:r>
          </w:p>
        </w:tc>
        <w:tc>
          <w:tcPr>
            <w:tcW w:w="5238" w:type="dxa"/>
          </w:tcPr>
          <w:p w14:paraId="2B7555B9"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бодлого хэрэгжүүлэх, хяналт-шинжилгээ хийх чадавх</w:t>
            </w:r>
          </w:p>
        </w:tc>
      </w:tr>
    </w:tbl>
    <w:p w14:paraId="26B5B699" w14:textId="77777777" w:rsidR="005C0E55" w:rsidRPr="00F6454D" w:rsidRDefault="005C0E55" w:rsidP="005C0E55">
      <w:pPr>
        <w:spacing w:line="276" w:lineRule="auto"/>
        <w:contextualSpacing/>
        <w:jc w:val="both"/>
        <w:rPr>
          <w:rFonts w:ascii="Arial" w:hAnsi="Arial" w:cs="Arial"/>
          <w:szCs w:val="24"/>
          <w:lang w:val="mn-MN" w:bidi="mn-Mong-CN"/>
        </w:rPr>
      </w:pPr>
    </w:p>
    <w:p w14:paraId="242AC1A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Дээрх судалгаа, дүгнэлтүүд, тоон мэдээллүүдийг үндэслэн судалгааны зорилгод хүрэх боломжит зохицуулалтын хувилбаруудыг дараах байдлаар тодорхойлов. Үүнд:</w:t>
      </w:r>
    </w:p>
    <w:p w14:paraId="17550F99"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Нэг. “Тэг” хувилбар (одоогийн байдал хэвээр хадгалах)</w:t>
      </w:r>
    </w:p>
    <w:p w14:paraId="35441CD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Энэ хувилбараар эмийн бодлогын одоогийн зохицуулалтыг өөрчлөхгүй, эмийн сонголт, жор бичилтийг эмчийн мэргэжлийн эрх мэдэлд бүрэн үлдээнэ.</w:t>
      </w:r>
    </w:p>
    <w:tbl>
      <w:tblPr>
        <w:tblStyle w:val="TableGrid"/>
        <w:tblW w:w="0" w:type="auto"/>
        <w:tblLook w:val="04A0" w:firstRow="1" w:lastRow="0" w:firstColumn="1" w:lastColumn="0" w:noHBand="0" w:noVBand="1"/>
      </w:tblPr>
      <w:tblGrid>
        <w:gridCol w:w="4530"/>
        <w:gridCol w:w="4531"/>
      </w:tblGrid>
      <w:tr w:rsidR="005C0E55" w:rsidRPr="00F6454D" w14:paraId="4E6AFF9E" w14:textId="77777777" w:rsidTr="009B2637">
        <w:tc>
          <w:tcPr>
            <w:tcW w:w="4530" w:type="dxa"/>
          </w:tcPr>
          <w:p w14:paraId="1112A5FE"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Давуу тал</w:t>
            </w:r>
          </w:p>
        </w:tc>
        <w:tc>
          <w:tcPr>
            <w:tcW w:w="4531" w:type="dxa"/>
          </w:tcPr>
          <w:p w14:paraId="1376C4DD"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Сул тал</w:t>
            </w:r>
          </w:p>
        </w:tc>
      </w:tr>
      <w:tr w:rsidR="005C0E55" w:rsidRPr="00F6454D" w14:paraId="41EACBE7" w14:textId="77777777" w:rsidTr="009B2637">
        <w:tc>
          <w:tcPr>
            <w:tcW w:w="4530" w:type="dxa"/>
          </w:tcPr>
          <w:p w14:paraId="79DD261D"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Нэмэлт зохицуулалтын зардал гарахгүй.</w:t>
            </w:r>
          </w:p>
          <w:p w14:paraId="340C1EF2" w14:textId="77777777" w:rsidR="005C0E55" w:rsidRPr="00F6454D" w:rsidRDefault="005C0E55" w:rsidP="009B2637">
            <w:pPr>
              <w:spacing w:line="276" w:lineRule="auto"/>
              <w:contextualSpacing/>
              <w:jc w:val="both"/>
              <w:rPr>
                <w:rFonts w:ascii="Arial" w:hAnsi="Arial" w:cs="Arial"/>
                <w:sz w:val="22"/>
                <w:szCs w:val="22"/>
                <w:lang w:val="mn-MN" w:bidi="mn-Mong-CN"/>
              </w:rPr>
            </w:pPr>
          </w:p>
        </w:tc>
        <w:tc>
          <w:tcPr>
            <w:tcW w:w="4531" w:type="dxa"/>
          </w:tcPr>
          <w:p w14:paraId="500BFFDB"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Одоогийн асуудал үргэлжилнэ;</w:t>
            </w:r>
          </w:p>
          <w:p w14:paraId="77635B82"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Эмийн зардал өсөх хандлага хадгалагдана;</w:t>
            </w:r>
          </w:p>
          <w:p w14:paraId="39BA7A18"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Эмчилгээний чанар жигд бус хэвээр байна.</w:t>
            </w:r>
          </w:p>
        </w:tc>
      </w:tr>
    </w:tbl>
    <w:p w14:paraId="679D26F2" w14:textId="77777777" w:rsidR="005C0E55" w:rsidRPr="00F6454D" w:rsidRDefault="005C0E55" w:rsidP="005C0E55">
      <w:pPr>
        <w:spacing w:line="276" w:lineRule="auto"/>
        <w:contextualSpacing/>
        <w:jc w:val="both"/>
        <w:rPr>
          <w:rFonts w:ascii="Arial" w:hAnsi="Arial" w:cs="Arial"/>
          <w:szCs w:val="24"/>
          <w:lang w:val="mn-MN" w:bidi="mn-Mong-CN"/>
        </w:rPr>
      </w:pPr>
    </w:p>
    <w:p w14:paraId="12EBFD7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Одоогийн нөхцөлд Монгол Улсад 4,300 гаруй  бүртгэлтэй эм байгаагаас жороор олгох эм 70 хувийг эзэлж, цөөнгүй тооны гаж нөлөө бүртгэгдэж байна. Эмийн сонголтын бодлогыг өөрчлөхгүй хэвээр үлдээснээр эмийн сонголт нь жор </w:t>
      </w:r>
      <w:r w:rsidRPr="00F6454D">
        <w:rPr>
          <w:rFonts w:ascii="Arial" w:hAnsi="Arial" w:cs="Arial"/>
          <w:szCs w:val="24"/>
          <w:lang w:val="mn-MN" w:bidi="mn-Mong-CN"/>
        </w:rPr>
        <w:lastRenderedPageBreak/>
        <w:t>бичигч эмчийн субъектив шийдвэрт тулгуурлан, даатгалын зардал урт хугацаанд тогтвортой хянагдахгүй, эмчилгээний стандарт жигд бус байх эрсдэлтэй.</w:t>
      </w:r>
    </w:p>
    <w:p w14:paraId="02667E4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Жишээ нь: 1980-аад онд АНУ-д формулари өргөн хэрэглээнд орохоос өмнө эмийн зардал жил бүр хурдацтай өссөн, даатгалын компаниуд зардлын хяналтгүй байдалд орсон бөгөөд үүний дараа </w:t>
      </w:r>
      <w:r w:rsidRPr="00F6454D">
        <w:rPr>
          <w:rFonts w:ascii="Arial" w:hAnsi="Arial" w:cs="Arial"/>
          <w:i/>
          <w:iCs/>
          <w:szCs w:val="24"/>
          <w:lang w:val="mn-MN" w:bidi="mn-Mong-CN"/>
        </w:rPr>
        <w:t>managed care</w:t>
      </w:r>
      <w:r w:rsidRPr="00F6454D">
        <w:rPr>
          <w:rFonts w:ascii="Arial" w:hAnsi="Arial" w:cs="Arial"/>
          <w:szCs w:val="24"/>
          <w:lang w:val="mn-MN" w:bidi="mn-Mong-CN"/>
        </w:rPr>
        <w:t xml:space="preserve"> системийн формулариг нэвтрүүлсэн байна</w:t>
      </w:r>
      <w:r w:rsidRPr="00F6454D">
        <w:rPr>
          <w:rStyle w:val="FootnoteReference"/>
          <w:rFonts w:ascii="Arial" w:hAnsi="Arial" w:cs="Arial"/>
          <w:szCs w:val="24"/>
          <w:lang w:val="mn-MN" w:bidi="mn-Mong-CN"/>
        </w:rPr>
        <w:footnoteReference w:id="23"/>
      </w:r>
      <w:r w:rsidRPr="00F6454D">
        <w:rPr>
          <w:rFonts w:ascii="Arial" w:hAnsi="Arial" w:cs="Arial"/>
          <w:szCs w:val="24"/>
          <w:lang w:val="mn-MN" w:bidi="mn-Mong-CN"/>
        </w:rPr>
        <w:t xml:space="preserve">. </w:t>
      </w:r>
    </w:p>
    <w:p w14:paraId="3106C29B"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Хоёр. Соён гэгээрүүлэх, зөвлөмжийн шинжтэй зохицуулалт</w:t>
      </w:r>
    </w:p>
    <w:p w14:paraId="6B648E3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Эмийн сонголт, жор бичилтийн талаар зөвлөмж, удирдамж гаргах замаар эмчийн шийдвэр гаргалтыг дэмжих хувилбар.</w:t>
      </w:r>
    </w:p>
    <w:tbl>
      <w:tblPr>
        <w:tblStyle w:val="TableGrid"/>
        <w:tblW w:w="0" w:type="auto"/>
        <w:tblLook w:val="04A0" w:firstRow="1" w:lastRow="0" w:firstColumn="1" w:lastColumn="0" w:noHBand="0" w:noVBand="1"/>
      </w:tblPr>
      <w:tblGrid>
        <w:gridCol w:w="4530"/>
        <w:gridCol w:w="4531"/>
      </w:tblGrid>
      <w:tr w:rsidR="005C0E55" w:rsidRPr="00F6454D" w14:paraId="3146BEB9" w14:textId="77777777" w:rsidTr="009B2637">
        <w:tc>
          <w:tcPr>
            <w:tcW w:w="4530" w:type="dxa"/>
          </w:tcPr>
          <w:p w14:paraId="0BB1105B"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Давуу тал</w:t>
            </w:r>
          </w:p>
        </w:tc>
        <w:tc>
          <w:tcPr>
            <w:tcW w:w="4531" w:type="dxa"/>
          </w:tcPr>
          <w:p w14:paraId="22CD190D"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Сул тал</w:t>
            </w:r>
          </w:p>
        </w:tc>
      </w:tr>
      <w:tr w:rsidR="005C0E55" w:rsidRPr="00F6454D" w14:paraId="6B33781E" w14:textId="77777777" w:rsidTr="009B2637">
        <w:tc>
          <w:tcPr>
            <w:tcW w:w="4530" w:type="dxa"/>
          </w:tcPr>
          <w:p w14:paraId="020F7F20"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Хурдан хэрэгжих боломжтой;</w:t>
            </w:r>
          </w:p>
          <w:p w14:paraId="278C9FC8"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Уян хатан шинжтэй.</w:t>
            </w:r>
          </w:p>
        </w:tc>
        <w:tc>
          <w:tcPr>
            <w:tcW w:w="4531" w:type="dxa"/>
          </w:tcPr>
          <w:p w14:paraId="58DA7521"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Заавал мөрдөх чанар сул;</w:t>
            </w:r>
          </w:p>
          <w:p w14:paraId="4FCC49AE"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Бодлогын уялдаа хангалтгүй.</w:t>
            </w:r>
          </w:p>
        </w:tc>
      </w:tr>
    </w:tbl>
    <w:p w14:paraId="309403EC" w14:textId="77777777" w:rsidR="005C0E55" w:rsidRPr="00F6454D" w:rsidRDefault="005C0E55" w:rsidP="005C0E55">
      <w:pPr>
        <w:spacing w:line="276" w:lineRule="auto"/>
        <w:contextualSpacing/>
        <w:jc w:val="both"/>
        <w:rPr>
          <w:rFonts w:ascii="Arial" w:hAnsi="Arial" w:cs="Arial"/>
          <w:szCs w:val="24"/>
          <w:lang w:val="mn-MN" w:bidi="mn-Mong-CN"/>
        </w:rPr>
      </w:pPr>
    </w:p>
    <w:p w14:paraId="3967334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Эмч нарт удирдамж, зөвлөмж гаргах нь хурдан хэрэгждэг, эсэргүүцэл бага сайн талтай боловч заавал мөрдөх үүрэггүй, санхүүгийн уялдаа сул, хяналтын механизмгүй нөхцөл байдал хэвээр үлдэнэ. </w:t>
      </w:r>
    </w:p>
    <w:p w14:paraId="4727DE26" w14:textId="77777777" w:rsidR="005C0E55" w:rsidRPr="00F6454D" w:rsidRDefault="005C0E55" w:rsidP="005C0E55">
      <w:pPr>
        <w:spacing w:line="276" w:lineRule="auto"/>
        <w:contextualSpacing/>
        <w:jc w:val="both"/>
        <w:rPr>
          <w:rFonts w:ascii="Arial" w:hAnsi="Arial" w:cs="Arial"/>
          <w:szCs w:val="24"/>
          <w:lang w:val="mn-MN" w:bidi="mn-Mong-CN"/>
        </w:rPr>
      </w:pPr>
    </w:p>
    <w:p w14:paraId="5F823517"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Гурав. Захиргааны шийдвэр, журам гаргах</w:t>
      </w:r>
    </w:p>
    <w:p w14:paraId="213B92A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Эрүүл мэндийн асуудал эрхэлсэн төрийн захиргааны төв байгууллагын түвшинд формулари батлах, хэрэгжүүлэх журам гаргах.</w:t>
      </w:r>
    </w:p>
    <w:tbl>
      <w:tblPr>
        <w:tblStyle w:val="TableGrid"/>
        <w:tblW w:w="0" w:type="auto"/>
        <w:tblLook w:val="04A0" w:firstRow="1" w:lastRow="0" w:firstColumn="1" w:lastColumn="0" w:noHBand="0" w:noVBand="1"/>
      </w:tblPr>
      <w:tblGrid>
        <w:gridCol w:w="4530"/>
        <w:gridCol w:w="4531"/>
      </w:tblGrid>
      <w:tr w:rsidR="005C0E55" w:rsidRPr="00F6454D" w14:paraId="2B9EEC61" w14:textId="77777777" w:rsidTr="009B2637">
        <w:tc>
          <w:tcPr>
            <w:tcW w:w="4530" w:type="dxa"/>
          </w:tcPr>
          <w:p w14:paraId="05765F66"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Давуу тал</w:t>
            </w:r>
          </w:p>
        </w:tc>
        <w:tc>
          <w:tcPr>
            <w:tcW w:w="4531" w:type="dxa"/>
          </w:tcPr>
          <w:p w14:paraId="29368527"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Сул тал</w:t>
            </w:r>
          </w:p>
        </w:tc>
      </w:tr>
      <w:tr w:rsidR="005C0E55" w:rsidRPr="00F6454D" w14:paraId="2A80481D" w14:textId="77777777" w:rsidTr="009B2637">
        <w:tc>
          <w:tcPr>
            <w:tcW w:w="4530" w:type="dxa"/>
          </w:tcPr>
          <w:p w14:paraId="0ADF1C75"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Харьцангуй хурдан хэрэгжих;</w:t>
            </w:r>
          </w:p>
          <w:p w14:paraId="2C537877"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Богино хугацаанд бодлогын уялдаа бий болгох боломжтой.</w:t>
            </w:r>
          </w:p>
        </w:tc>
        <w:tc>
          <w:tcPr>
            <w:tcW w:w="4531" w:type="dxa"/>
          </w:tcPr>
          <w:p w14:paraId="19413D68"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Эрх зүйн тогтвортой байдал сул;</w:t>
            </w:r>
          </w:p>
          <w:p w14:paraId="76DD7FE4"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Улс төр, удирдлагын өөрчлөлтөөс хамаарах эрсдэлтэй.</w:t>
            </w:r>
          </w:p>
        </w:tc>
      </w:tr>
    </w:tbl>
    <w:p w14:paraId="165B44CC" w14:textId="77777777" w:rsidR="005C0E55" w:rsidRPr="00F6454D" w:rsidRDefault="005C0E55" w:rsidP="005C0E55">
      <w:pPr>
        <w:spacing w:line="276" w:lineRule="auto"/>
        <w:contextualSpacing/>
        <w:jc w:val="both"/>
        <w:rPr>
          <w:rFonts w:ascii="Arial" w:hAnsi="Arial" w:cs="Arial"/>
          <w:szCs w:val="24"/>
          <w:lang w:val="mn-MN" w:bidi="mn-Mong-CN"/>
        </w:rPr>
      </w:pPr>
    </w:p>
    <w:p w14:paraId="466B0BCB"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 xml:space="preserve">Дөрөв. Хууль тогтоомжийн түвшинд зохицуулах </w:t>
      </w:r>
      <w:r w:rsidRPr="00F6454D">
        <w:rPr>
          <w:rFonts w:ascii="Arial" w:hAnsi="Arial" w:cs="Arial"/>
          <w:b/>
          <w:bCs/>
          <w:i/>
          <w:iCs/>
          <w:szCs w:val="24"/>
          <w:lang w:val="mn-MN" w:bidi="mn-Mong-CN"/>
        </w:rPr>
        <w:t>(сонгогдсон хувилбар)</w:t>
      </w:r>
    </w:p>
    <w:p w14:paraId="13B041B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 эмнэлгийн хэрэгслийн тухай” хуульд нэмэлт, өөрчлөлт оруулж, үндэсний формуларийн тогтолцоог хуульчлан тогтоох.</w:t>
      </w:r>
    </w:p>
    <w:tbl>
      <w:tblPr>
        <w:tblStyle w:val="TableGrid"/>
        <w:tblW w:w="0" w:type="auto"/>
        <w:tblLook w:val="04A0" w:firstRow="1" w:lastRow="0" w:firstColumn="1" w:lastColumn="0" w:noHBand="0" w:noVBand="1"/>
      </w:tblPr>
      <w:tblGrid>
        <w:gridCol w:w="4530"/>
        <w:gridCol w:w="4531"/>
      </w:tblGrid>
      <w:tr w:rsidR="005C0E55" w:rsidRPr="00F6454D" w14:paraId="0081DAE7" w14:textId="77777777" w:rsidTr="009B2637">
        <w:tc>
          <w:tcPr>
            <w:tcW w:w="4530" w:type="dxa"/>
          </w:tcPr>
          <w:p w14:paraId="6BD6C513"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Давуу тал</w:t>
            </w:r>
          </w:p>
        </w:tc>
        <w:tc>
          <w:tcPr>
            <w:tcW w:w="4531" w:type="dxa"/>
          </w:tcPr>
          <w:p w14:paraId="29536CCE" w14:textId="77777777" w:rsidR="005C0E55" w:rsidRPr="00F6454D" w:rsidRDefault="005C0E55" w:rsidP="009B2637">
            <w:pPr>
              <w:spacing w:line="276" w:lineRule="auto"/>
              <w:contextualSpacing/>
              <w:jc w:val="center"/>
              <w:rPr>
                <w:rFonts w:ascii="Arial" w:hAnsi="Arial" w:cs="Arial"/>
                <w:sz w:val="22"/>
                <w:szCs w:val="22"/>
                <w:lang w:val="mn-MN" w:bidi="mn-Mong-CN"/>
              </w:rPr>
            </w:pPr>
            <w:r w:rsidRPr="00F6454D">
              <w:rPr>
                <w:rFonts w:ascii="Arial" w:hAnsi="Arial" w:cs="Arial"/>
                <w:sz w:val="22"/>
                <w:szCs w:val="22"/>
                <w:lang w:val="mn-MN" w:bidi="mn-Mong-CN"/>
              </w:rPr>
              <w:t>Сул тал</w:t>
            </w:r>
          </w:p>
        </w:tc>
      </w:tr>
      <w:tr w:rsidR="005C0E55" w:rsidRPr="00F6454D" w14:paraId="56B49413" w14:textId="77777777" w:rsidTr="009B2637">
        <w:tc>
          <w:tcPr>
            <w:tcW w:w="4530" w:type="dxa"/>
          </w:tcPr>
          <w:p w14:paraId="10B78F03"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Тогтвортой, урт хугацааны зохицуулалт бүрдэнэ;</w:t>
            </w:r>
          </w:p>
          <w:p w14:paraId="6CF61751"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Эмийн бодлогын нэгдмэл байдал хангагдана;</w:t>
            </w:r>
          </w:p>
          <w:p w14:paraId="37E970BB"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Хариуцлага, ил тод байдал сайжирна.</w:t>
            </w:r>
          </w:p>
        </w:tc>
        <w:tc>
          <w:tcPr>
            <w:tcW w:w="4531" w:type="dxa"/>
          </w:tcPr>
          <w:p w14:paraId="11968031"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Хууль боловсруулах хугацаа шаардана;</w:t>
            </w:r>
          </w:p>
          <w:p w14:paraId="55C08B80" w14:textId="77777777" w:rsidR="005C0E55" w:rsidRPr="00F6454D" w:rsidRDefault="005C0E55" w:rsidP="009B2637">
            <w:pPr>
              <w:spacing w:line="276" w:lineRule="auto"/>
              <w:contextualSpacing/>
              <w:jc w:val="both"/>
              <w:rPr>
                <w:rFonts w:ascii="Arial" w:hAnsi="Arial" w:cs="Arial"/>
                <w:sz w:val="22"/>
                <w:szCs w:val="22"/>
                <w:lang w:val="mn-MN" w:bidi="mn-Mong-CN"/>
              </w:rPr>
            </w:pPr>
            <w:r w:rsidRPr="00F6454D">
              <w:rPr>
                <w:rFonts w:ascii="Arial" w:hAnsi="Arial" w:cs="Arial"/>
                <w:sz w:val="22"/>
                <w:szCs w:val="22"/>
                <w:lang w:val="mn-MN" w:bidi="mn-Mong-CN"/>
              </w:rPr>
              <w:t>Анхан шатанд захиргааны зардал үүснэ.</w:t>
            </w:r>
          </w:p>
        </w:tc>
      </w:tr>
    </w:tbl>
    <w:p w14:paraId="68A1904A" w14:textId="77777777" w:rsidR="005C0E55" w:rsidRPr="00F6454D" w:rsidRDefault="005C0E55" w:rsidP="005C0E55">
      <w:pPr>
        <w:spacing w:line="276" w:lineRule="auto"/>
        <w:contextualSpacing/>
        <w:jc w:val="both"/>
        <w:rPr>
          <w:rFonts w:ascii="Arial" w:hAnsi="Arial" w:cs="Arial"/>
          <w:szCs w:val="24"/>
          <w:lang w:val="mn-MN" w:bidi="mn-Mong-CN"/>
        </w:rPr>
      </w:pPr>
    </w:p>
    <w:p w14:paraId="19295C99"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Хувилбаруудын харьцуулсан дүгнэлт: (Аргачлал 5.6–5.11)</w:t>
      </w:r>
    </w:p>
    <w:p w14:paraId="62D21AC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Хувилбаруудыг зорилгод хүрэх байдал болон зардал–үр ашгийн харьцааны шалгуураар харьцуулахад, хууль тогтоомжийн түвшинд зохицуулах хувилбар нь эмийн бодлогын асуудлыг системтэй, тогтвортой, үр ашигтайгаар шийдвэрлэх хамгийн оновчтой хувилбар гэж дүгнэв.</w:t>
      </w:r>
    </w:p>
    <w:p w14:paraId="3159D27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Олон улсын туршлагаас харахад эмийн формуларийг зөвхөн зөвлөмж, захиргааны түвшинд хэрэгжүүлэх нь урт хугацаанд тогтвортой бус бөгөөд санхүүжилт, нөхөн төлбөр, чанарын хяналттай нэгдсэн байдлаар хууль тогтоомжид тусгасан улс орнууд (Их Британи, Австрали, БНСУ) эмийн зардлыг </w:t>
      </w:r>
      <w:r w:rsidRPr="00F6454D">
        <w:rPr>
          <w:rFonts w:ascii="Arial" w:hAnsi="Arial" w:cs="Arial"/>
          <w:szCs w:val="24"/>
          <w:lang w:val="mn-MN" w:bidi="mn-Mong-CN"/>
        </w:rPr>
        <w:lastRenderedPageBreak/>
        <w:t>илүү үр ашигтай удирдаж, эмчилгээний чанарыг жигд болгож чадсан байна. Иймд Монгол Улсад үндэсний формуларийн тогтолцоог Эм, эмнэлгийн хэрэгслийн тухай хуульд тусган, шийдвэр гаргалтын шалгуур, байгууллагын бүтэц, шинэчлэлтийн механизмыг хуульчлах нь хамгийн оновчтой зохицуулалтын хувилбар гэж үзэв.</w:t>
      </w:r>
    </w:p>
    <w:p w14:paraId="5DEB92A4" w14:textId="77777777" w:rsidR="005C0E55" w:rsidRPr="00F6454D" w:rsidRDefault="005C0E55" w:rsidP="005C0E55">
      <w:pPr>
        <w:spacing w:line="276" w:lineRule="auto"/>
        <w:contextualSpacing/>
        <w:jc w:val="both"/>
        <w:rPr>
          <w:rFonts w:ascii="Arial" w:hAnsi="Arial" w:cs="Arial"/>
          <w:szCs w:val="24"/>
          <w:lang w:val="mn-MN" w:bidi="mn-Mong-CN"/>
        </w:rPr>
      </w:pPr>
    </w:p>
    <w:p w14:paraId="1F6BF579" w14:textId="6F208884" w:rsidR="005C0E55" w:rsidRPr="00071699" w:rsidRDefault="005C0E55" w:rsidP="00071699">
      <w:pPr>
        <w:spacing w:line="276" w:lineRule="auto"/>
        <w:contextualSpacing/>
        <w:jc w:val="center"/>
        <w:rPr>
          <w:rFonts w:ascii="Arial" w:hAnsi="Arial" w:cs="Arial"/>
          <w:szCs w:val="24"/>
          <w:lang w:val="mn-MN" w:bidi="mn-Mong-CN"/>
        </w:rPr>
      </w:pPr>
      <w:r w:rsidRPr="00F6454D">
        <w:rPr>
          <w:rFonts w:ascii="Arial" w:hAnsi="Arial" w:cs="Arial"/>
          <w:b/>
          <w:bCs/>
          <w:szCs w:val="24"/>
          <w:lang w:val="mn-MN" w:bidi="mn-Mong-CN"/>
        </w:rPr>
        <w:t>ДӨРӨВДҮГЭЭР БҮЛЭГ. ЗОХИЦУУЛАЛТЫН ХУВИЛБАРУУДЫН ҮР НӨЛӨӨГ ТАНДАН СУДЛАХ</w:t>
      </w:r>
    </w:p>
    <w:p w14:paraId="0BB4E3C6"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 xml:space="preserve">(Хууль тогтоомжийн хэрэгцээ, шаардлагыг урьдчилан </w:t>
      </w:r>
    </w:p>
    <w:p w14:paraId="3592DAFA"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тандан судлах аргачлалын 6-р бүлэг)</w:t>
      </w:r>
    </w:p>
    <w:p w14:paraId="5DE77D90" w14:textId="77777777" w:rsidR="005C0E55" w:rsidRPr="00F6454D" w:rsidRDefault="005C0E55" w:rsidP="005C0E55">
      <w:pPr>
        <w:spacing w:line="276" w:lineRule="auto"/>
        <w:ind w:firstLine="720"/>
        <w:contextualSpacing/>
        <w:jc w:val="both"/>
        <w:rPr>
          <w:rFonts w:ascii="Arial" w:hAnsi="Arial" w:cs="Arial"/>
          <w:szCs w:val="24"/>
          <w:lang w:val="mn-MN" w:bidi="mn-Mong-CN"/>
        </w:rPr>
      </w:pPr>
    </w:p>
    <w:p w14:paraId="14C8E7D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Энэхүү бүлэгт бүлэгт сонгосон хууль тогтоомжийн түвшинд зохицуулах хувилбар нь хүний эрх, эдийн засаг, нийгэм, байгаль орчинд үзүүлэх үр нөлөөг аргачлалын дагуу нарийвчлан тандан судлав.</w:t>
      </w:r>
    </w:p>
    <w:p w14:paraId="7A73C7FF" w14:textId="77777777" w:rsidR="005C0E55" w:rsidRPr="00F6454D" w:rsidRDefault="005C0E55" w:rsidP="005C0E55">
      <w:pPr>
        <w:spacing w:line="276" w:lineRule="auto"/>
        <w:contextualSpacing/>
        <w:jc w:val="both"/>
        <w:rPr>
          <w:rFonts w:ascii="Arial" w:hAnsi="Arial" w:cs="Arial"/>
          <w:b/>
          <w:bCs/>
          <w:szCs w:val="24"/>
          <w:lang w:val="mn-MN" w:bidi="mn-Mong-CN"/>
        </w:rPr>
      </w:pPr>
    </w:p>
    <w:p w14:paraId="46CC831D"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bidi="mn-Mong-CN"/>
        </w:rPr>
        <w:t>Хүний эрхэд үзүүлэх үр нөлөө: (Аргачлал 6.1.1, Хүснэгт 1)</w:t>
      </w:r>
    </w:p>
    <w:p w14:paraId="2ECEC495"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Эрүүл мэндээ хамгаалуулах эрх:</w:t>
      </w:r>
    </w:p>
    <w:p w14:paraId="4D5841D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Монгол Улсын Үндсэн хуульд иргэний эрүүл мэндээ хамгаалуулах эрхийг баталгаажуулсан байдаг. Эмийн формуларийг хуульчлах нь энэхүү эрхийг бодитой хэрэгжүүлэхэд дараах байдлаар эерэг нөлөө үзүүлнэ. Үүнд: Эмчилгээний шийдвэр нотолгоонд суурилж, эмийн сонголт илүү оновчтой болно; Аюулгүй байдал, үр нөлөө нь нотлогдсон эмийг нэн тэргүүнд хэрэглэх нөхцөл бүрдэнэ; Эмчилгээний чанарын ялгаа багасна. Иймд формуларийн тогтолцоо нь иргэний эрүүл мэндээ хамгаалуулах эрхийг хязгаарлах бус, харин хангах, баталгаажуулах чиглэлтэй гэж дүгнэнэ.</w:t>
      </w:r>
    </w:p>
    <w:p w14:paraId="4DE2103F"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Ялгаварлан гадуурхахгүй, тэгш байх зарчим:</w:t>
      </w:r>
    </w:p>
    <w:p w14:paraId="74961D7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Формулари нь хүн амын нийтлэг өвчлөл, эмчилгээний хэрэгцээнд суурилж боловсруулагддаг тул орлогын түвшин, амьдарч буй газар, эрүүл мэндийн байгууллагын төрөл зэргээс үл хамааран иргэд эмчилгээний ижил стандартын дагуу үйлчилгээ авах нөхцөл бүрдэнэ. Энэ нь эрүүл мэндийн үйлчилгээний тэгш байдлыг хангах, ялгаварлан гадуурхалтаас сэргийлэхэд эерэг нөлөө үзүүлнэ. Мөн өөрийн өвчинд тохирсон, эмчилгээнд нэн чухал хэрэгцээтэй эмийг Монгол улсын эмийн бүртгэлд бүртгэлгүй гэх шалтгаанаар хэрэглэж чадахгүй байх, эсвэл хувь хүмүүсээр дамжуулан цөөн тоогоор тээвэрлүүлэх зэрэг хүний эрхийн хувьд хязгааралагдаж буй зохицуулалтыг хүчингүй болгоно. </w:t>
      </w:r>
    </w:p>
    <w:p w14:paraId="3DF67E75"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Эрх бүхий байгууллага, иргэн:</w:t>
      </w:r>
    </w:p>
    <w:p w14:paraId="345E28F2"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Формуларийн зохицуулалтаар эрх бүхий байгууллага, иргэн нь эрүүл мэндийн байгууллага, эмч, төрийн захиргааны байгууллага байна.</w:t>
      </w:r>
    </w:p>
    <w:p w14:paraId="1B55889C"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Энэхүү зохицуулалт нь эрх бүхий байгууллага, иргэний эрхийг хамгаалж, хариуцлагыг тодорхой болгох замаар хүний эрхийн хамгаалалтыг бэхжүүлнэ.</w:t>
      </w:r>
    </w:p>
    <w:p w14:paraId="3B668118" w14:textId="77777777" w:rsidR="005C0E55" w:rsidRPr="00F6454D" w:rsidRDefault="005C0E55" w:rsidP="005C0E55">
      <w:pPr>
        <w:spacing w:line="276" w:lineRule="auto"/>
        <w:contextualSpacing/>
        <w:jc w:val="both"/>
        <w:rPr>
          <w:rFonts w:ascii="Arial" w:hAnsi="Arial" w:cs="Arial"/>
          <w:szCs w:val="24"/>
          <w:lang w:val="mn-MN" w:bidi="mn-Mong-CN"/>
        </w:rPr>
      </w:pPr>
    </w:p>
    <w:p w14:paraId="667346F0"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bidi="mn-Mong-CN"/>
        </w:rPr>
        <w:t>Эдийн засагт үзүүлэх үр нөлөө: (Аргачлал 6.1.1, Хүснэгт 2)</w:t>
      </w:r>
    </w:p>
    <w:p w14:paraId="6F75617E"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Улсын төсөв, эрүүл мэндийн даатгалын сан:</w:t>
      </w:r>
    </w:p>
    <w:p w14:paraId="052A05B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Эмийн формуларийг хуульчлах нь богино хугацаанд тодорхой хэмжээний захиргааны зардал шаардах боловч дунд болон урт хугацаанд дараах эерэг үр нөлөө үзүүлнэ:</w:t>
      </w:r>
    </w:p>
    <w:p w14:paraId="382A7A3A" w14:textId="77777777" w:rsidR="005C0E55" w:rsidRPr="00F6454D" w:rsidRDefault="005C0E55" w:rsidP="005C0E55">
      <w:pPr>
        <w:pStyle w:val="ListParagraph"/>
        <w:numPr>
          <w:ilvl w:val="0"/>
          <w:numId w:val="3"/>
        </w:numPr>
        <w:spacing w:after="300" w:line="276" w:lineRule="auto"/>
        <w:jc w:val="both"/>
        <w:rPr>
          <w:rFonts w:ascii="Arial" w:hAnsi="Arial" w:cs="Arial"/>
          <w:szCs w:val="24"/>
          <w:lang w:val="mn-MN" w:bidi="mn-Mong-CN"/>
        </w:rPr>
      </w:pPr>
      <w:r w:rsidRPr="00F6454D">
        <w:rPr>
          <w:rFonts w:ascii="Arial" w:hAnsi="Arial" w:cs="Arial"/>
          <w:szCs w:val="24"/>
          <w:lang w:val="mn-MN" w:bidi="mn-Mong-CN"/>
        </w:rPr>
        <w:lastRenderedPageBreak/>
        <w:t>Эмийн даатгалын сангийн зардал оновчтой болно;</w:t>
      </w:r>
    </w:p>
    <w:p w14:paraId="509FCBC0" w14:textId="77777777" w:rsidR="005C0E55" w:rsidRPr="00F6454D" w:rsidRDefault="005C0E55" w:rsidP="005C0E55">
      <w:pPr>
        <w:pStyle w:val="ListParagraph"/>
        <w:numPr>
          <w:ilvl w:val="0"/>
          <w:numId w:val="3"/>
        </w:numPr>
        <w:spacing w:after="300" w:line="276" w:lineRule="auto"/>
        <w:jc w:val="both"/>
        <w:rPr>
          <w:rFonts w:ascii="Arial" w:hAnsi="Arial" w:cs="Arial"/>
          <w:szCs w:val="24"/>
          <w:lang w:val="mn-MN" w:bidi="mn-Mong-CN"/>
        </w:rPr>
      </w:pPr>
      <w:r w:rsidRPr="00F6454D">
        <w:rPr>
          <w:rFonts w:ascii="Arial" w:hAnsi="Arial" w:cs="Arial"/>
          <w:szCs w:val="24"/>
          <w:lang w:val="mn-MN" w:bidi="mn-Mong-CN"/>
        </w:rPr>
        <w:t>Ижил эмнэл зүйн үр нөлөөтэй, өртөг багатай эмийн хэрэглээ нэмэгдэнэ;</w:t>
      </w:r>
    </w:p>
    <w:p w14:paraId="1D5865EF" w14:textId="77777777" w:rsidR="005C0E55" w:rsidRPr="00F6454D" w:rsidRDefault="005C0E55" w:rsidP="005C0E55">
      <w:pPr>
        <w:pStyle w:val="ListParagraph"/>
        <w:numPr>
          <w:ilvl w:val="0"/>
          <w:numId w:val="3"/>
        </w:numPr>
        <w:spacing w:after="300" w:line="276" w:lineRule="auto"/>
        <w:jc w:val="both"/>
        <w:rPr>
          <w:rFonts w:ascii="Arial" w:hAnsi="Arial" w:cs="Arial"/>
          <w:szCs w:val="24"/>
          <w:lang w:val="mn-MN" w:bidi="mn-Mong-CN"/>
        </w:rPr>
      </w:pPr>
      <w:r w:rsidRPr="00F6454D">
        <w:rPr>
          <w:rFonts w:ascii="Arial" w:hAnsi="Arial" w:cs="Arial"/>
          <w:szCs w:val="24"/>
          <w:lang w:val="mn-MN" w:bidi="mn-Mong-CN"/>
        </w:rPr>
        <w:t>Төсвийн зардлын өсөлтийн хурд саарна.</w:t>
      </w:r>
    </w:p>
    <w:p w14:paraId="634B4BDA"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Аж ахуйн нэгж, зах зээлийн орчин:</w:t>
      </w:r>
    </w:p>
    <w:p w14:paraId="5AA9D5B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Формулари нь эмийн зах зээлийг ил тод, шударга, нотолгоонд суурилсан шалгуураар чиглүүлэх тул эмийн үйлдвэрлэгч, импортлогчдын хувьд өрсөлдөөний орчин сайжирна.</w:t>
      </w:r>
    </w:p>
    <w:p w14:paraId="4078C06C"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Зарим аж ахуйн нэгжид богино хугацаанд зах зээлийн эзлэх хувь буурах эрсдэл бий боловч нийт зах зээлийн хувьд үр ашигтай, тогтвортой хөгжилд эерэг нөлөөтэй.</w:t>
      </w:r>
    </w:p>
    <w:p w14:paraId="737ABB22"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Иргэн, өрхийн түвшин:</w:t>
      </w:r>
    </w:p>
    <w:p w14:paraId="466A07A1"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Эмийн сонголт оновчтой болсноор иргэдийн эмийн зардлын дарамт буурах; архаг өвчтэй иргэдийн тасралтгүй эмчилгээний санхүүгийн эрсдэл багасах эерэг нөлөө гарна.</w:t>
      </w:r>
    </w:p>
    <w:p w14:paraId="6CB38420" w14:textId="77777777" w:rsidR="005C0E55" w:rsidRPr="00F6454D" w:rsidRDefault="005C0E55" w:rsidP="005C0E55">
      <w:pPr>
        <w:spacing w:line="276" w:lineRule="auto"/>
        <w:contextualSpacing/>
        <w:jc w:val="both"/>
        <w:rPr>
          <w:rFonts w:ascii="Arial" w:hAnsi="Arial" w:cs="Arial"/>
          <w:szCs w:val="24"/>
          <w:lang w:val="mn-MN" w:bidi="mn-Mong-CN"/>
        </w:rPr>
      </w:pPr>
    </w:p>
    <w:p w14:paraId="3DE0BB42"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bidi="mn-Mong-CN"/>
        </w:rPr>
        <w:t>Нийгэмд үзүүлэх үр нөлөө: (Аргачлал 6.1.1, Хүснэгт 3)</w:t>
      </w:r>
    </w:p>
    <w:p w14:paraId="717CA1B9"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Эмчилгээний чанар, стандарт:</w:t>
      </w:r>
    </w:p>
    <w:p w14:paraId="555532B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Формуларийн тогтолцоо нь эмчилгээний стандартыг нэг мөр болгох; эмчийн шийдвэр гаргалтыг дэмжих; эмнэлгийн тусламж үйлчилгээний чанарыг жигдрүүлэх ач холбогдолтой.</w:t>
      </w:r>
    </w:p>
    <w:p w14:paraId="4088524E" w14:textId="77777777" w:rsidR="005C0E55" w:rsidRPr="00F6454D" w:rsidRDefault="005C0E55" w:rsidP="005C0E55">
      <w:pPr>
        <w:spacing w:line="276" w:lineRule="auto"/>
        <w:ind w:firstLine="720"/>
        <w:contextualSpacing/>
        <w:jc w:val="both"/>
        <w:rPr>
          <w:rFonts w:ascii="Arial" w:hAnsi="Arial" w:cs="Arial"/>
          <w:i/>
          <w:iCs/>
          <w:szCs w:val="24"/>
          <w:lang w:val="mn-MN" w:bidi="mn-Mong-CN"/>
        </w:rPr>
      </w:pPr>
      <w:r w:rsidRPr="00F6454D">
        <w:rPr>
          <w:rFonts w:ascii="Arial" w:hAnsi="Arial" w:cs="Arial"/>
          <w:i/>
          <w:iCs/>
          <w:szCs w:val="24"/>
          <w:lang w:val="mn-MN" w:bidi="mn-Mong-CN"/>
        </w:rPr>
        <w:t>Эмзэг бүлгийн хамгаалал:</w:t>
      </w:r>
    </w:p>
    <w:p w14:paraId="48CA456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Өндөр настай, архаг өвчтэй, хөгжлийн бэрхшээлтэй иргэдийн хувьд формулари нь зайлшгүй шаардлагатай эмийн хүртээмжийг нэмэгдүүлэх; эмчилгээний тасралтгүй байдлыг хангах нийгмийн хамгааллын чухал хэрэгсэл болно.</w:t>
      </w:r>
    </w:p>
    <w:p w14:paraId="12D5CD80" w14:textId="77777777" w:rsidR="005C0E55" w:rsidRPr="00F6454D" w:rsidRDefault="005C0E55" w:rsidP="005C0E55">
      <w:pPr>
        <w:spacing w:line="276" w:lineRule="auto"/>
        <w:contextualSpacing/>
        <w:jc w:val="both"/>
        <w:rPr>
          <w:rFonts w:ascii="Arial" w:hAnsi="Arial" w:cs="Arial"/>
          <w:b/>
          <w:bCs/>
          <w:szCs w:val="24"/>
          <w:lang w:val="mn-MN" w:bidi="mn-Mong-CN"/>
        </w:rPr>
      </w:pPr>
    </w:p>
    <w:p w14:paraId="2F3960BF" w14:textId="77777777" w:rsidR="005C0E55" w:rsidRPr="00F6454D" w:rsidRDefault="005C0E55" w:rsidP="005C0E55">
      <w:pPr>
        <w:spacing w:line="276" w:lineRule="auto"/>
        <w:contextualSpacing/>
        <w:jc w:val="both"/>
        <w:rPr>
          <w:rFonts w:ascii="Arial" w:hAnsi="Arial" w:cs="Arial"/>
          <w:b/>
          <w:bCs/>
          <w:szCs w:val="24"/>
          <w:lang w:val="mn-MN" w:bidi="mn-Mong-CN"/>
        </w:rPr>
      </w:pPr>
      <w:r w:rsidRPr="00F6454D">
        <w:rPr>
          <w:rFonts w:ascii="Arial" w:hAnsi="Arial" w:cs="Arial"/>
          <w:b/>
          <w:bCs/>
          <w:szCs w:val="24"/>
          <w:lang w:val="mn-MN" w:bidi="mn-Mong-CN"/>
        </w:rPr>
        <w:t>Байгаль орчинд үзүүлэх үр нөлөө: (Аргачлал 6.1.1, Хүснэгт 4)</w:t>
      </w:r>
    </w:p>
    <w:p w14:paraId="4741508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Формуларийн зохицуулалт нь байгаль орчинд шууд сөрөг нөлөө үзүүлэхгүй. Харин эмийн зохистой хэрэглээ нэмэгдсэнээр: илүүдэл эмийн хэрэглээ багасах; эмийн хаягдлын хэмжээ буурах дам эерэг нөлөө үзүүлэх боломжтой.</w:t>
      </w:r>
    </w:p>
    <w:p w14:paraId="2FBB66B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Зохицуулалтын сонгогдсон хувилбар нь хүний эрхийг хангах, эдийн засгийн үр ашгийг нэмэгдүүлэх, нийгмийн тэгш байдлыг сайжруулах, байгаль орчинд сөрөг нөлөөгүй байх нөхцөлийг бүрдүүлж байна. Иймд энэхүү хувилбарыг хэрэгжих боломжтой, үр дүнтэй гэж дүгнэв.</w:t>
      </w:r>
    </w:p>
    <w:p w14:paraId="43617219" w14:textId="77777777" w:rsidR="005C0E55" w:rsidRPr="00F6454D" w:rsidRDefault="005C0E55" w:rsidP="005C0E55">
      <w:pPr>
        <w:spacing w:line="276" w:lineRule="auto"/>
        <w:contextualSpacing/>
        <w:jc w:val="both"/>
        <w:rPr>
          <w:rFonts w:ascii="Arial" w:hAnsi="Arial" w:cs="Arial"/>
          <w:szCs w:val="24"/>
          <w:lang w:val="mn-MN" w:bidi="mn-Mong-CN"/>
        </w:rPr>
      </w:pPr>
    </w:p>
    <w:p w14:paraId="0C62F237" w14:textId="77777777" w:rsidR="005C0E55" w:rsidRPr="00F6454D" w:rsidRDefault="005C0E55" w:rsidP="005C0E55">
      <w:pPr>
        <w:spacing w:line="276" w:lineRule="auto"/>
        <w:contextualSpacing/>
        <w:rPr>
          <w:rFonts w:ascii="Arial" w:hAnsi="Arial" w:cs="Arial"/>
          <w:szCs w:val="24"/>
          <w:lang w:val="mn-MN" w:bidi="mn-Mong-CN"/>
        </w:rPr>
      </w:pPr>
      <w:r w:rsidRPr="00F6454D">
        <w:rPr>
          <w:rFonts w:ascii="Arial" w:hAnsi="Arial" w:cs="Arial"/>
          <w:szCs w:val="24"/>
          <w:lang w:val="mn-MN" w:bidi="mn-Mong-CN"/>
        </w:rPr>
        <w:br w:type="page"/>
      </w:r>
    </w:p>
    <w:p w14:paraId="4AF2E63F" w14:textId="77777777" w:rsidR="005C0E55" w:rsidRPr="00F6454D" w:rsidRDefault="005C0E55" w:rsidP="005C0E55">
      <w:pPr>
        <w:spacing w:line="276" w:lineRule="auto"/>
        <w:contextualSpacing/>
        <w:jc w:val="center"/>
        <w:rPr>
          <w:rFonts w:ascii="Arial" w:hAnsi="Arial" w:cs="Arial"/>
          <w:b/>
          <w:bCs/>
          <w:szCs w:val="24"/>
          <w:lang w:val="mn-MN" w:bidi="mn-Mong-CN"/>
        </w:rPr>
      </w:pPr>
      <w:r w:rsidRPr="00F6454D">
        <w:rPr>
          <w:rFonts w:ascii="Arial" w:hAnsi="Arial" w:cs="Arial"/>
          <w:b/>
          <w:bCs/>
          <w:szCs w:val="24"/>
          <w:lang w:val="mn-MN" w:bidi="mn-Mong-CN"/>
        </w:rPr>
        <w:lastRenderedPageBreak/>
        <w:t>ТАВДУГААР БҮЛЭГ. ОЛОН УЛСЫН ЭРХ ЗҮЙН ЗОХИЦУУЛАЛТЫН ХАРЬЦУУЛСАН СУДАЛГАА</w:t>
      </w:r>
    </w:p>
    <w:p w14:paraId="6377D68D"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(Аргачлалын 8-р бүлэг)</w:t>
      </w:r>
    </w:p>
    <w:p w14:paraId="076ECCF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Олон улсын практикт эмийн формулари нь зөвхөн эмийн жагсаалт бус, харин эмийн сонголтыг эмнэлзүйн үр нөлөө, аюулгүй байдал, эдийн засгийн үнэлгээнд суурилан удирдах бодлогын нэгдсэн механизм байдлаар хөгжсөн байна. Дэлхийн Эрүүл Мэндийн Байгууллага формуларийг “эмийн зохистой хэрэглээг хангах, нөөцийг үр ашигтай хуваарилах бодлогын хэрэгсэл” гэж тодорхойлсон бөгөөд ихэнх өндөр болон дунд орлоготой улс оронд формулари нь даатгалын санхүүжилт, төрийн худалдан авалт, эмийн үнийн зохицуулалттай нягт уялдсан байдаг (WHO, 2017).</w:t>
      </w:r>
    </w:p>
    <w:p w14:paraId="40BB0A15" w14:textId="77777777" w:rsidR="005C0E55" w:rsidRPr="00F6454D" w:rsidRDefault="005C0E55" w:rsidP="005C0E55">
      <w:pPr>
        <w:spacing w:line="276" w:lineRule="auto"/>
        <w:contextualSpacing/>
        <w:jc w:val="both"/>
        <w:rPr>
          <w:rFonts w:ascii="Arial" w:hAnsi="Arial" w:cs="Arial"/>
          <w:szCs w:val="24"/>
          <w:lang w:val="mn-MN" w:bidi="mn-Mong-CN"/>
        </w:rPr>
      </w:pPr>
    </w:p>
    <w:p w14:paraId="627EB15A" w14:textId="77777777" w:rsidR="005C0E55" w:rsidRPr="00F6454D" w:rsidRDefault="005C0E55" w:rsidP="005C0E55">
      <w:pPr>
        <w:spacing w:line="276" w:lineRule="auto"/>
        <w:ind w:firstLine="720"/>
        <w:contextualSpacing/>
        <w:jc w:val="both"/>
        <w:rPr>
          <w:rFonts w:ascii="Arial" w:hAnsi="Arial" w:cs="Arial"/>
          <w:b/>
          <w:bCs/>
          <w:szCs w:val="24"/>
          <w:lang w:val="mn-MN" w:bidi="mn-Mong-CN"/>
        </w:rPr>
      </w:pPr>
      <w:r w:rsidRPr="00F6454D">
        <w:rPr>
          <w:rFonts w:ascii="Arial" w:hAnsi="Arial" w:cs="Arial"/>
          <w:b/>
          <w:bCs/>
          <w:szCs w:val="24"/>
          <w:lang w:val="mn-MN" w:bidi="mn-Mong-CN"/>
        </w:rPr>
        <w:t>Нэг. Шинэ Зеландын формуларийн загвар ба эрх зүйн зохицуулалт.</w:t>
      </w:r>
    </w:p>
    <w:p w14:paraId="3166AED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Шинэ Зеланд улсад эмийн формуларийн бодлогыг Pharmaceutical Management Agency (PHARMAC) хэрэгжүүлдэг. PHARMAC нь 1993 онд New Zealand Public Health and Disability Act-ийн хүрээнд байгуулагдсан Crown entity бөгөөд улсын эмийн төсвийг удирдах, эмийг санхүүжилтийн жагсаалтад оруулах, үнийн хэлэлцээр хийх, санхүүжилтийн тэргүүлэх чиглэлийг тогтоох эрх бүхий бие даасан байгууллага юм (PHARMAC Act 2000; PHARMAC, 2023).</w:t>
      </w:r>
    </w:p>
    <w:p w14:paraId="4B4E9CEA"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PHARMAC-ийн үндсэн хэрэгсэл нь Pharmaceutical Schedule буюу үндэсний санхүүжилтийн формулари бөгөөд уг жагсаалт нь улсын төсвөөс нөхөн төлбөр олгох бүх эмийг хамардаг. Шийдвэр гаргахдаа дараах 9 шалгуурыг ашигладаг бөгөөд үүнд:</w:t>
      </w:r>
    </w:p>
    <w:p w14:paraId="21E68DEF"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(1) хүн амын эрүүл мэндийн хэрэгцээ,</w:t>
      </w:r>
    </w:p>
    <w:p w14:paraId="24DFC3E5"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(2) эмнэлзүйн үр нөлөө,</w:t>
      </w:r>
    </w:p>
    <w:p w14:paraId="376AF944"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(3) аюулгүй байдал,</w:t>
      </w:r>
    </w:p>
    <w:p w14:paraId="1DE96DB6"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(4) өртөг–үр ашиг (cost-utility analysis),</w:t>
      </w:r>
    </w:p>
    <w:p w14:paraId="1F22A7F3"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(5) төсвийн нөлөөлөл,</w:t>
      </w:r>
    </w:p>
    <w:p w14:paraId="0F91DE09"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(6) бусад эмчилгээний хувилбар,</w:t>
      </w:r>
    </w:p>
    <w:p w14:paraId="69FFC10E"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(7) нийгмийн болон ёс зүйн хүчин зүйл,</w:t>
      </w:r>
    </w:p>
    <w:p w14:paraId="139E225C"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(8) эмчилгээний тэгш хүртээмж,</w:t>
      </w:r>
    </w:p>
    <w:p w14:paraId="3498E8F5"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 xml:space="preserve">(9) нийт нөөцийн үр ашигт хуваарилалт (PHARMAC, 2023) тус тус хамаарна. </w:t>
      </w:r>
    </w:p>
    <w:p w14:paraId="692DC80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Институцийн хувьд PHARMAC нь:</w:t>
      </w:r>
    </w:p>
    <w:p w14:paraId="1C60C51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Удирдах зөвлөл, Фармакологи, эмчилгээний зөвлөх хороо (PTAC), Клиникийн салбар дэд хороод, Эрүүл мэндийн эдийн засагчид ба эмийн эдийн засгийн шинжээчдийн хамтарсан “Үнийн хэлэлцээрийн баг” гэсэн бүтэцтэй ажилладаг.</w:t>
      </w:r>
    </w:p>
    <w:p w14:paraId="47769EF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Фармакологи, эмчилгээний зөвлөх хороо (PTAC) нь эмийн эмнэлзүйн үр нөлөө, аюулгүй байдлын нотолгоонд тулгуурлан мэргэжлийн зөвлөмж гаргадаг бол эрүүл мэндийн эдийн засгийн баг нь өртөг–үр ашгийн шинжилгээ (ашиг–зардлын харьцуулсан үнэлгээ) хийж, чанарт тохируулсан амьдралын жилийн хэмжүүр (QALY)-ийг ашиглан эмийн эдийн засгийн үр ашгийг тооцоолдог.</w:t>
      </w:r>
    </w:p>
    <w:p w14:paraId="2CBD0A6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PHARMAC загварын давуу тал нь хязгаарлагдмал төсвийг стратегийн байдлаар удирдах чадварт оршдог бөгөөд OECD-ийн харьцуулалтаар Шинэ Зеланд эмийн зардлын өсөлтийг олон оронтой харьцуулахад тогтвортой барьж чадсан гэж үнэлэгдсэн (Cumming et al., 2010). Гэвч хатуу төсвийн хязгаар нь шинэ, </w:t>
      </w:r>
      <w:r w:rsidRPr="00F6454D">
        <w:rPr>
          <w:rFonts w:ascii="Arial" w:hAnsi="Arial" w:cs="Arial"/>
          <w:szCs w:val="24"/>
          <w:lang w:val="mn-MN" w:bidi="mn-Mong-CN"/>
        </w:rPr>
        <w:lastRenderedPageBreak/>
        <w:t>өндөр үнэтэй эмийн хүртээмжийг хойшлуулах эрсдэл дагуулдаг талаар судалгаанд тэмдэглэсэн (Wonder &amp; Milne, 2011).</w:t>
      </w:r>
    </w:p>
    <w:p w14:paraId="6B44CC62" w14:textId="77777777" w:rsidR="005C0E55" w:rsidRPr="00F6454D" w:rsidRDefault="005C0E55" w:rsidP="005C0E55">
      <w:pPr>
        <w:spacing w:line="276" w:lineRule="auto"/>
        <w:contextualSpacing/>
        <w:jc w:val="both"/>
        <w:rPr>
          <w:rFonts w:ascii="Arial" w:hAnsi="Arial" w:cs="Arial"/>
          <w:szCs w:val="24"/>
          <w:lang w:val="mn-MN" w:bidi="mn-Mong-CN"/>
        </w:rPr>
      </w:pPr>
    </w:p>
    <w:p w14:paraId="4961C9EE" w14:textId="77777777" w:rsidR="005C0E55" w:rsidRPr="00F6454D" w:rsidRDefault="005C0E55" w:rsidP="005C0E55">
      <w:pPr>
        <w:spacing w:line="276" w:lineRule="auto"/>
        <w:ind w:firstLine="720"/>
        <w:contextualSpacing/>
        <w:jc w:val="both"/>
        <w:rPr>
          <w:rFonts w:ascii="Arial" w:hAnsi="Arial" w:cs="Arial"/>
          <w:b/>
          <w:bCs/>
          <w:szCs w:val="24"/>
          <w:lang w:val="mn-MN" w:bidi="mn-Mong-CN"/>
        </w:rPr>
      </w:pPr>
      <w:r w:rsidRPr="00F6454D">
        <w:rPr>
          <w:rFonts w:ascii="Arial" w:hAnsi="Arial" w:cs="Arial"/>
          <w:b/>
          <w:bCs/>
          <w:szCs w:val="24"/>
          <w:lang w:val="mn-MN" w:bidi="mn-Mong-CN"/>
        </w:rPr>
        <w:t>Хоёр. Австрали: PBS (формулари) – PBAC (шийдвэр гаргалт).</w:t>
      </w:r>
    </w:p>
    <w:p w14:paraId="478C92E4"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Австралид формуларийн үүргийг Эмийн ашиг тусын хөтөлбөр (Pharmaceutical Benefits Scheme – PBS) гүйцэтгэдэг. PBS нь улсын төсвөөс эмийн үнийг татааслан, иргэдэд хөнгөлөлттэй олгох “даатгал/санхүүжилтийн жагсаалт” бөгөөд эмийн жагсаалт (schedule)-д орсон тохиолдолд л татаастай нийлүүлэгддэг. PBS-ийн үйл ажиллагааг National Health Act 1953 хуулиар зохицуулдаг.</w:t>
      </w:r>
    </w:p>
    <w:p w14:paraId="76EC101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Хуулийн заалт, шийдвэрийн шаардлага:</w:t>
      </w:r>
    </w:p>
    <w:p w14:paraId="5932255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PBS-ийн жагсаалтад шинэ эм оруулах эсэхийг Эмийн ашиг тусын зөвлөх хороо (Pharmaceutical Benefits Advisory Committee – PBAC)-ны зөвлөмж дээр үндэслэн шийддэг бөгөөд PBAC нь National Health Act 1953-аар байгуулагдсан.</w:t>
      </w:r>
    </w:p>
    <w:p w14:paraId="73CF2C21"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Хуулийн дагуу PBAC нь тухайн эмийг “ижил заалттай, одоо хэрэглэгдэж буй эмчилгээтэй” харьцуулж эмнэлзүйн үр нөлөө болон зардал (өртөг–үр ашиг)-ыг заавал харгалзан үзэх ёстой гэж PBAC-ийн албан тайлбар, удирдамжид тодорхой заасан байдаг.</w:t>
      </w:r>
    </w:p>
    <w:p w14:paraId="6DDCF0A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PBAC-ийн үнэлгээний аргачлал (өртөг–үр ашгийн шинжилгээ, нотолгооны шатлал гэх мэт) нь PBAC-ийн албан удирдамж (PBAC Guidelines)-аар дэлгэрэнгүй тогтоогдсон.</w:t>
      </w:r>
    </w:p>
    <w:p w14:paraId="50097B34"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Ажиллаж буй баг/хороод (институцийн бүтэц):</w:t>
      </w:r>
    </w:p>
    <w:p w14:paraId="16C864D1" w14:textId="77777777" w:rsidR="005C0E55" w:rsidRPr="00F6454D" w:rsidRDefault="005C0E55" w:rsidP="005C0E55">
      <w:pPr>
        <w:spacing w:line="276" w:lineRule="auto"/>
        <w:contextualSpacing/>
        <w:jc w:val="both"/>
        <w:rPr>
          <w:rFonts w:ascii="Arial" w:hAnsi="Arial" w:cs="Arial"/>
          <w:szCs w:val="24"/>
          <w:lang w:val="mn-MN" w:bidi="mn-Mong-CN"/>
        </w:rPr>
      </w:pPr>
    </w:p>
    <w:p w14:paraId="20D0611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PBAC нь Австралийн Засгийн газраас томилогддог хараат бус шинжээч байгууллага бөгөөд бүрэлдэхүүнд нь: эмч, эрүүл мэндийн бусад мэргэжилтэн, эрүүл мэндийн эдийн засагч, иргэн/хэрэглэгчийн төлөөлөл оролцдог.</w:t>
      </w:r>
    </w:p>
    <w:p w14:paraId="752AA8C4" w14:textId="77777777" w:rsidR="005C0E55" w:rsidRPr="00F6454D" w:rsidRDefault="005C0E55" w:rsidP="005C0E55">
      <w:pPr>
        <w:spacing w:line="276" w:lineRule="auto"/>
        <w:contextualSpacing/>
        <w:jc w:val="both"/>
        <w:rPr>
          <w:rFonts w:ascii="Arial" w:hAnsi="Arial" w:cs="Arial"/>
          <w:szCs w:val="24"/>
          <w:lang w:val="mn-MN" w:bidi="mn-Mong-CN"/>
        </w:rPr>
      </w:pPr>
    </w:p>
    <w:p w14:paraId="0099647D"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b/>
          <w:bCs/>
          <w:szCs w:val="24"/>
          <w:lang w:val="mn-MN" w:bidi="mn-Mong-CN"/>
        </w:rPr>
        <w:t>Гурав. Тайвань: Үндэсний даатгалын эмийн жагсаалт – Формуларийн загвар</w:t>
      </w:r>
    </w:p>
    <w:p w14:paraId="17B0B780"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Тайваньд бүх нийтийн даатгалыг Үндэсний эрүүл мэндийн даатгалын захиргаа (National Health Insurance Administration – NHIA) хэрэгжүүлдэг. Даатгалаар санхүүжих эмүүд нь NHI-ийн төлбөрийн хүснэгт ба эмийн лавлах жагсаалт (Fee Schedule and Reference List for Medications/Drugs гэсэн ойлголт) хэлбэрээр хэрэгжиж, нөхөн төлөх үнэ ба нөхцөл нь тусгай журам, шинэчлэлтийн механизмаар удирдагддаг болохыг олон улсын байгууллагын баримтад тэмдэглэсэн.</w:t>
      </w:r>
    </w:p>
    <w:p w14:paraId="717C63CB" w14:textId="77777777" w:rsidR="005C0E55" w:rsidRPr="00F6454D" w:rsidRDefault="005C0E55" w:rsidP="005C0E55">
      <w:pPr>
        <w:spacing w:line="276" w:lineRule="auto"/>
        <w:ind w:firstLine="720"/>
        <w:contextualSpacing/>
        <w:jc w:val="both"/>
        <w:rPr>
          <w:rFonts w:ascii="Arial" w:hAnsi="Arial" w:cs="Arial"/>
          <w:b/>
          <w:bCs/>
          <w:szCs w:val="24"/>
          <w:lang w:val="mn-MN" w:bidi="mn-Mong-CN"/>
        </w:rPr>
      </w:pPr>
      <w:r w:rsidRPr="00F6454D">
        <w:rPr>
          <w:rFonts w:ascii="Arial" w:hAnsi="Arial" w:cs="Arial"/>
          <w:b/>
          <w:bCs/>
          <w:szCs w:val="24"/>
          <w:lang w:val="mn-MN" w:bidi="mn-Mong-CN"/>
        </w:rPr>
        <w:t>Шийдвэр гаргалтын бүтэц (PBRS Joint Committee)</w:t>
      </w:r>
    </w:p>
    <w:p w14:paraId="4C0D543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Тайваньд шинэ эмийг даатгалд хамруулах, нөхөн төлөх үнийг эцэслэхэд Pharmaceutical Benefit and Reimbursement Scheme (PBRS) Joint Committee (Эмийн ашиг тус ба нөхөн төлбөрийн хамтарсан хороо) голлох үүрэгтэй талаар судалгаанд дурдсан. Тухайлбал, 2013 оноос хойш PBRS Joint Committee нь даатгалын нөхөн төлбөрийн “эцсийн шийдвэр гаргагч” бүтэц болж, мөн нөхөн төлөх үнийг тогтоох үүрэгтэйг тэмдэглэсэн байна.</w:t>
      </w:r>
    </w:p>
    <w:p w14:paraId="3664FF7A"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NHIA-ийн албан мэдээллээр тус хороо нь эмнэлгийн салбар, эм зүйн салбар, төлбөр төлөгч тал, өвчтөн/иргэний байгууллагын төлөөлөл зэрэг олон талын оролцоотойгоор хуралдаж шийдвэр гаргадаг.</w:t>
      </w:r>
    </w:p>
    <w:p w14:paraId="5BA9ACF5"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lastRenderedPageBreak/>
        <w:t>Тайваньд эмийн бодлогын шийдвэрт эрүүл мэндийн технологийн үнэлгээ (HTA)-г ашиглах тогтолцоо хөгжсөн. Албан эх сурвалжаар 2008 оноос шинэ эмийг NHI-д хамруулах өргөдөлд HTA нэвтэрч, HTA тайлан бэлтгэх үүргийг (Тайванийн) CDE-ийн HTA нэгж гүйцэтгэдэг гэж мэдээлсэн.</w:t>
      </w:r>
    </w:p>
    <w:p w14:paraId="175D1157"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 xml:space="preserve">Өөрөөр хэлбэл Тайванийн загвар нь: эмнэлзүйн нотолгоо (үр нөлөө, аюулгүй байдал), HTA/эдийн засгийн үнэлгээ (боломжит тохиолдолд өртөг–үр ашгийн нотолгоо), төсөвт нөлөөлөл, үнийн хэлэлцээр ба нөхөн төлбөрийн шийдвэр гэсэн системээр явж, эцэст нь PBRS Joint Committee дээр шийдвэр (хамруулах эсэх, үнэ/нөхцөл) эцэслэгдэх зохион байгуулалттай. </w:t>
      </w:r>
    </w:p>
    <w:p w14:paraId="686F0461" w14:textId="77777777" w:rsidR="005C0E55" w:rsidRPr="00F6454D" w:rsidRDefault="005C0E55" w:rsidP="005C0E55">
      <w:pPr>
        <w:spacing w:line="276" w:lineRule="auto"/>
        <w:contextualSpacing/>
        <w:jc w:val="both"/>
        <w:rPr>
          <w:rFonts w:ascii="Arial" w:hAnsi="Arial" w:cs="Arial"/>
          <w:szCs w:val="24"/>
          <w:lang w:val="mn-MN" w:bidi="mn-Mong-CN"/>
        </w:rPr>
      </w:pPr>
    </w:p>
    <w:p w14:paraId="0607EBE9" w14:textId="77777777" w:rsidR="005C0E55" w:rsidRPr="00F6454D" w:rsidRDefault="005C0E55" w:rsidP="005C0E55">
      <w:pPr>
        <w:spacing w:line="276" w:lineRule="auto"/>
        <w:ind w:firstLine="720"/>
        <w:contextualSpacing/>
        <w:jc w:val="both"/>
        <w:rPr>
          <w:rFonts w:ascii="Arial" w:hAnsi="Arial" w:cs="Arial"/>
          <w:b/>
          <w:bCs/>
          <w:szCs w:val="24"/>
          <w:lang w:val="mn-MN" w:bidi="mn-Mong-CN"/>
        </w:rPr>
      </w:pPr>
      <w:r w:rsidRPr="00F6454D">
        <w:rPr>
          <w:rFonts w:ascii="Arial" w:hAnsi="Arial" w:cs="Arial"/>
          <w:b/>
          <w:bCs/>
          <w:szCs w:val="24"/>
          <w:lang w:val="mn-MN" w:bidi="mn-Mong-CN"/>
        </w:rPr>
        <w:t>Дөрөв. Их Британийн формуларийн загвар ба эрх зүйн үндэс</w:t>
      </w:r>
    </w:p>
    <w:p w14:paraId="78F207F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Их Британийн эмийн формуларийн тогтолцоо нь хоёр үндсэн институцийн тулгууртайгаар хэрэгждэг. Үүнд: Эрүүл мэнд, халамжийн шилдэг байдлын үндэсний хүрээлэн (National Institute for Health and Care Excellence – NICE) болон Британийн үндэсний формулари (British National Formulary – BNF) орно.</w:t>
      </w:r>
    </w:p>
    <w:p w14:paraId="78292D2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NICE нь 1999 онд байгуулагдсан бөгөөд 2012 оны “Эрүүл мэнд, нийгмийн халамжийн тухай хууль”-аар эрх зүйн статус нь баталгаажсан байгууллага юм. NICE нь шинэ эм, эмчилгээний технологид эмнэлзүйн болон эдийн засгийн үнэлгээ хийж, улсын санхүүжилтэд хамруулах эсэх талаар шийдвэр гаргадаг. Үнэлгээ хийхдээ эмчилгээний клиник үр нөлөө, аюулгүй байдал, өртөг–үр ашгийн шинжилгээг ашиглаж, чанарт тохируулсан амьдралын жил (QALY)-ийн босго (ихэвчлэн нэг QALY-д 20,000–30,000 фунт стерлинг) дээр тулгуурлан шийдвэр гаргадаг (NICE, 2022).</w:t>
      </w:r>
    </w:p>
    <w:p w14:paraId="5EB7276F"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NICE-ийн институцийн бүтэц нь олон талын оролцоог хангасан байдлаар зохион байгуулагдсан. Үүнд: Удирдах зөвлөл, Технологийн үнэлгээний хороо, Нотолгоо үнэлэх судалгааны бүлэг, Эрүүл мэндийн эдийн засагчид, Клиникийн мэргэжилтнүүд, Өвчтөн, хэрэглэгчийн төлөөлөл оролцдог.</w:t>
      </w:r>
    </w:p>
    <w:p w14:paraId="3370B28E"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Британийн үндэсний формулари (BNF) нь эмч, эм зүйч нарт зориулсан эмчилгээний клиник лавлах баримт бичиг бөгөөд NICE-ийн гаргасан зөвлөмжийг практикт хэрэгжүүлэхэд ашиглагддаг. Үндэсний эрүүл мэндийн алба (NHS)-ийн санхүүжилт NICE-ийн шийдвэртэй шууд уялддаг бөгөөд NICE-аар зөвлөмж гарсан эмийг NHS санхүүжүүлэх үүрэгтэй байдаг (NHS Constitution).</w:t>
      </w:r>
    </w:p>
    <w:p w14:paraId="057EB44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Энэхүү тогтолцооны давуу тал нь ил тод, нотолгоонд суурилсан, олон талын оролцоотой шийдвэр гаргадагт оршино. </w:t>
      </w:r>
    </w:p>
    <w:p w14:paraId="68D6AE3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Британийн үндэсний формуларийг Монгол улсын эмийн бодлогын системтэй харьцуулан харвал: </w:t>
      </w:r>
    </w:p>
    <w:p w14:paraId="0EE6EE3F" w14:textId="77777777" w:rsidR="005C0E55" w:rsidRPr="00F6454D" w:rsidRDefault="005C0E55" w:rsidP="005C0E55">
      <w:pPr>
        <w:spacing w:line="276" w:lineRule="auto"/>
        <w:ind w:firstLine="720"/>
        <w:contextualSpacing/>
        <w:jc w:val="both"/>
        <w:rPr>
          <w:rFonts w:ascii="Arial" w:hAnsi="Arial" w:cs="Arial"/>
          <w:szCs w:val="24"/>
          <w:lang w:val="mn-MN" w:bidi="mn-Mong-CN"/>
        </w:rPr>
      </w:pPr>
    </w:p>
    <w:tbl>
      <w:tblPr>
        <w:tblStyle w:val="TableGrid"/>
        <w:tblW w:w="9067" w:type="dxa"/>
        <w:tblLook w:val="04A0" w:firstRow="1" w:lastRow="0" w:firstColumn="1" w:lastColumn="0" w:noHBand="0" w:noVBand="1"/>
      </w:tblPr>
      <w:tblGrid>
        <w:gridCol w:w="2263"/>
        <w:gridCol w:w="3544"/>
        <w:gridCol w:w="3260"/>
      </w:tblGrid>
      <w:tr w:rsidR="005C0E55" w:rsidRPr="00F6454D" w14:paraId="3612863D" w14:textId="77777777" w:rsidTr="009B2637">
        <w:tc>
          <w:tcPr>
            <w:tcW w:w="2263" w:type="dxa"/>
            <w:vAlign w:val="center"/>
          </w:tcPr>
          <w:p w14:paraId="4C4E8E13"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Үзүүлэлт</w:t>
            </w:r>
          </w:p>
        </w:tc>
        <w:tc>
          <w:tcPr>
            <w:tcW w:w="3544" w:type="dxa"/>
            <w:vAlign w:val="center"/>
          </w:tcPr>
          <w:p w14:paraId="7CAD48AA"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BNF (Их Британи)</w:t>
            </w:r>
          </w:p>
        </w:tc>
        <w:tc>
          <w:tcPr>
            <w:tcW w:w="3260" w:type="dxa"/>
            <w:vAlign w:val="center"/>
          </w:tcPr>
          <w:p w14:paraId="1EC992D4" w14:textId="77777777" w:rsidR="005C0E55" w:rsidRPr="00F6454D" w:rsidRDefault="005C0E55" w:rsidP="009B2637">
            <w:pPr>
              <w:spacing w:line="276" w:lineRule="auto"/>
              <w:contextualSpacing/>
              <w:jc w:val="center"/>
              <w:rPr>
                <w:rFonts w:ascii="Arial" w:eastAsia="Times New Roman" w:hAnsi="Arial" w:cs="Arial"/>
                <w:b/>
                <w:bCs/>
                <w:sz w:val="22"/>
                <w:szCs w:val="22"/>
                <w:lang w:val="mn-MN" w:eastAsia="zh-CN" w:bidi="mn-Mong-CN"/>
              </w:rPr>
            </w:pPr>
            <w:r w:rsidRPr="00F6454D">
              <w:rPr>
                <w:rFonts w:ascii="Arial" w:eastAsia="Times New Roman" w:hAnsi="Arial" w:cs="Arial"/>
                <w:b/>
                <w:bCs/>
                <w:sz w:val="22"/>
                <w:szCs w:val="22"/>
                <w:lang w:val="mn-MN" w:eastAsia="zh-CN" w:bidi="mn-Mong-CN"/>
              </w:rPr>
              <w:t>Монгол</w:t>
            </w:r>
          </w:p>
        </w:tc>
      </w:tr>
      <w:tr w:rsidR="005C0E55" w:rsidRPr="00F6454D" w14:paraId="621E79E2" w14:textId="77777777" w:rsidTr="009B2637">
        <w:tc>
          <w:tcPr>
            <w:tcW w:w="2263" w:type="dxa"/>
            <w:vAlign w:val="center"/>
          </w:tcPr>
          <w:p w14:paraId="7FB4A6FA"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Гол зорилго</w:t>
            </w:r>
          </w:p>
        </w:tc>
        <w:tc>
          <w:tcPr>
            <w:tcW w:w="3544" w:type="dxa"/>
            <w:vAlign w:val="center"/>
          </w:tcPr>
          <w:p w14:paraId="5076B656"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Эмчилгээний стандарт тогтоох</w:t>
            </w:r>
          </w:p>
        </w:tc>
        <w:tc>
          <w:tcPr>
            <w:tcW w:w="3260" w:type="dxa"/>
            <w:vAlign w:val="center"/>
          </w:tcPr>
          <w:p w14:paraId="753DE245"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Эмийн бүртгэл, хяналт</w:t>
            </w:r>
          </w:p>
        </w:tc>
      </w:tr>
      <w:tr w:rsidR="005C0E55" w:rsidRPr="00F6454D" w14:paraId="3EBAEADF" w14:textId="77777777" w:rsidTr="009B2637">
        <w:tc>
          <w:tcPr>
            <w:tcW w:w="2263" w:type="dxa"/>
            <w:vAlign w:val="center"/>
          </w:tcPr>
          <w:p w14:paraId="4636C704"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Хандлага</w:t>
            </w:r>
          </w:p>
        </w:tc>
        <w:tc>
          <w:tcPr>
            <w:tcW w:w="3544" w:type="dxa"/>
            <w:vAlign w:val="center"/>
          </w:tcPr>
          <w:p w14:paraId="3E7DBE38"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Нотолгоонд суурилсан</w:t>
            </w:r>
          </w:p>
        </w:tc>
        <w:tc>
          <w:tcPr>
            <w:tcW w:w="3260" w:type="dxa"/>
            <w:vAlign w:val="center"/>
          </w:tcPr>
          <w:p w14:paraId="78F7350B"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Бүртгэлд суурилсан</w:t>
            </w:r>
          </w:p>
        </w:tc>
      </w:tr>
      <w:tr w:rsidR="005C0E55" w:rsidRPr="00F6454D" w14:paraId="1699CD6B" w14:textId="77777777" w:rsidTr="009B2637">
        <w:tc>
          <w:tcPr>
            <w:tcW w:w="2263" w:type="dxa"/>
            <w:vAlign w:val="center"/>
          </w:tcPr>
          <w:p w14:paraId="23D13ADD"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Үр дүн</w:t>
            </w:r>
          </w:p>
        </w:tc>
        <w:tc>
          <w:tcPr>
            <w:tcW w:w="3544" w:type="dxa"/>
            <w:vAlign w:val="center"/>
          </w:tcPr>
          <w:p w14:paraId="2CCBFF90"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Ямар эмийг хэрэглэхийг заана</w:t>
            </w:r>
          </w:p>
        </w:tc>
        <w:tc>
          <w:tcPr>
            <w:tcW w:w="3260" w:type="dxa"/>
            <w:vAlign w:val="center"/>
          </w:tcPr>
          <w:p w14:paraId="2917F189" w14:textId="77777777" w:rsidR="005C0E55" w:rsidRPr="00F6454D" w:rsidRDefault="005C0E55" w:rsidP="009B2637">
            <w:pPr>
              <w:spacing w:line="276" w:lineRule="auto"/>
              <w:contextualSpacing/>
              <w:jc w:val="center"/>
              <w:rPr>
                <w:rFonts w:ascii="Arial" w:eastAsia="Times New Roman" w:hAnsi="Arial" w:cs="Arial"/>
                <w:sz w:val="22"/>
                <w:szCs w:val="22"/>
                <w:lang w:val="mn-MN" w:eastAsia="zh-CN" w:bidi="mn-Mong-CN"/>
              </w:rPr>
            </w:pPr>
            <w:r w:rsidRPr="00F6454D">
              <w:rPr>
                <w:rFonts w:ascii="Arial" w:eastAsia="Times New Roman" w:hAnsi="Arial" w:cs="Arial"/>
                <w:sz w:val="22"/>
                <w:szCs w:val="22"/>
                <w:lang w:val="mn-MN" w:eastAsia="zh-CN" w:bidi="mn-Mong-CN"/>
              </w:rPr>
              <w:t>Ямар эмийг хэрэглэж болохыг зөвшөөрнө</w:t>
            </w:r>
          </w:p>
        </w:tc>
      </w:tr>
    </w:tbl>
    <w:p w14:paraId="256A41A3" w14:textId="77777777" w:rsidR="005C0E55" w:rsidRPr="00F6454D" w:rsidRDefault="005C0E55" w:rsidP="005C0E55">
      <w:pPr>
        <w:spacing w:line="276" w:lineRule="auto"/>
        <w:contextualSpacing/>
        <w:jc w:val="both"/>
        <w:rPr>
          <w:rFonts w:ascii="Arial" w:hAnsi="Arial" w:cs="Arial"/>
          <w:szCs w:val="24"/>
          <w:lang w:val="mn-MN" w:bidi="mn-Mong-CN"/>
        </w:rPr>
      </w:pPr>
    </w:p>
    <w:p w14:paraId="7864D3CB" w14:textId="77777777" w:rsidR="005C0E55" w:rsidRPr="00F6454D" w:rsidRDefault="005C0E55" w:rsidP="005C0E55">
      <w:pPr>
        <w:spacing w:line="276" w:lineRule="auto"/>
        <w:contextualSpacing/>
        <w:jc w:val="center"/>
        <w:rPr>
          <w:rFonts w:ascii="Arial" w:hAnsi="Arial" w:cs="Arial"/>
          <w:b/>
          <w:bCs/>
          <w:szCs w:val="24"/>
          <w:lang w:val="mn-MN" w:bidi="mn-Mong-CN"/>
        </w:rPr>
      </w:pPr>
      <w:r w:rsidRPr="00F6454D">
        <w:rPr>
          <w:rFonts w:ascii="Arial" w:hAnsi="Arial" w:cs="Arial"/>
          <w:b/>
          <w:bCs/>
          <w:szCs w:val="24"/>
          <w:lang w:val="mn-MN" w:bidi="mn-Mong-CN"/>
        </w:rPr>
        <w:t>ДҮГНЭЛТ</w:t>
      </w:r>
    </w:p>
    <w:p w14:paraId="4F1DFAD2" w14:textId="77777777" w:rsidR="005C0E55" w:rsidRPr="00F6454D" w:rsidRDefault="005C0E55" w:rsidP="005C0E55">
      <w:pPr>
        <w:spacing w:line="276" w:lineRule="auto"/>
        <w:contextualSpacing/>
        <w:jc w:val="right"/>
        <w:rPr>
          <w:rFonts w:ascii="Arial" w:hAnsi="Arial" w:cs="Arial"/>
          <w:szCs w:val="24"/>
          <w:lang w:val="mn-MN" w:bidi="mn-Mong-CN"/>
        </w:rPr>
      </w:pPr>
      <w:r w:rsidRPr="00F6454D">
        <w:rPr>
          <w:rFonts w:ascii="Arial" w:hAnsi="Arial" w:cs="Arial"/>
          <w:szCs w:val="24"/>
          <w:lang w:val="mn-MN" w:bidi="mn-Mong-CN"/>
        </w:rPr>
        <w:t>(Хууль тогтоомжийн хэрэгцээ, шаардлагыг урьдчилан тандан судлах аргачлалын 7, 9-р бүлэг)</w:t>
      </w:r>
    </w:p>
    <w:p w14:paraId="4C2C2FA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lastRenderedPageBreak/>
        <w:t>Энэхүү урьдчилан тандан судалгаагаар Монгол Улсад эмийн бүртгэл, чанар, аюулгүй байдлын зохицуулалт харьцангуй бүрдсэн боловч эмийн сонголт, жор бичилт, даатгалын санхүүжилт, худалдан авалт, эмчилгээний эдийн засгийн үр ашгийг нэгтгэсэн формуларийн тогтолцоо эрх зүйн хувьд бүрдээгүй байна гэдэг нь тогтоогдлоо.</w:t>
      </w:r>
    </w:p>
    <w:p w14:paraId="562D83BE" w14:textId="77777777" w:rsidR="005C0E55" w:rsidRPr="00F6454D" w:rsidRDefault="005C0E55" w:rsidP="005C0E55">
      <w:pPr>
        <w:spacing w:line="276" w:lineRule="auto"/>
        <w:ind w:firstLine="720"/>
        <w:contextualSpacing/>
        <w:jc w:val="both"/>
        <w:rPr>
          <w:rFonts w:ascii="Arial" w:hAnsi="Arial" w:cs="Arial"/>
          <w:szCs w:val="24"/>
          <w:lang w:val="mn-MN" w:bidi="mn-Mong-CN"/>
        </w:rPr>
      </w:pPr>
      <w:bookmarkStart w:id="1" w:name="_Hlk226016654"/>
      <w:r w:rsidRPr="00F6454D">
        <w:rPr>
          <w:rFonts w:ascii="Arial" w:hAnsi="Arial" w:cs="Arial"/>
          <w:szCs w:val="24"/>
          <w:lang w:val="mn-MN" w:bidi="mn-Mong-CN"/>
        </w:rPr>
        <w:t>“Алсын хараа 2050” урт хугацааны хөгжлийн бодлогын 2021–2030 онд хэрэгжүүлэх 2.2.24 дэх зорилтод эм, эмнэлгийн хэрэгслийн чанар, аюулгүй байдал, бүртгэл, импорт, түгээлт, цахим хяналтын тогтолцоог нэгтгэсэн эмийн зохицуулалтын нэгдсэн байгууллага байгуулах талаар тусгасан нь эмийн бодлогыг илүү төвлөрсөн, уялдаатай, системчилсэн байдлаар хэрэгжүүлэх стратегийн чиглэлийг тодорхойлж байна.</w:t>
      </w:r>
    </w:p>
    <w:bookmarkEnd w:id="1"/>
    <w:p w14:paraId="2B23FAF3"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Мөн үүнтэй уялдуулан Монгол Улсын Засгийн газрын 2024-2028 оны үйл ажиллагааны хөтөлбөрийн 2.3 дахь хэсэг “Эрүүл монгол хүн” хөтөлбөрт: </w:t>
      </w:r>
    </w:p>
    <w:p w14:paraId="1E5EF779"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“2.3.3.1.Олон улсын зохистой дадал, стандартыг бүрэн нэвтрүүлж, эм, эмнэлгийн хэрэгслийн салбар дундын мэдээллийн нэгдсэн тогтолцоог бүрдүүлж, эмийн импортыг бүрэн цахимжуулна.</w:t>
      </w:r>
    </w:p>
    <w:p w14:paraId="3C48A377"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2.3.3.2.Эм,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14:paraId="49B3E32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2.3.3.3.Эмийн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r w:rsidRPr="00F6454D">
        <w:rPr>
          <w:rStyle w:val="FootnoteReference"/>
          <w:rFonts w:ascii="Arial" w:hAnsi="Arial" w:cs="Arial"/>
          <w:szCs w:val="24"/>
          <w:lang w:val="mn-MN" w:bidi="mn-Mong-CN"/>
        </w:rPr>
        <w:footnoteReference w:id="24"/>
      </w:r>
      <w:r w:rsidRPr="00F6454D">
        <w:rPr>
          <w:rFonts w:ascii="Arial" w:hAnsi="Arial" w:cs="Arial"/>
          <w:szCs w:val="24"/>
          <w:lang w:val="mn-MN" w:bidi="mn-Mong-CN"/>
        </w:rPr>
        <w:t xml:space="preserve"> гэж тусгасан. </w:t>
      </w:r>
    </w:p>
    <w:p w14:paraId="151DF742"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Гэвч эмийн чанар, бүртгэл, импорт, түгээлтийн зохицуулалтыг нэгтгэх нь эмийн бодлогын зөвхөн нэг хэсгийг хамарч байгаа бөгөөд эмийн сонголт, жор бичилт, даатгалын санхүүжилт, худалдан авалт, өртөг–үр ашгийн үнэлгээг нэгтгэсэн формуларийн тогтолцоо эрх зүйн хувьд бүрдээгүй нөхцөлд бодлогын нэгдмэл байдал бүрэн хангагдахгүй байна.</w:t>
      </w:r>
    </w:p>
    <w:p w14:paraId="39A35946"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Өөрөөр хэлбэл, </w:t>
      </w:r>
      <w:bookmarkStart w:id="2" w:name="_Hlk226016676"/>
      <w:r w:rsidRPr="00F6454D">
        <w:rPr>
          <w:rFonts w:ascii="Arial" w:hAnsi="Arial" w:cs="Arial"/>
          <w:szCs w:val="24"/>
          <w:lang w:val="mn-MN" w:bidi="mn-Mong-CN"/>
        </w:rPr>
        <w:t xml:space="preserve">“Алсын хараа 2050”-д туссан эмийн зохицуулалтын нэгдсэн байгууллагын зорилт болон МУЗГ-ын үйл ажиллилгааны хөтөлбөр нь эмийн чанар, аюулгүй байдлын хяналтыг бэхжүүлэхэд чиглэж байгаа тул үндэсний формуларийн тогтолцоог хуульчлах нь эмийн сонголт, санхүүжилт, эмчилгээний үр ашиг, эдийн засгийн тогтвортой байдлыг хангах нь чухал юм. </w:t>
      </w:r>
    </w:p>
    <w:bookmarkEnd w:id="2"/>
    <w:p w14:paraId="4AA4920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Салбарын статистик үзүүлэлтүүдээс харахад 2021–2024 оны хооронд нийт бүртгэлтэй эмийн тоо өсөж (3,964-өөс 4,020), эмийн импорт 489.7 тэрбум төгрөгөөс 612.2 тэрбум төгрөгт хүрч нэмэгдсэн, ЭМД-ын сангаас санхүүжүүлсэн эмийн зардал 60.4 тэрбум төгрөгөөс 134.5 тэрбум төгрөг болж огцом өссөн байна. Энэ нь эмийн зардлын дарамт нэмэгдэж байгааг илтгэхийн зэрэгцээ “ямар эмийг, ямар заалтаар, ямар шатлалд санхүүжүүлэх вэ?” гэсэн бодлогын нэгдсэн шийдвэрийн механизм шаардлагатай болсныг харуулж байна.</w:t>
      </w:r>
    </w:p>
    <w:p w14:paraId="26839201" w14:textId="77777777" w:rsidR="005C0E55" w:rsidRPr="00F6454D" w:rsidRDefault="005C0E55" w:rsidP="005C0E55">
      <w:pPr>
        <w:spacing w:line="276" w:lineRule="auto"/>
        <w:contextualSpacing/>
        <w:jc w:val="both"/>
        <w:rPr>
          <w:rFonts w:ascii="Arial" w:hAnsi="Arial" w:cs="Arial"/>
          <w:szCs w:val="24"/>
          <w:lang w:val="mn-MN" w:bidi="mn-Mong-CN"/>
        </w:rPr>
      </w:pPr>
      <w:r w:rsidRPr="00F6454D">
        <w:rPr>
          <w:rFonts w:ascii="Arial" w:hAnsi="Arial" w:cs="Arial"/>
          <w:szCs w:val="24"/>
          <w:lang w:val="mn-MN" w:bidi="mn-Mong-CN"/>
        </w:rPr>
        <w:t xml:space="preserve">Мөн антибиотикийн хэрэглээ олон улсын түвшинтэй харьцуулахад өндөр хэвээр, нөөцөд хэрэглэх ангиллын эмийн хэрэглээ 12 дахин өссөн, гаж нөлөөний </w:t>
      </w:r>
      <w:r w:rsidRPr="00F6454D">
        <w:rPr>
          <w:rFonts w:ascii="Arial" w:hAnsi="Arial" w:cs="Arial"/>
          <w:szCs w:val="24"/>
          <w:lang w:val="mn-MN" w:bidi="mn-Mong-CN"/>
        </w:rPr>
        <w:lastRenderedPageBreak/>
        <w:t>тохиолдлууд эмчилгээний тодорхой бүлгүүдэд төвлөрсөн, лабораторийн шинжилгээгээр стандартын бус эм илэрсэн зэрэг нь эмийн сонголт, хэрэглээг нотолгоо, эрсдэл, өртөг–үр ашгийн үнэлгээнд суурилсан тогтолцоогоор удирдах шаардлагатайг илтгэж байна.</w:t>
      </w:r>
    </w:p>
    <w:p w14:paraId="2084FA52"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Зайлшгүй шаардлагатай эмийн жагсаалт байгаа боловч энэ нь формуларийн бүрэн механизмыг орлож чадахгүй бөгөөд эмчилгээний шатлал, заалт, эдийн засгийн үнэлгээ, даатгалын уялдаа, шинэчлэлтийн журмыг багтаасан нэгдсэн бодлогын баримт бичиг шаардлагатай байна.</w:t>
      </w:r>
    </w:p>
    <w:p w14:paraId="2883D9FB"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 xml:space="preserve">Зохицуулалтын хувилбаруудыг харьцуулан үнэлэхэд “хууль тогтоомжийн түвшинд зохицуулах” хувилбар нь хүний эрхийг хангах, эмчилгээний чанарыг жигдрүүлэх, даатгалын сангийн тогтвортой байдлыг бэхжүүлэх, зах зээлийн ил тод байдлыг нэмэгдүүлэх боломжтой, урт хугацаанд хамгийн тогтвортой шийдэл болох нь харагдаж байна. </w:t>
      </w:r>
    </w:p>
    <w:p w14:paraId="654E42E1" w14:textId="77777777" w:rsidR="005C0E55" w:rsidRPr="00F6454D" w:rsidRDefault="005C0E55" w:rsidP="005C0E55">
      <w:pPr>
        <w:spacing w:line="276" w:lineRule="auto"/>
        <w:ind w:firstLine="720"/>
        <w:contextualSpacing/>
        <w:jc w:val="both"/>
        <w:rPr>
          <w:rFonts w:ascii="Arial" w:hAnsi="Arial" w:cs="Arial"/>
          <w:szCs w:val="24"/>
          <w:lang w:val="mn-MN" w:bidi="mn-Mong-CN"/>
        </w:rPr>
      </w:pPr>
      <w:r w:rsidRPr="00F6454D">
        <w:rPr>
          <w:rFonts w:ascii="Arial" w:hAnsi="Arial" w:cs="Arial"/>
          <w:szCs w:val="24"/>
          <w:lang w:val="mn-MN" w:bidi="mn-Mong-CN"/>
        </w:rPr>
        <w:t>Иймд “Эм, эмнэлгийн хэрэгслийн тухай” хуульд үндэсний формуларийн ойлголт, бүтэц, шийдвэр гаргалтын шалгуур, байгууллагын тогтолцоо, шинэчлэлтийн механизмыг тусган хуульчлах нь Монгол Улсын эрүүл мэндийн салбарын тогтвортой хөгжил, санхүүгийн үр ашиг, иргэдийн эрүүл мэндээ хамгаалуулах эрхийг бодитой хангах стратегийн ач холбогдолтой зохицуулалт гэж дүгнэв.</w:t>
      </w:r>
    </w:p>
    <w:p w14:paraId="0668A3A2" w14:textId="77777777" w:rsidR="005C0E55" w:rsidRPr="00F6454D" w:rsidRDefault="005C0E55" w:rsidP="005C0E55">
      <w:pPr>
        <w:spacing w:line="276" w:lineRule="auto"/>
        <w:ind w:firstLine="720"/>
        <w:contextualSpacing/>
        <w:jc w:val="both"/>
        <w:rPr>
          <w:rFonts w:ascii="Arial" w:hAnsi="Arial" w:cs="Arial"/>
          <w:szCs w:val="24"/>
          <w:lang w:val="mn-MN" w:bidi="mn-Mong-CN"/>
        </w:rPr>
      </w:pPr>
    </w:p>
    <w:p w14:paraId="4D7FCF9A" w14:textId="77777777" w:rsidR="005C0E55" w:rsidRPr="00F6454D" w:rsidRDefault="005C0E55" w:rsidP="00570822">
      <w:pPr>
        <w:spacing w:line="276" w:lineRule="auto"/>
        <w:ind w:left="2880" w:firstLine="720"/>
        <w:contextualSpacing/>
        <w:rPr>
          <w:rFonts w:ascii="Arial" w:hAnsi="Arial" w:cs="Arial"/>
          <w:szCs w:val="24"/>
          <w:lang w:val="mn-MN" w:bidi="mn-Mong-CN"/>
        </w:rPr>
      </w:pPr>
      <w:r w:rsidRPr="00F6454D">
        <w:rPr>
          <w:rFonts w:ascii="Arial" w:hAnsi="Arial" w:cs="Arial"/>
          <w:szCs w:val="24"/>
          <w:lang w:val="mn-MN" w:bidi="mn-Mong-CN"/>
        </w:rPr>
        <w:t>АЖЛЫН АЛБА</w:t>
      </w:r>
    </w:p>
    <w:p w14:paraId="3B4C176B" w14:textId="77777777" w:rsidR="005C0E55" w:rsidRPr="00F6454D" w:rsidRDefault="005C0E55" w:rsidP="005C0E55">
      <w:pPr>
        <w:spacing w:line="276" w:lineRule="auto"/>
        <w:contextualSpacing/>
        <w:jc w:val="both"/>
        <w:rPr>
          <w:rFonts w:ascii="Arial" w:hAnsi="Arial" w:cs="Arial"/>
          <w:szCs w:val="24"/>
          <w:lang w:val="mn-MN" w:bidi="mn-Mong-CN"/>
        </w:rPr>
      </w:pPr>
    </w:p>
    <w:p w14:paraId="712B40DB" w14:textId="77777777" w:rsidR="00CB7981" w:rsidRPr="00F6454D" w:rsidRDefault="00CB7981" w:rsidP="005C0E55">
      <w:pPr>
        <w:spacing w:line="276" w:lineRule="auto"/>
        <w:contextualSpacing/>
        <w:rPr>
          <w:rFonts w:ascii="Arial" w:hAnsi="Arial" w:cs="Arial"/>
          <w:lang w:val="mn-MN"/>
        </w:rPr>
      </w:pPr>
    </w:p>
    <w:sectPr w:rsidR="00CB7981" w:rsidRPr="00F6454D" w:rsidSect="00D931B5">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E3BAF" w14:textId="77777777" w:rsidR="00406317" w:rsidRDefault="00406317" w:rsidP="005C0E55">
      <w:pPr>
        <w:spacing w:after="0" w:line="240" w:lineRule="auto"/>
      </w:pPr>
      <w:r>
        <w:separator/>
      </w:r>
    </w:p>
  </w:endnote>
  <w:endnote w:type="continuationSeparator" w:id="0">
    <w:p w14:paraId="57649831" w14:textId="77777777" w:rsidR="00406317" w:rsidRDefault="00406317" w:rsidP="005C0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9E508" w14:textId="77777777" w:rsidR="00406317" w:rsidRDefault="00406317" w:rsidP="005C0E55">
      <w:pPr>
        <w:spacing w:after="0" w:line="240" w:lineRule="auto"/>
      </w:pPr>
      <w:r>
        <w:separator/>
      </w:r>
    </w:p>
  </w:footnote>
  <w:footnote w:type="continuationSeparator" w:id="0">
    <w:p w14:paraId="1F730AF2" w14:textId="77777777" w:rsidR="00406317" w:rsidRDefault="00406317" w:rsidP="005C0E55">
      <w:pPr>
        <w:spacing w:after="0" w:line="240" w:lineRule="auto"/>
      </w:pPr>
      <w:r>
        <w:continuationSeparator/>
      </w:r>
    </w:p>
  </w:footnote>
  <w:footnote w:id="1">
    <w:p w14:paraId="72A160C1" w14:textId="77777777" w:rsidR="005C0E55" w:rsidRPr="00C63A9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МОНГОЛ УЛСЫН ҮНДСЭН ХУУЛЬ. Төрийн мэдээлэл эмхэтгэл: 1992 он, №01</w:t>
      </w:r>
    </w:p>
  </w:footnote>
  <w:footnote w:id="2">
    <w:p w14:paraId="3409BE28" w14:textId="77777777" w:rsidR="005C0E55" w:rsidRPr="00C63A9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ЭРҮҮЛ МЭНДИЙН ТУХАЙ хууль. Төрийн мэдээлэл эмхэтгэл: 2011 он, №21</w:t>
      </w:r>
    </w:p>
  </w:footnote>
  <w:footnote w:id="3">
    <w:p w14:paraId="74D0C9B0" w14:textId="77777777" w:rsidR="005C0E55" w:rsidRPr="00C63A9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ЭМНЭЛГИЙН ТУСЛАМЖ, ҮЙЛЧИЛГЭЭНИЙ ТУХАЙ хууль. Төрийн мэдээлэл эмхэтгэл: 2016 он, №21</w:t>
      </w:r>
    </w:p>
  </w:footnote>
  <w:footnote w:id="4">
    <w:p w14:paraId="08D657E2" w14:textId="77777777" w:rsidR="005C0E55" w:rsidRPr="00C63A9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ЭМ, ЭМНЭЛГИЙН ХЭРЭГСЛИЙН ТУХАЙ /Шинэчилсэн найруулга/. Төрийн мэдээлэл эмхэтгэл: 2024 он №33 /1329/</w:t>
      </w:r>
    </w:p>
  </w:footnote>
  <w:footnote w:id="5">
    <w:p w14:paraId="21F61ECB" w14:textId="77777777" w:rsidR="005C0E55" w:rsidRPr="00C63A9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СЭТГЭЦИЙН ЭРҮҮЛ МЭНДИЙН ТУХАЙ /Шинэчилсэн найруулга/. Төрийн мэдээлэл эмхэтгэл: 2013 он, №03</w:t>
      </w:r>
    </w:p>
  </w:footnote>
  <w:footnote w:id="6">
    <w:p w14:paraId="7A08133B" w14:textId="77777777" w:rsidR="005C0E55" w:rsidRPr="000A496F" w:rsidRDefault="005C0E55" w:rsidP="005C0E55">
      <w:pPr>
        <w:pStyle w:val="FootnoteText"/>
        <w:jc w:val="both"/>
        <w:rPr>
          <w:rFonts w:ascii="Arial" w:hAnsi="Arial" w:cs="Arial"/>
          <w:lang w:val="mn-MN"/>
        </w:rPr>
      </w:pPr>
      <w:r w:rsidRPr="000A496F">
        <w:rPr>
          <w:rStyle w:val="FootnoteReference"/>
          <w:rFonts w:ascii="Arial" w:hAnsi="Arial" w:cs="Arial"/>
          <w:lang w:val="mn-MN"/>
        </w:rPr>
        <w:footnoteRef/>
      </w:r>
      <w:r w:rsidRPr="000A496F">
        <w:rPr>
          <w:rFonts w:ascii="Arial" w:hAnsi="Arial" w:cs="Arial"/>
          <w:lang w:val="mn-MN"/>
        </w:rPr>
        <w:t xml:space="preserve"> МУИХ-ын тогтоол. “Алсын хараа-2050” Монгол Улсын урт хугацааны хөгжлийн бодлого батлах тухай. </w:t>
      </w:r>
    </w:p>
    <w:p w14:paraId="22D6B532" w14:textId="77777777" w:rsidR="005C0E55" w:rsidRPr="00C63A9B" w:rsidRDefault="005C0E55" w:rsidP="005C0E55">
      <w:pPr>
        <w:pStyle w:val="FootnoteText"/>
        <w:jc w:val="both"/>
        <w:rPr>
          <w:lang w:val="mn-MN"/>
        </w:rPr>
      </w:pPr>
      <w:r w:rsidRPr="000A496F">
        <w:rPr>
          <w:rFonts w:ascii="Arial" w:hAnsi="Arial" w:cs="Arial"/>
          <w:lang w:val="mn-MN"/>
        </w:rPr>
        <w:t>Төрийн мэдээлэл эмхэтгэл: 2020 он, №25</w:t>
      </w:r>
    </w:p>
  </w:footnote>
  <w:footnote w:id="7">
    <w:p w14:paraId="21F21542" w14:textId="77777777" w:rsidR="005C0E55" w:rsidRPr="003817CA" w:rsidRDefault="005C0E55" w:rsidP="005C0E55">
      <w:pPr>
        <w:pStyle w:val="FootnoteText"/>
        <w:jc w:val="both"/>
        <w:rPr>
          <w:rFonts w:ascii="Arial" w:hAnsi="Arial" w:cs="Arial"/>
          <w:lang w:val="mn-MN"/>
        </w:rPr>
      </w:pPr>
      <w:r w:rsidRPr="003817CA">
        <w:rPr>
          <w:rStyle w:val="FootnoteReference"/>
          <w:rFonts w:ascii="Arial" w:hAnsi="Arial" w:cs="Arial"/>
        </w:rPr>
        <w:footnoteRef/>
      </w:r>
      <w:r w:rsidRPr="003817CA">
        <w:rPr>
          <w:rFonts w:ascii="Arial" w:hAnsi="Arial" w:cs="Arial"/>
        </w:rPr>
        <w:t xml:space="preserve"> </w:t>
      </w:r>
      <w:r w:rsidRPr="003817CA">
        <w:rPr>
          <w:rFonts w:ascii="Arial" w:hAnsi="Arial" w:cs="Arial"/>
          <w:lang w:val="mn-MN"/>
        </w:rPr>
        <w:t>МУИХ-ыг тогтоол. Монгол Улсын Засгийн газрын 2024-2028 оны үйл ажиллагааны хөтөлбөр батлах тухай. Төрийн мэдээлэл эмхэтгэл: 2024 он, №35</w:t>
      </w:r>
    </w:p>
  </w:footnote>
  <w:footnote w:id="8">
    <w:p w14:paraId="5F265380" w14:textId="77777777" w:rsidR="005C0E55" w:rsidRPr="004E61AB" w:rsidRDefault="005C0E55" w:rsidP="005C0E55">
      <w:pPr>
        <w:pStyle w:val="FootnoteText"/>
        <w:jc w:val="both"/>
        <w:rPr>
          <w:rFonts w:ascii="Arial" w:hAnsi="Arial" w:cs="Arial"/>
          <w:lang w:val="mn-MN"/>
        </w:rPr>
      </w:pPr>
      <w:r w:rsidRPr="00C63A9B">
        <w:rPr>
          <w:rStyle w:val="FootnoteReference"/>
          <w:rFonts w:ascii="Arial" w:hAnsi="Arial" w:cs="Arial"/>
          <w:lang w:val="mn-MN"/>
        </w:rPr>
        <w:footnoteRef/>
      </w:r>
      <w:r w:rsidRPr="00C63A9B">
        <w:rPr>
          <w:rFonts w:ascii="Arial" w:hAnsi="Arial" w:cs="Arial"/>
          <w:lang w:val="mn-MN"/>
        </w:rPr>
        <w:t xml:space="preserve"> ЭМ, ЭМНЭЛГИЙН ХЭРЭГСЛИЙН ТУХАЙ /Шинэчилсэн найруулга/. Төрийн мэдээлэл эмхэтгэл: 2024 он №33 /1329/</w:t>
      </w:r>
    </w:p>
  </w:footnote>
  <w:footnote w:id="9">
    <w:p w14:paraId="5C5E3D20" w14:textId="77777777" w:rsidR="005C0E55" w:rsidRPr="00131B7F" w:rsidRDefault="005C0E55" w:rsidP="005C0E55">
      <w:pPr>
        <w:pStyle w:val="FootnoteText"/>
        <w:jc w:val="both"/>
        <w:rPr>
          <w:lang w:val="mn-MN"/>
        </w:rPr>
      </w:pPr>
      <w:r w:rsidRPr="004E61AB">
        <w:rPr>
          <w:rStyle w:val="FootnoteReference"/>
          <w:rFonts w:ascii="Arial" w:hAnsi="Arial" w:cs="Arial"/>
          <w:lang w:val="mn-MN"/>
        </w:rPr>
        <w:footnoteRef/>
      </w:r>
      <w:r w:rsidRPr="004E61AB">
        <w:rPr>
          <w:rFonts w:ascii="Arial" w:hAnsi="Arial" w:cs="Arial"/>
          <w:lang w:val="mn-MN"/>
        </w:rPr>
        <w:t xml:space="preserve"> ЭРҮҮЛ МЭНДИЙН ТУХАЙ хууль. Төрийн мэдээлэл эмхэтгэл: 2011 он, №21</w:t>
      </w:r>
    </w:p>
  </w:footnote>
  <w:footnote w:id="10">
    <w:p w14:paraId="265BD67C" w14:textId="77777777" w:rsidR="005C0E55" w:rsidRPr="00153386" w:rsidRDefault="005C0E55" w:rsidP="005C0E55">
      <w:pPr>
        <w:pStyle w:val="FootnoteText"/>
        <w:jc w:val="both"/>
        <w:rPr>
          <w:lang w:val="mn-MN"/>
        </w:rPr>
      </w:pPr>
      <w:r w:rsidRPr="00153386">
        <w:rPr>
          <w:rStyle w:val="FootnoteReference"/>
          <w:lang w:val="mn-MN"/>
        </w:rPr>
        <w:footnoteRef/>
      </w:r>
      <w:r w:rsidRPr="00153386">
        <w:rPr>
          <w:lang w:val="mn-MN"/>
        </w:rPr>
        <w:t xml:space="preserve">  (JoPPP) нь эм тарианы хүртээмж, оновчтой хэрэглээ, эм зүйн бодлогын асуудлыг дэлхий даяар хөнддөг, нээлттэй хандалттай (Open Access), хянан магадлагаат (peer-reviewed) олон улсын сэтгүүл юм. Энэхүү сэтгүүл нь эм зүйн клиник, нийгэм, эдийн засаг, удирдлагын чиглэлээр судалгаа нийтэлдэг бөгөөд 2023 оны байдлаар </w:t>
      </w:r>
      <w:r>
        <w:rPr>
          <w:lang w:val="mn-MN"/>
        </w:rPr>
        <w:t>4.2</w:t>
      </w:r>
      <w:r w:rsidRPr="00153386">
        <w:rPr>
          <w:lang w:val="mn-MN"/>
        </w:rPr>
        <w:t xml:space="preserve"> импакт фактортой.</w:t>
      </w:r>
      <w:r>
        <w:rPr>
          <w:lang w:val="mn-MN"/>
        </w:rPr>
        <w:t xml:space="preserve"> /</w:t>
      </w:r>
    </w:p>
  </w:footnote>
  <w:footnote w:id="11">
    <w:p w14:paraId="2C400F11" w14:textId="77777777" w:rsidR="005C0E55" w:rsidRPr="00C811CB" w:rsidRDefault="005C0E55" w:rsidP="005C0E55">
      <w:pPr>
        <w:pStyle w:val="FootnoteText"/>
        <w:rPr>
          <w:lang w:val="mn-MN"/>
        </w:rPr>
      </w:pPr>
      <w:r>
        <w:rPr>
          <w:rStyle w:val="FootnoteReference"/>
        </w:rPr>
        <w:footnoteRef/>
      </w:r>
      <w:r>
        <w:t xml:space="preserve"> </w:t>
      </w:r>
      <w:hyperlink r:id="rId1" w:history="1">
        <w:r w:rsidRPr="002439A4">
          <w:rPr>
            <w:rStyle w:val="Hyperlink"/>
          </w:rPr>
          <w:t>https://pmc.ncbi.nlm.nih.gov/articles/PMC5327554/</w:t>
        </w:r>
      </w:hyperlink>
      <w:r>
        <w:rPr>
          <w:lang w:val="mn-MN"/>
        </w:rPr>
        <w:t xml:space="preserve"> </w:t>
      </w:r>
    </w:p>
  </w:footnote>
  <w:footnote w:id="12">
    <w:p w14:paraId="308EC59C" w14:textId="77777777" w:rsidR="005C0E55" w:rsidRPr="00934BCA" w:rsidRDefault="005C0E55" w:rsidP="005C0E55">
      <w:pPr>
        <w:pStyle w:val="FootnoteText"/>
        <w:jc w:val="both"/>
        <w:rPr>
          <w:lang w:val="mn-MN"/>
        </w:rPr>
      </w:pPr>
      <w:r w:rsidRPr="00934BCA">
        <w:rPr>
          <w:rStyle w:val="FootnoteReference"/>
          <w:lang w:val="mn-MN"/>
        </w:rPr>
        <w:footnoteRef/>
      </w:r>
      <w:r w:rsidRPr="00934BCA">
        <w:rPr>
          <w:lang w:val="mn-MN"/>
        </w:rPr>
        <w:t xml:space="preserve"> BMC Pediatrics нь нярай, хүүхэд, өсвөр үеийнхний (21 нас хүртэлх) эрүүл мэнд, тусламж үйлчилгээний бүхий л талыг хамарсан судалгааны өгүүлэл нийтэлдэг, олон улсын хэмжээний, нээлттэй хандалттай (open access) анагаах ухааны сэтгүүл юм. 5 жилийн дундаж импакт фактор 2.5. </w:t>
      </w:r>
    </w:p>
  </w:footnote>
  <w:footnote w:id="13">
    <w:p w14:paraId="703FC19E" w14:textId="77777777" w:rsidR="005C0E55" w:rsidRPr="00AE5B63" w:rsidRDefault="005C0E55" w:rsidP="005C0E55">
      <w:pPr>
        <w:pStyle w:val="FootnoteText"/>
        <w:jc w:val="both"/>
        <w:rPr>
          <w:lang w:val="mn-MN"/>
        </w:rPr>
      </w:pPr>
      <w:r w:rsidRPr="00AE5B63">
        <w:rPr>
          <w:rStyle w:val="FootnoteReference"/>
          <w:lang w:val="mn-MN"/>
        </w:rPr>
        <w:footnoteRef/>
      </w:r>
      <w:r w:rsidRPr="00AE5B63">
        <w:rPr>
          <w:lang w:val="mn-MN"/>
        </w:rPr>
        <w:t xml:space="preserve"> (Essential Medicines List for Children) – Дэлхийн Эрүүл Мэндийн Байгууллагаас (ДЭМБ) гаргадаг Хүүхдийн зайлшгүй шаардлагатай эмийн жишиг жагсаалт</w:t>
      </w:r>
    </w:p>
  </w:footnote>
  <w:footnote w:id="14">
    <w:p w14:paraId="58F3C355" w14:textId="77777777" w:rsidR="005C0E55" w:rsidRPr="00AE5B63" w:rsidRDefault="005C0E55" w:rsidP="005C0E55">
      <w:pPr>
        <w:pStyle w:val="FootnoteText"/>
        <w:rPr>
          <w:lang w:val="mn-MN"/>
        </w:rPr>
      </w:pPr>
      <w:r>
        <w:rPr>
          <w:rStyle w:val="FootnoteReference"/>
        </w:rPr>
        <w:footnoteRef/>
      </w:r>
      <w:r>
        <w:t xml:space="preserve"> </w:t>
      </w:r>
      <w:hyperlink r:id="rId2" w:history="1">
        <w:r w:rsidRPr="002439A4">
          <w:rPr>
            <w:rStyle w:val="Hyperlink"/>
          </w:rPr>
          <w:t>https://link.springer.com/article/10.1186/s12887-018-1123-x</w:t>
        </w:r>
      </w:hyperlink>
      <w:r>
        <w:rPr>
          <w:lang w:val="mn-MN"/>
        </w:rPr>
        <w:t xml:space="preserve"> </w:t>
      </w:r>
    </w:p>
  </w:footnote>
  <w:footnote w:id="15">
    <w:p w14:paraId="1A997450" w14:textId="77777777" w:rsidR="005C0E55" w:rsidRPr="00EA2259" w:rsidRDefault="005C0E55" w:rsidP="005C0E55">
      <w:pPr>
        <w:pStyle w:val="FootnoteText"/>
        <w:jc w:val="both"/>
        <w:rPr>
          <w:lang w:val="mn-MN"/>
        </w:rPr>
      </w:pPr>
      <w:r w:rsidRPr="00EA2259">
        <w:rPr>
          <w:rStyle w:val="FootnoteReference"/>
          <w:lang w:val="mn-MN"/>
        </w:rPr>
        <w:footnoteRef/>
      </w:r>
      <w:r w:rsidRPr="00EA2259">
        <w:rPr>
          <w:lang w:val="mn-MN"/>
        </w:rPr>
        <w:t xml:space="preserve"> (e-ISSN: 1886-3655) нь эмийн сангийн практик үйл ажиллагааны чиглэлээр дагнасан, олон улсын түвшний, хянан магадлагаа (peer-reviewed) хийгддэг эрдэм шинжилгээний нээлттэй сэтгүүл юм.</w:t>
      </w:r>
    </w:p>
  </w:footnote>
  <w:footnote w:id="16">
    <w:p w14:paraId="0C0FF223" w14:textId="77777777" w:rsidR="005C0E55" w:rsidRPr="00BA3C8F" w:rsidRDefault="005C0E55" w:rsidP="005C0E55">
      <w:pPr>
        <w:pStyle w:val="FootnoteText"/>
        <w:rPr>
          <w:lang w:val="mn-MN"/>
        </w:rPr>
      </w:pPr>
      <w:r>
        <w:rPr>
          <w:rStyle w:val="FootnoteReference"/>
        </w:rPr>
        <w:footnoteRef/>
      </w:r>
      <w:r>
        <w:t xml:space="preserve"> </w:t>
      </w:r>
      <w:hyperlink r:id="rId3" w:history="1">
        <w:r w:rsidRPr="002439A4">
          <w:rPr>
            <w:rStyle w:val="Hyperlink"/>
          </w:rPr>
          <w:t>file:///C:/Users/User/Downloads/Dialnet-PharmacyServicesInMongolia-9259979.pdf</w:t>
        </w:r>
      </w:hyperlink>
      <w:r>
        <w:rPr>
          <w:lang w:val="mn-MN"/>
        </w:rPr>
        <w:t xml:space="preserve"> </w:t>
      </w:r>
    </w:p>
  </w:footnote>
  <w:footnote w:id="17">
    <w:p w14:paraId="5AC8F0B8" w14:textId="77777777" w:rsidR="005C0E55" w:rsidRPr="00BE4ECE" w:rsidRDefault="005C0E55" w:rsidP="005C0E55">
      <w:pPr>
        <w:pStyle w:val="FootnoteText"/>
        <w:rPr>
          <w:lang w:val="mn-MN"/>
        </w:rPr>
      </w:pPr>
      <w:r>
        <w:rPr>
          <w:rStyle w:val="FootnoteReference"/>
        </w:rPr>
        <w:footnoteRef/>
      </w:r>
      <w:r>
        <w:t xml:space="preserve"> </w:t>
      </w:r>
      <w:hyperlink r:id="rId4" w:history="1">
        <w:r w:rsidRPr="002439A4">
          <w:rPr>
            <w:rStyle w:val="Hyperlink"/>
          </w:rPr>
          <w:t>https://pmc.ncbi.nlm.nih.gov/articles/PMC7240934/</w:t>
        </w:r>
      </w:hyperlink>
      <w:r>
        <w:rPr>
          <w:lang w:val="mn-MN"/>
        </w:rPr>
        <w:t xml:space="preserve"> </w:t>
      </w:r>
    </w:p>
  </w:footnote>
  <w:footnote w:id="18">
    <w:p w14:paraId="69C7B209" w14:textId="77777777" w:rsidR="005C0E55" w:rsidRPr="00B557A7" w:rsidRDefault="005C0E55" w:rsidP="005C0E55">
      <w:pPr>
        <w:pStyle w:val="FootnoteText"/>
        <w:rPr>
          <w:lang w:val="mn-MN"/>
        </w:rPr>
      </w:pPr>
      <w:r>
        <w:rPr>
          <w:rStyle w:val="FootnoteReference"/>
        </w:rPr>
        <w:footnoteRef/>
      </w:r>
      <w:r>
        <w:t xml:space="preserve"> </w:t>
      </w:r>
      <w:hyperlink r:id="rId5" w:history="1">
        <w:r w:rsidRPr="002439A4">
          <w:rPr>
            <w:rStyle w:val="Hyperlink"/>
          </w:rPr>
          <w:t>https://sudalgaa.gov.mn/mongol-ulsyn-antibiotikiyn-kheregleeniy-tandalt-sudalgaa-7ec</w:t>
        </w:r>
      </w:hyperlink>
      <w:r>
        <w:rPr>
          <w:lang w:val="mn-MN"/>
        </w:rPr>
        <w:t xml:space="preserve"> </w:t>
      </w:r>
    </w:p>
  </w:footnote>
  <w:footnote w:id="19">
    <w:p w14:paraId="2D05F264" w14:textId="77777777" w:rsidR="005C0E55" w:rsidRPr="00690056" w:rsidRDefault="005C0E55" w:rsidP="005C0E55">
      <w:pPr>
        <w:pStyle w:val="FootnoteText"/>
        <w:rPr>
          <w:rFonts w:ascii="Arial" w:hAnsi="Arial" w:cs="Arial"/>
          <w:lang w:val="mn-MN"/>
        </w:rPr>
      </w:pPr>
      <w:r w:rsidRPr="00690056">
        <w:rPr>
          <w:rStyle w:val="FootnoteReference"/>
          <w:rFonts w:ascii="Arial" w:hAnsi="Arial" w:cs="Arial"/>
        </w:rPr>
        <w:footnoteRef/>
      </w:r>
      <w:r w:rsidRPr="00690056">
        <w:rPr>
          <w:rFonts w:ascii="Arial" w:hAnsi="Arial" w:cs="Arial"/>
        </w:rPr>
        <w:t xml:space="preserve"> </w:t>
      </w:r>
      <w:r w:rsidRPr="00690056">
        <w:rPr>
          <w:rFonts w:ascii="Arial" w:hAnsi="Arial" w:cs="Arial"/>
          <w:lang w:val="mn-MN"/>
        </w:rPr>
        <w:t xml:space="preserve">Тайланг хавсаргав. </w:t>
      </w:r>
    </w:p>
  </w:footnote>
  <w:footnote w:id="20">
    <w:p w14:paraId="5830A81D" w14:textId="77777777" w:rsidR="005C0E55" w:rsidRPr="00EE28BA" w:rsidRDefault="005C0E55" w:rsidP="005C0E55">
      <w:pPr>
        <w:pStyle w:val="FootnoteText"/>
        <w:jc w:val="both"/>
        <w:rPr>
          <w:rFonts w:ascii="Arial" w:hAnsi="Arial" w:cs="Arial"/>
          <w:lang w:val="mn-MN"/>
        </w:rPr>
      </w:pPr>
      <w:r w:rsidRPr="00EE28BA">
        <w:rPr>
          <w:rStyle w:val="FootnoteReference"/>
          <w:rFonts w:ascii="Arial" w:hAnsi="Arial" w:cs="Arial"/>
        </w:rPr>
        <w:footnoteRef/>
      </w:r>
      <w:r w:rsidRPr="00EE28BA">
        <w:rPr>
          <w:rFonts w:ascii="Arial" w:hAnsi="Arial" w:cs="Arial"/>
        </w:rPr>
        <w:t xml:space="preserve"> </w:t>
      </w:r>
      <w:r w:rsidRPr="00EE28BA">
        <w:rPr>
          <w:rFonts w:ascii="Arial" w:hAnsi="Arial" w:cs="Arial"/>
          <w:lang w:val="mn-MN"/>
        </w:rPr>
        <w:t xml:space="preserve">Эм, эмнэлгийн хэрэгслийн хяналт, зохицуулалтын газрын 2026 оны 3 дугаар сарын 13-ны 01/371 тоот албан бичгийн хавсралт дахь тоон мэдээллүүдээс нэгтгэн дүн шинжилгээ хийв. </w:t>
      </w:r>
    </w:p>
  </w:footnote>
  <w:footnote w:id="21">
    <w:p w14:paraId="5DAE4CCE" w14:textId="77777777" w:rsidR="005C0E55" w:rsidRPr="007173CA" w:rsidRDefault="005C0E55" w:rsidP="005C0E55">
      <w:pPr>
        <w:pStyle w:val="FootnoteText"/>
        <w:rPr>
          <w:rFonts w:ascii="Arial" w:hAnsi="Arial" w:cs="Arial"/>
          <w:lang w:val="mn-MN"/>
        </w:rPr>
      </w:pPr>
      <w:r w:rsidRPr="007173CA">
        <w:rPr>
          <w:rStyle w:val="FootnoteReference"/>
          <w:rFonts w:ascii="Arial" w:hAnsi="Arial" w:cs="Arial"/>
        </w:rPr>
        <w:footnoteRef/>
      </w:r>
      <w:r w:rsidRPr="007173CA">
        <w:rPr>
          <w:rFonts w:ascii="Arial" w:hAnsi="Arial" w:cs="Arial"/>
        </w:rPr>
        <w:t xml:space="preserve"> </w:t>
      </w:r>
      <w:r w:rsidRPr="007173CA">
        <w:rPr>
          <w:rFonts w:ascii="Arial" w:hAnsi="Arial" w:cs="Arial"/>
          <w:lang w:val="mn-MN"/>
        </w:rPr>
        <w:t xml:space="preserve">Үндэсний аудитын газар. </w:t>
      </w:r>
      <w:r>
        <w:rPr>
          <w:rFonts w:ascii="Arial" w:hAnsi="Arial" w:cs="Arial"/>
          <w:lang w:val="mn-MN"/>
        </w:rPr>
        <w:t xml:space="preserve">Тайлангийн холбоос: </w:t>
      </w:r>
      <w:hyperlink r:id="rId6" w:history="1">
        <w:r w:rsidRPr="006F5DD8">
          <w:rPr>
            <w:rStyle w:val="Hyperlink"/>
            <w:rFonts w:ascii="Arial" w:hAnsi="Arial" w:cs="Arial"/>
            <w:lang w:val="mn-MN"/>
          </w:rPr>
          <w:t>https://www.audit.mn/audit/report_detail/40314</w:t>
        </w:r>
      </w:hyperlink>
      <w:r w:rsidRPr="007173CA">
        <w:rPr>
          <w:rFonts w:ascii="Arial" w:hAnsi="Arial" w:cs="Arial"/>
          <w:lang w:val="mn-MN"/>
        </w:rPr>
        <w:t xml:space="preserve"> </w:t>
      </w:r>
    </w:p>
  </w:footnote>
  <w:footnote w:id="22">
    <w:p w14:paraId="02C566BD" w14:textId="77777777" w:rsidR="005C0E55" w:rsidRPr="00EE28BA" w:rsidRDefault="005C0E55" w:rsidP="005C0E55">
      <w:pPr>
        <w:pStyle w:val="FootnoteText"/>
        <w:rPr>
          <w:lang w:val="mn-MN"/>
        </w:rPr>
      </w:pPr>
      <w:r w:rsidRPr="00EE28BA">
        <w:rPr>
          <w:rStyle w:val="FootnoteReference"/>
          <w:rFonts w:ascii="Arial" w:hAnsi="Arial" w:cs="Arial"/>
        </w:rPr>
        <w:footnoteRef/>
      </w:r>
      <w:r w:rsidRPr="00EE28BA">
        <w:rPr>
          <w:rFonts w:ascii="Arial" w:hAnsi="Arial" w:cs="Arial"/>
        </w:rPr>
        <w:t xml:space="preserve"> https://legalinfo.mn/mn/detail?lawId=10681</w:t>
      </w:r>
    </w:p>
  </w:footnote>
  <w:footnote w:id="23">
    <w:p w14:paraId="6A03035A" w14:textId="77777777" w:rsidR="005C0E55" w:rsidRPr="00F24A7D" w:rsidRDefault="005C0E55" w:rsidP="005C0E55">
      <w:pPr>
        <w:pStyle w:val="FootnoteText"/>
        <w:rPr>
          <w:rFonts w:ascii="Arial" w:hAnsi="Arial" w:cs="Arial"/>
          <w:lang w:val="mn-MN"/>
        </w:rPr>
      </w:pPr>
      <w:r w:rsidRPr="00F24A7D">
        <w:rPr>
          <w:rStyle w:val="FootnoteReference"/>
          <w:rFonts w:ascii="Arial" w:hAnsi="Arial" w:cs="Arial"/>
        </w:rPr>
        <w:footnoteRef/>
      </w:r>
      <w:r w:rsidRPr="00F24A7D">
        <w:rPr>
          <w:rFonts w:ascii="Arial" w:hAnsi="Arial" w:cs="Arial"/>
        </w:rPr>
        <w:t xml:space="preserve"> Academy of Managed Care Pharmacy (AMCP). Formulary Management, 2020.</w:t>
      </w:r>
      <w:r w:rsidRPr="00F24A7D">
        <w:rPr>
          <w:rFonts w:ascii="Arial" w:hAnsi="Arial" w:cs="Arial"/>
          <w:lang w:val="mn-MN"/>
        </w:rPr>
        <w:t xml:space="preserve"> </w:t>
      </w:r>
    </w:p>
  </w:footnote>
  <w:footnote w:id="24">
    <w:p w14:paraId="10A4715C" w14:textId="77777777" w:rsidR="005C0E55" w:rsidRPr="004319B1" w:rsidRDefault="005C0E55" w:rsidP="005C0E55">
      <w:pPr>
        <w:pStyle w:val="FootnoteText"/>
        <w:rPr>
          <w:rFonts w:ascii="Arial" w:hAnsi="Arial" w:cs="Arial"/>
          <w:lang w:val="mn-MN"/>
        </w:rPr>
      </w:pPr>
      <w:r w:rsidRPr="004319B1">
        <w:rPr>
          <w:rStyle w:val="FootnoteReference"/>
          <w:rFonts w:ascii="Arial" w:hAnsi="Arial" w:cs="Arial"/>
        </w:rPr>
        <w:footnoteRef/>
      </w:r>
      <w:r w:rsidRPr="004319B1">
        <w:rPr>
          <w:rFonts w:ascii="Arial" w:hAnsi="Arial" w:cs="Arial"/>
        </w:rPr>
        <w:t xml:space="preserve"> </w:t>
      </w:r>
      <w:r w:rsidRPr="004319B1">
        <w:rPr>
          <w:rFonts w:ascii="Arial" w:hAnsi="Arial" w:cs="Arial"/>
          <w:lang w:val="mn-MN"/>
        </w:rPr>
        <w:t>Монгол Улсын Засгийн газрын 2024-2028 оны үйл ажиллагааны хөтөлбөр батлах тухай. Төрийн мэдээлэл эмхэтгэл: 2024 он,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12D1"/>
    <w:multiLevelType w:val="hybridMultilevel"/>
    <w:tmpl w:val="3872C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F491452"/>
    <w:multiLevelType w:val="hybridMultilevel"/>
    <w:tmpl w:val="9D9870AC"/>
    <w:lvl w:ilvl="0" w:tplc="0B2264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56D9D"/>
    <w:multiLevelType w:val="hybridMultilevel"/>
    <w:tmpl w:val="D01E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7074FC"/>
    <w:multiLevelType w:val="multilevel"/>
    <w:tmpl w:val="5972C2F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68C7CD4"/>
    <w:multiLevelType w:val="hybridMultilevel"/>
    <w:tmpl w:val="340C0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D355C7"/>
    <w:multiLevelType w:val="hybridMultilevel"/>
    <w:tmpl w:val="E3BC2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AE624B4"/>
    <w:multiLevelType w:val="hybridMultilevel"/>
    <w:tmpl w:val="D33425C6"/>
    <w:lvl w:ilvl="0" w:tplc="D8B2E3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43344048">
    <w:abstractNumId w:val="4"/>
  </w:num>
  <w:num w:numId="2" w16cid:durableId="460878274">
    <w:abstractNumId w:val="1"/>
  </w:num>
  <w:num w:numId="3" w16cid:durableId="97218794">
    <w:abstractNumId w:val="2"/>
  </w:num>
  <w:num w:numId="4" w16cid:durableId="189731296">
    <w:abstractNumId w:val="5"/>
  </w:num>
  <w:num w:numId="5" w16cid:durableId="1482307511">
    <w:abstractNumId w:val="6"/>
  </w:num>
  <w:num w:numId="6" w16cid:durableId="10501">
    <w:abstractNumId w:val="3"/>
  </w:num>
  <w:num w:numId="7" w16cid:durableId="1430782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55"/>
    <w:rsid w:val="00071699"/>
    <w:rsid w:val="000A6614"/>
    <w:rsid w:val="000D163F"/>
    <w:rsid w:val="000E4B1C"/>
    <w:rsid w:val="000E7939"/>
    <w:rsid w:val="001250F3"/>
    <w:rsid w:val="001B7515"/>
    <w:rsid w:val="001F4206"/>
    <w:rsid w:val="00257885"/>
    <w:rsid w:val="002E39CF"/>
    <w:rsid w:val="0030621E"/>
    <w:rsid w:val="00351B40"/>
    <w:rsid w:val="003B6C20"/>
    <w:rsid w:val="003D37A6"/>
    <w:rsid w:val="00406317"/>
    <w:rsid w:val="00412676"/>
    <w:rsid w:val="00435A6C"/>
    <w:rsid w:val="004E406F"/>
    <w:rsid w:val="004F7B77"/>
    <w:rsid w:val="00525B96"/>
    <w:rsid w:val="005451C6"/>
    <w:rsid w:val="005547EA"/>
    <w:rsid w:val="00570822"/>
    <w:rsid w:val="005A2B5A"/>
    <w:rsid w:val="005C0E55"/>
    <w:rsid w:val="00674CB8"/>
    <w:rsid w:val="007D1A8C"/>
    <w:rsid w:val="008206C7"/>
    <w:rsid w:val="00833D5D"/>
    <w:rsid w:val="008A54CE"/>
    <w:rsid w:val="00912E13"/>
    <w:rsid w:val="00942126"/>
    <w:rsid w:val="00946A30"/>
    <w:rsid w:val="00950429"/>
    <w:rsid w:val="009C333A"/>
    <w:rsid w:val="009C4492"/>
    <w:rsid w:val="009D4795"/>
    <w:rsid w:val="00AA68A7"/>
    <w:rsid w:val="00B07759"/>
    <w:rsid w:val="00B31EA4"/>
    <w:rsid w:val="00B7360D"/>
    <w:rsid w:val="00B94378"/>
    <w:rsid w:val="00BB177A"/>
    <w:rsid w:val="00BB7ECE"/>
    <w:rsid w:val="00BC2EC4"/>
    <w:rsid w:val="00C41BE3"/>
    <w:rsid w:val="00C46DE0"/>
    <w:rsid w:val="00C82129"/>
    <w:rsid w:val="00CB7981"/>
    <w:rsid w:val="00CF6AB2"/>
    <w:rsid w:val="00CF6BB0"/>
    <w:rsid w:val="00D214C3"/>
    <w:rsid w:val="00D42F04"/>
    <w:rsid w:val="00D43C2B"/>
    <w:rsid w:val="00D931B5"/>
    <w:rsid w:val="00DE77E1"/>
    <w:rsid w:val="00E35264"/>
    <w:rsid w:val="00E656FF"/>
    <w:rsid w:val="00E67215"/>
    <w:rsid w:val="00F6454D"/>
    <w:rsid w:val="00F64AB2"/>
    <w:rsid w:val="00F9654F"/>
    <w:rsid w:val="00FA608F"/>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97578"/>
  <w15:chartTrackingRefBased/>
  <w15:docId w15:val="{D1C8E38E-4C0A-4EBA-A7A1-F2CEE1DA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E55"/>
    <w:rPr>
      <w:rFonts w:ascii="Times New Roman" w:hAnsi="Times New Roman" w:cstheme="min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E55"/>
    <w:pPr>
      <w:ind w:left="720"/>
      <w:contextualSpacing/>
    </w:pPr>
  </w:style>
  <w:style w:type="table" w:styleId="TableGrid">
    <w:name w:val="Table Grid"/>
    <w:basedOn w:val="TableNormal"/>
    <w:uiPriority w:val="39"/>
    <w:rsid w:val="005C0E55"/>
    <w:pPr>
      <w:spacing w:after="0" w:line="240" w:lineRule="auto"/>
    </w:pPr>
    <w:rPr>
      <w:rFonts w:ascii="Times New Roman" w:hAnsi="Times New Roman" w:cstheme="minorBid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C0E55"/>
    <w:pPr>
      <w:spacing w:after="0" w:line="240" w:lineRule="auto"/>
    </w:pPr>
    <w:rPr>
      <w:sz w:val="20"/>
    </w:rPr>
  </w:style>
  <w:style w:type="character" w:customStyle="1" w:styleId="FootnoteTextChar">
    <w:name w:val="Footnote Text Char"/>
    <w:basedOn w:val="DefaultParagraphFont"/>
    <w:link w:val="FootnoteText"/>
    <w:uiPriority w:val="99"/>
    <w:semiHidden/>
    <w:rsid w:val="005C0E55"/>
    <w:rPr>
      <w:rFonts w:ascii="Times New Roman" w:hAnsi="Times New Roman" w:cstheme="minorBidi"/>
    </w:rPr>
  </w:style>
  <w:style w:type="character" w:styleId="FootnoteReference">
    <w:name w:val="footnote reference"/>
    <w:basedOn w:val="DefaultParagraphFont"/>
    <w:uiPriority w:val="99"/>
    <w:semiHidden/>
    <w:unhideWhenUsed/>
    <w:rsid w:val="005C0E55"/>
    <w:rPr>
      <w:vertAlign w:val="superscript"/>
    </w:rPr>
  </w:style>
  <w:style w:type="character" w:styleId="Hyperlink">
    <w:name w:val="Hyperlink"/>
    <w:basedOn w:val="DefaultParagraphFont"/>
    <w:uiPriority w:val="99"/>
    <w:unhideWhenUsed/>
    <w:rsid w:val="005C0E5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User/Downloads/Dialnet-PharmacyServicesInMongolia-9259979.pdf" TargetMode="External"/><Relationship Id="rId2" Type="http://schemas.openxmlformats.org/officeDocument/2006/relationships/hyperlink" Target="https://link.springer.com/article/10.1186/s12887-018-1123-x" TargetMode="External"/><Relationship Id="rId1" Type="http://schemas.openxmlformats.org/officeDocument/2006/relationships/hyperlink" Target="https://pmc.ncbi.nlm.nih.gov/articles/PMC5327554/" TargetMode="External"/><Relationship Id="rId6" Type="http://schemas.openxmlformats.org/officeDocument/2006/relationships/hyperlink" Target="https://www.audit.mn/audit/report_detail/40314" TargetMode="External"/><Relationship Id="rId5" Type="http://schemas.openxmlformats.org/officeDocument/2006/relationships/hyperlink" Target="https://sudalgaa.gov.mn/mongol-ulsyn-antibiotikiyn-kheregleeniy-tandalt-sudalgaa-7ec" TargetMode="External"/><Relationship Id="rId4" Type="http://schemas.openxmlformats.org/officeDocument/2006/relationships/hyperlink" Target="https://pmc.ncbi.nlm.nih.gov/articles/PMC7240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1EFE3-F651-44E0-BD9B-E440F26DD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8064</Words>
  <Characters>45965</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Ganmaa</cp:lastModifiedBy>
  <cp:revision>2</cp:revision>
  <dcterms:created xsi:type="dcterms:W3CDTF">2026-04-22T05:42:00Z</dcterms:created>
  <dcterms:modified xsi:type="dcterms:W3CDTF">2026-04-22T05:42:00Z</dcterms:modified>
</cp:coreProperties>
</file>