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3CDB" w14:textId="47E8F2EB" w:rsidR="00CB7701" w:rsidRPr="00E21DA3" w:rsidRDefault="006933D1" w:rsidP="00367866">
      <w:pPr>
        <w:ind w:left="720" w:firstLine="720"/>
        <w:jc w:val="center"/>
        <w:rPr>
          <w:rFonts w:ascii="Arial" w:hAnsi="Arial" w:cs="Arial"/>
          <w:b/>
          <w:bCs/>
          <w:sz w:val="24"/>
          <w:szCs w:val="24"/>
          <w:lang w:val="mn-MN"/>
        </w:rPr>
      </w:pPr>
      <w:r w:rsidRPr="006933D1">
        <w:rPr>
          <w:rFonts w:ascii="Arial" w:hAnsi="Arial" w:cs="Arial"/>
          <w:b/>
          <w:bCs/>
          <w:sz w:val="24"/>
          <w:szCs w:val="24"/>
          <w:lang w:val="mn-MN"/>
        </w:rPr>
        <w:t>МОНГОЛ УЛСЫН ШҮҮХИЙН ТУХАЙ ХУУЛИЙН НЭМЭЛТ, ӨӨРЧЛӨЛТ ОРУУЛАХ ТУХАЙ ХУУЛИЙН</w:t>
      </w:r>
      <w:r>
        <w:rPr>
          <w:rFonts w:ascii="Arial" w:hAnsi="Arial" w:cs="Arial"/>
          <w:b/>
          <w:bCs/>
          <w:sz w:val="24"/>
          <w:szCs w:val="24"/>
          <w:lang w:val="mn-MN"/>
        </w:rPr>
        <w:t xml:space="preserve"> ТӨСЛИЙН </w:t>
      </w:r>
      <w:r w:rsidR="00FB55D9">
        <w:rPr>
          <w:rFonts w:ascii="Arial" w:hAnsi="Arial" w:cs="Arial"/>
          <w:b/>
          <w:bCs/>
          <w:sz w:val="24"/>
          <w:szCs w:val="24"/>
          <w:lang w:val="mn-MN"/>
        </w:rPr>
        <w:t>ҮНЭЛГЭЭ</w:t>
      </w:r>
      <w:r w:rsidR="00254FA9">
        <w:rPr>
          <w:rFonts w:ascii="Arial" w:hAnsi="Arial" w:cs="Arial"/>
          <w:b/>
          <w:bCs/>
          <w:sz w:val="24"/>
          <w:szCs w:val="24"/>
          <w:lang w:val="mn-MN"/>
        </w:rPr>
        <w:t>НИЙ ТАЙЛАН</w:t>
      </w:r>
      <w:r w:rsidR="00FB55D9">
        <w:rPr>
          <w:rFonts w:ascii="Arial" w:hAnsi="Arial" w:cs="Arial"/>
          <w:b/>
          <w:bCs/>
          <w:sz w:val="24"/>
          <w:szCs w:val="24"/>
          <w:lang w:val="mn-MN"/>
        </w:rPr>
        <w:t xml:space="preserve"> </w:t>
      </w:r>
    </w:p>
    <w:p w14:paraId="2D1A79BF" w14:textId="77777777" w:rsidR="00CB332A" w:rsidRPr="00E21DA3" w:rsidRDefault="00CB332A" w:rsidP="00CB7701">
      <w:pPr>
        <w:spacing w:line="276" w:lineRule="auto"/>
        <w:jc w:val="center"/>
        <w:rPr>
          <w:rFonts w:ascii="Arial" w:hAnsi="Arial" w:cs="Arial"/>
          <w:b/>
          <w:bCs/>
          <w:sz w:val="24"/>
          <w:szCs w:val="24"/>
          <w:lang w:val="mn-MN"/>
        </w:rPr>
      </w:pPr>
    </w:p>
    <w:p w14:paraId="592707B0" w14:textId="495EC42D" w:rsidR="00CB332A" w:rsidRPr="00E21DA3" w:rsidRDefault="00CB7701" w:rsidP="00CB332A">
      <w:pPr>
        <w:spacing w:line="276" w:lineRule="auto"/>
        <w:jc w:val="center"/>
        <w:rPr>
          <w:rFonts w:ascii="Arial" w:hAnsi="Arial" w:cs="Arial"/>
          <w:b/>
          <w:bCs/>
          <w:sz w:val="24"/>
          <w:szCs w:val="24"/>
          <w:lang w:val="mn-MN"/>
        </w:rPr>
      </w:pPr>
      <w:r w:rsidRPr="00E21DA3">
        <w:rPr>
          <w:rFonts w:ascii="Arial" w:hAnsi="Arial" w:cs="Arial"/>
          <w:b/>
          <w:bCs/>
          <w:sz w:val="24"/>
          <w:szCs w:val="24"/>
          <w:lang w:val="mn-MN"/>
        </w:rPr>
        <w:t>НЭГ. НИЙТЛЭГ ҮНДЭСЛЭЛ</w:t>
      </w:r>
    </w:p>
    <w:p w14:paraId="67292633" w14:textId="71A29C45" w:rsidR="00CB332A" w:rsidRPr="00E21DA3" w:rsidRDefault="00CB332A" w:rsidP="003B120E">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Улсын Их Хурлын гишүүн </w:t>
      </w:r>
      <w:r w:rsidR="00B9539A">
        <w:rPr>
          <w:rFonts w:ascii="Arial" w:hAnsi="Arial" w:cs="Arial"/>
          <w:sz w:val="24"/>
          <w:szCs w:val="24"/>
          <w:lang w:val="mn-MN"/>
        </w:rPr>
        <w:t xml:space="preserve">..... </w:t>
      </w:r>
      <w:r w:rsidRPr="00E21DA3">
        <w:rPr>
          <w:rFonts w:ascii="Arial" w:hAnsi="Arial" w:cs="Arial"/>
          <w:sz w:val="24"/>
          <w:szCs w:val="24"/>
          <w:lang w:val="mn-MN"/>
        </w:rPr>
        <w:t xml:space="preserve">нарын санаачлан боловсруулсан </w:t>
      </w:r>
      <w:r w:rsidR="00B9539A">
        <w:rPr>
          <w:rFonts w:ascii="Arial" w:hAnsi="Arial" w:cs="Arial"/>
          <w:sz w:val="24"/>
          <w:szCs w:val="24"/>
          <w:lang w:val="mn-MN"/>
        </w:rPr>
        <w:t>М</w:t>
      </w:r>
      <w:r w:rsidR="00B9539A" w:rsidRPr="00B9539A">
        <w:rPr>
          <w:rFonts w:ascii="Arial" w:hAnsi="Arial" w:cs="Arial"/>
          <w:sz w:val="24"/>
          <w:szCs w:val="24"/>
          <w:lang w:val="mn-MN"/>
        </w:rPr>
        <w:t xml:space="preserve">онгол </w:t>
      </w:r>
      <w:r w:rsidR="00B9539A">
        <w:rPr>
          <w:rFonts w:ascii="Arial" w:hAnsi="Arial" w:cs="Arial"/>
          <w:sz w:val="24"/>
          <w:szCs w:val="24"/>
          <w:lang w:val="mn-MN"/>
        </w:rPr>
        <w:t>У</w:t>
      </w:r>
      <w:r w:rsidR="00B9539A" w:rsidRPr="00B9539A">
        <w:rPr>
          <w:rFonts w:ascii="Arial" w:hAnsi="Arial" w:cs="Arial"/>
          <w:sz w:val="24"/>
          <w:szCs w:val="24"/>
          <w:lang w:val="mn-MN"/>
        </w:rPr>
        <w:t xml:space="preserve">лсын </w:t>
      </w:r>
      <w:r w:rsidR="00B9539A">
        <w:rPr>
          <w:rFonts w:ascii="Arial" w:hAnsi="Arial" w:cs="Arial"/>
          <w:sz w:val="24"/>
          <w:szCs w:val="24"/>
          <w:lang w:val="mn-MN"/>
        </w:rPr>
        <w:t>Ш</w:t>
      </w:r>
      <w:r w:rsidR="00B9539A" w:rsidRPr="00B9539A">
        <w:rPr>
          <w:rFonts w:ascii="Arial" w:hAnsi="Arial" w:cs="Arial"/>
          <w:sz w:val="24"/>
          <w:szCs w:val="24"/>
          <w:lang w:val="mn-MN"/>
        </w:rPr>
        <w:t xml:space="preserve">үүхийн тухай хуулийн нэмэлт, өөрчлөлт оруулах тухай </w:t>
      </w:r>
      <w:r w:rsidR="003B120E">
        <w:rPr>
          <w:rFonts w:ascii="Arial" w:hAnsi="Arial" w:cs="Arial"/>
          <w:sz w:val="24"/>
          <w:szCs w:val="24"/>
          <w:lang w:val="mn-MN"/>
        </w:rPr>
        <w:t xml:space="preserve">хуулийн </w:t>
      </w:r>
      <w:r w:rsidRPr="00E21DA3">
        <w:rPr>
          <w:rFonts w:ascii="Arial" w:hAnsi="Arial" w:cs="Arial"/>
          <w:sz w:val="24"/>
          <w:szCs w:val="24"/>
          <w:lang w:val="mn-MN"/>
        </w:rPr>
        <w:t>төсөл /цаашид “Хуулийн төсөл” гэх/-д</w:t>
      </w:r>
      <w:r w:rsidR="007C7F5D" w:rsidRPr="00E21DA3">
        <w:rPr>
          <w:rFonts w:ascii="Arial" w:hAnsi="Arial" w:cs="Arial"/>
          <w:sz w:val="24"/>
          <w:szCs w:val="24"/>
          <w:lang w:val="mn-MN"/>
        </w:rPr>
        <w:t xml:space="preserve"> </w:t>
      </w:r>
      <w:r w:rsidRPr="00E21DA3">
        <w:rPr>
          <w:rFonts w:ascii="Arial" w:hAnsi="Arial" w:cs="Arial"/>
          <w:sz w:val="24"/>
          <w:szCs w:val="24"/>
          <w:lang w:val="mn-MN"/>
        </w:rPr>
        <w:t xml:space="preserve"> Хууль тогтоомжийн тухай хуулийн 17 дугаар зүйлд заасны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r w:rsidR="00CB7701" w:rsidRPr="00E21DA3">
        <w:rPr>
          <w:rFonts w:ascii="Arial" w:hAnsi="Arial" w:cs="Arial"/>
          <w:sz w:val="24"/>
          <w:szCs w:val="24"/>
          <w:lang w:val="mn-MN"/>
        </w:rPr>
        <w:t xml:space="preserve"> </w:t>
      </w:r>
    </w:p>
    <w:p w14:paraId="23ED6AED" w14:textId="6A506759" w:rsidR="00CB7701" w:rsidRPr="00E21DA3" w:rsidRDefault="00CB7701" w:rsidP="00CB7701">
      <w:pPr>
        <w:spacing w:line="276" w:lineRule="auto"/>
        <w:ind w:firstLine="720"/>
        <w:jc w:val="both"/>
        <w:rPr>
          <w:rFonts w:ascii="Arial" w:hAnsi="Arial" w:cs="Arial"/>
          <w:sz w:val="24"/>
          <w:szCs w:val="24"/>
          <w:lang w:val="mn-MN"/>
        </w:rPr>
      </w:pPr>
      <w:r w:rsidRPr="00E21DA3">
        <w:rPr>
          <w:rFonts w:ascii="Arial" w:hAnsi="Arial" w:cs="Arial"/>
          <w:sz w:val="24"/>
          <w:szCs w:val="24"/>
          <w:lang w:val="mn-MN"/>
        </w:rPr>
        <w:t>Үнэлгээ хийхээр сонгож авсан хуулийн төсөл нь Хууль тогтоомжийн тухай хуулийн 24 дүгээр зүйл болох Хуульд өөрчлөлт оруулах хуулийн төсөл</w:t>
      </w:r>
      <w:r w:rsidRPr="00E21DA3">
        <w:rPr>
          <w:rStyle w:val="FootnoteReference"/>
          <w:rFonts w:ascii="Arial" w:hAnsi="Arial" w:cs="Arial"/>
          <w:sz w:val="24"/>
          <w:szCs w:val="24"/>
          <w:lang w:val="mn-MN"/>
        </w:rPr>
        <w:footnoteReference w:id="1"/>
      </w:r>
      <w:r w:rsidRPr="00E21DA3">
        <w:rPr>
          <w:rFonts w:ascii="Arial" w:hAnsi="Arial" w:cs="Arial"/>
          <w:sz w:val="24"/>
          <w:szCs w:val="24"/>
          <w:lang w:val="mn-MN"/>
        </w:rPr>
        <w:t xml:space="preserve"> байх ба тус зүйлийн 24.5.</w:t>
      </w:r>
      <w:r w:rsidR="00CB332A" w:rsidRPr="00E21DA3">
        <w:rPr>
          <w:rFonts w:ascii="Arial" w:hAnsi="Arial" w:cs="Arial"/>
          <w:sz w:val="24"/>
          <w:szCs w:val="24"/>
          <w:lang w:val="mn-MN"/>
        </w:rPr>
        <w:t>3</w:t>
      </w:r>
      <w:r w:rsidRPr="00E21DA3">
        <w:rPr>
          <w:rFonts w:ascii="Arial" w:hAnsi="Arial" w:cs="Arial"/>
          <w:sz w:val="24"/>
          <w:szCs w:val="24"/>
          <w:lang w:val="mn-MN"/>
        </w:rPr>
        <w:t xml:space="preserve">-т заасан “хуульд өөрчлөлт оруулах тухай” төрөлд багтах хуулийн төсөл хэлбэрээр боловсруулагдсан бөгөөд </w:t>
      </w:r>
      <w:r w:rsidR="00CB332A" w:rsidRPr="00E21DA3">
        <w:rPr>
          <w:rFonts w:ascii="Arial" w:hAnsi="Arial" w:cs="Arial"/>
          <w:sz w:val="24"/>
          <w:szCs w:val="24"/>
          <w:lang w:val="mn-MN"/>
        </w:rPr>
        <w:t xml:space="preserve">хуулийн төслийн </w:t>
      </w:r>
      <w:r w:rsidRPr="00E21DA3">
        <w:rPr>
          <w:rFonts w:ascii="Arial" w:hAnsi="Arial" w:cs="Arial"/>
          <w:sz w:val="24"/>
          <w:szCs w:val="24"/>
          <w:lang w:val="mn-MN"/>
        </w:rPr>
        <w:t>үр нөлөөг үнэлэх ажиллагааг Засгийн газрын 2016 оны 59 дүгээр тогтоолын</w:t>
      </w:r>
      <w:r w:rsidRPr="00E21DA3">
        <w:rPr>
          <w:rStyle w:val="FootnoteReference"/>
          <w:rFonts w:ascii="Arial" w:hAnsi="Arial" w:cs="Arial"/>
          <w:sz w:val="24"/>
          <w:szCs w:val="24"/>
          <w:lang w:val="mn-MN"/>
        </w:rPr>
        <w:footnoteReference w:id="2"/>
      </w:r>
      <w:r w:rsidRPr="00E21DA3">
        <w:rPr>
          <w:rFonts w:ascii="Arial" w:hAnsi="Arial" w:cs="Arial"/>
          <w:sz w:val="24"/>
          <w:szCs w:val="24"/>
          <w:lang w:val="mn-MN"/>
        </w:rPr>
        <w:t xml:space="preserve"> 3 дугаар хавсралтаар батлагдсан “Хууль тогтоомжийн төслийн үр нөлөөг үнэлэх аргачлал”-ын 1 дүгээр зүйлийн 4-д заасны дагуу дараах үе шаттайгаар хийсэн. Үүнд:</w:t>
      </w:r>
    </w:p>
    <w:p w14:paraId="662BD85E" w14:textId="77777777" w:rsidR="00CB7701" w:rsidRPr="00E21DA3" w:rsidRDefault="00CB7701" w:rsidP="00CB332A">
      <w:pPr>
        <w:pStyle w:val="ListParagraph"/>
        <w:numPr>
          <w:ilvl w:val="0"/>
          <w:numId w:val="5"/>
        </w:numPr>
        <w:jc w:val="both"/>
        <w:rPr>
          <w:rFonts w:ascii="Arial" w:hAnsi="Arial" w:cs="Arial"/>
          <w:szCs w:val="24"/>
          <w:lang w:val="mn-MN"/>
        </w:rPr>
      </w:pPr>
      <w:r w:rsidRPr="00E21DA3">
        <w:rPr>
          <w:rFonts w:ascii="Arial" w:hAnsi="Arial" w:cs="Arial"/>
          <w:szCs w:val="24"/>
          <w:lang w:val="mn-MN"/>
        </w:rPr>
        <w:t>Шалгуур үзүүлэлтийг сонгох;</w:t>
      </w:r>
    </w:p>
    <w:p w14:paraId="3B1878EC" w14:textId="77777777" w:rsidR="00CB7701" w:rsidRPr="00E21DA3" w:rsidRDefault="00CB7701" w:rsidP="00CB332A">
      <w:pPr>
        <w:pStyle w:val="ListParagraph"/>
        <w:numPr>
          <w:ilvl w:val="0"/>
          <w:numId w:val="5"/>
        </w:numPr>
        <w:jc w:val="both"/>
        <w:rPr>
          <w:rFonts w:ascii="Arial" w:hAnsi="Arial" w:cs="Arial"/>
          <w:szCs w:val="24"/>
          <w:lang w:val="mn-MN"/>
        </w:rPr>
      </w:pPr>
      <w:r w:rsidRPr="00E21DA3">
        <w:rPr>
          <w:rFonts w:ascii="Arial" w:hAnsi="Arial" w:cs="Arial"/>
          <w:szCs w:val="24"/>
          <w:lang w:val="mn-MN"/>
        </w:rPr>
        <w:t>Хуулийн төслөөс үр нөлөө тооцох хэсгээ тогтоох;</w:t>
      </w:r>
    </w:p>
    <w:p w14:paraId="34E3C95B" w14:textId="77777777" w:rsidR="00CB7701" w:rsidRPr="00E21DA3" w:rsidRDefault="00CB7701" w:rsidP="00CB332A">
      <w:pPr>
        <w:pStyle w:val="ListParagraph"/>
        <w:numPr>
          <w:ilvl w:val="0"/>
          <w:numId w:val="5"/>
        </w:numPr>
        <w:jc w:val="both"/>
        <w:rPr>
          <w:rFonts w:ascii="Arial" w:hAnsi="Arial" w:cs="Arial"/>
          <w:szCs w:val="24"/>
          <w:lang w:val="mn-MN"/>
        </w:rPr>
      </w:pPr>
      <w:r w:rsidRPr="00E21DA3">
        <w:rPr>
          <w:rFonts w:ascii="Arial" w:hAnsi="Arial" w:cs="Arial"/>
          <w:szCs w:val="24"/>
          <w:lang w:val="mn-MN"/>
        </w:rPr>
        <w:t>Урьдчилан сонгосон шалгуур үзүүлэлтэд тохирох шалгах хэрэгслийн дагуу үр нөлөөг тооцох;</w:t>
      </w:r>
    </w:p>
    <w:p w14:paraId="21B076CF" w14:textId="77777777" w:rsidR="00CB7701" w:rsidRPr="00E21DA3" w:rsidRDefault="00CB7701" w:rsidP="00CB332A">
      <w:pPr>
        <w:pStyle w:val="ListParagraph"/>
        <w:numPr>
          <w:ilvl w:val="0"/>
          <w:numId w:val="5"/>
        </w:numPr>
        <w:jc w:val="both"/>
        <w:rPr>
          <w:rFonts w:ascii="Arial" w:hAnsi="Arial" w:cs="Arial"/>
          <w:szCs w:val="24"/>
          <w:lang w:val="mn-MN"/>
        </w:rPr>
      </w:pPr>
      <w:r w:rsidRPr="00E21DA3">
        <w:rPr>
          <w:rFonts w:ascii="Arial" w:hAnsi="Arial" w:cs="Arial"/>
          <w:szCs w:val="24"/>
          <w:lang w:val="mn-MN"/>
        </w:rPr>
        <w:t>Үр дүнг үнэлэх, зөвлөмж өгөх гэсэн үе шатыг баримтлан гүйцэтгэлээ.</w:t>
      </w:r>
    </w:p>
    <w:p w14:paraId="0757DC03" w14:textId="77777777" w:rsidR="00CB332A" w:rsidRPr="00E21DA3" w:rsidRDefault="00CB332A" w:rsidP="00CB332A">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ХОЁР. ХУУЛИЙН ТӨСЛИЙН ҮР НӨЛӨӨГ ҮНЭЛЭХ ШАЛГУУР ҮЗҮҮЛЭЛТИЙГ СОНГОСОН БАЙДАЛ, ҮНДЭСЛЭЛ</w:t>
      </w:r>
    </w:p>
    <w:p w14:paraId="50A00334"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25A7D0DD" w14:textId="65AA2DFB" w:rsidR="00CB332A" w:rsidRPr="00E21DA3" w:rsidRDefault="00CB332A" w:rsidP="00CB332A">
      <w:pPr>
        <w:pStyle w:val="ListParagraph"/>
        <w:numPr>
          <w:ilvl w:val="0"/>
          <w:numId w:val="6"/>
        </w:numPr>
        <w:jc w:val="both"/>
        <w:rPr>
          <w:rFonts w:ascii="Arial" w:hAnsi="Arial" w:cs="Arial"/>
          <w:szCs w:val="24"/>
          <w:lang w:val="mn-MN"/>
        </w:rPr>
      </w:pPr>
      <w:r w:rsidRPr="00E21DA3">
        <w:rPr>
          <w:rFonts w:ascii="Arial" w:hAnsi="Arial" w:cs="Arial"/>
          <w:szCs w:val="24"/>
          <w:lang w:val="mn-MN"/>
        </w:rPr>
        <w:t xml:space="preserve">Зорилгод хүрэх байдал </w:t>
      </w:r>
      <w:r w:rsidRPr="00E21DA3">
        <w:rPr>
          <w:rFonts w:ascii="Arial" w:hAnsi="Arial" w:cs="Arial"/>
          <w:szCs w:val="24"/>
          <w:lang w:val="mn-MN"/>
        </w:rPr>
        <w:tab/>
      </w:r>
      <w:r w:rsidRPr="00E21DA3">
        <w:rPr>
          <w:rFonts w:ascii="Arial" w:hAnsi="Arial" w:cs="Arial"/>
          <w:szCs w:val="24"/>
          <w:lang w:val="mn-MN"/>
        </w:rPr>
        <w:tab/>
      </w:r>
      <w:r w:rsidRPr="00E21DA3">
        <w:rPr>
          <w:rFonts w:ascii="Arial" w:hAnsi="Arial" w:cs="Arial"/>
          <w:szCs w:val="24"/>
          <w:lang w:val="mn-MN"/>
        </w:rPr>
        <w:tab/>
      </w:r>
    </w:p>
    <w:p w14:paraId="32046223" w14:textId="153793A1" w:rsidR="00CB332A" w:rsidRPr="00E21DA3" w:rsidRDefault="00CB332A" w:rsidP="00CB332A">
      <w:pPr>
        <w:pStyle w:val="ListParagraph"/>
        <w:numPr>
          <w:ilvl w:val="0"/>
          <w:numId w:val="6"/>
        </w:numPr>
        <w:jc w:val="both"/>
        <w:rPr>
          <w:rFonts w:ascii="Arial" w:hAnsi="Arial" w:cs="Arial"/>
          <w:szCs w:val="24"/>
          <w:lang w:val="mn-MN"/>
        </w:rPr>
      </w:pPr>
      <w:r w:rsidRPr="00E21DA3">
        <w:rPr>
          <w:rFonts w:ascii="Arial" w:hAnsi="Arial" w:cs="Arial"/>
          <w:szCs w:val="24"/>
          <w:lang w:val="mn-MN"/>
        </w:rPr>
        <w:t xml:space="preserve">Ойлгомжтой байдал </w:t>
      </w:r>
    </w:p>
    <w:p w14:paraId="6D35A6DD" w14:textId="5CB48D0B" w:rsidR="00CB332A" w:rsidRPr="00E21DA3" w:rsidRDefault="00CB332A" w:rsidP="00CB332A">
      <w:pPr>
        <w:pStyle w:val="ListParagraph"/>
        <w:numPr>
          <w:ilvl w:val="0"/>
          <w:numId w:val="6"/>
        </w:numPr>
        <w:jc w:val="both"/>
        <w:rPr>
          <w:rFonts w:ascii="Arial" w:hAnsi="Arial" w:cs="Arial"/>
          <w:szCs w:val="24"/>
          <w:lang w:val="mn-MN"/>
        </w:rPr>
      </w:pPr>
      <w:r w:rsidRPr="00E21DA3">
        <w:rPr>
          <w:rFonts w:ascii="Arial" w:hAnsi="Arial" w:cs="Arial"/>
          <w:szCs w:val="24"/>
          <w:lang w:val="mn-MN"/>
        </w:rPr>
        <w:t>Харилцан уялдаа зэрэг болно.</w:t>
      </w:r>
      <w:r w:rsidRPr="00E21DA3">
        <w:rPr>
          <w:rFonts w:ascii="Arial" w:hAnsi="Arial" w:cs="Arial"/>
          <w:szCs w:val="24"/>
          <w:lang w:val="mn-MN"/>
        </w:rPr>
        <w:tab/>
      </w:r>
      <w:r w:rsidRPr="00E21DA3">
        <w:rPr>
          <w:rFonts w:ascii="Arial" w:hAnsi="Arial" w:cs="Arial"/>
          <w:szCs w:val="24"/>
          <w:lang w:val="mn-MN"/>
        </w:rPr>
        <w:tab/>
      </w:r>
    </w:p>
    <w:p w14:paraId="04DA0D94"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“Зорилгод хүрэх байдал” 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3C47887C" w14:textId="77777777" w:rsidR="00CB332A" w:rsidRPr="00E21DA3" w:rsidRDefault="00CB332A" w:rsidP="00CB332A">
      <w:pPr>
        <w:spacing w:line="276" w:lineRule="auto"/>
        <w:ind w:firstLine="720"/>
        <w:jc w:val="both"/>
        <w:rPr>
          <w:rFonts w:ascii="Arial" w:hAnsi="Arial" w:cs="Arial"/>
          <w:sz w:val="24"/>
          <w:szCs w:val="24"/>
          <w:lang w:val="mn-MN"/>
        </w:rPr>
      </w:pPr>
    </w:p>
    <w:p w14:paraId="1F4BCCD9"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lastRenderedPageBreak/>
        <w:t xml:space="preserve"> “Ойлгомжтой байдал”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447C8EDE"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“Харилцан уялдаа”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w:t>
      </w:r>
    </w:p>
    <w:p w14:paraId="7354324D" w14:textId="11D21BAE" w:rsidR="00CB332A" w:rsidRPr="00E21DA3" w:rsidRDefault="00CB332A" w:rsidP="00CB332A">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ГУРАВ. ХУУЛИЙН ТӨСЛӨӨС ҮР НӨЛӨӨГ ҮНЭЛЭХ ХЭСГИЙГ ТОГТООСОН БАЙДАЛ</w:t>
      </w:r>
    </w:p>
    <w:p w14:paraId="2F25AB04" w14:textId="2B74499A"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“Зорилгод хүрэх байдал”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 Шалгуур үзүүлэлтийн хүрээнд хуулийн төслийн 1,3,4 дүгээр зүйлд заасанд  үнэлгээ хийхээр  сонгож авлаа.</w:t>
      </w:r>
    </w:p>
    <w:p w14:paraId="531E8AA6"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“Ойлгомжтой байдал”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55B9E61C"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/Хуулийн төсөл 2 зүйлтэй./</w:t>
      </w:r>
    </w:p>
    <w:p w14:paraId="57BD97E9"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1F79BA63"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/Хуулийн төсөл 2 зүйлтэй./</w:t>
      </w:r>
    </w:p>
    <w:p w14:paraId="6553CFFB" w14:textId="77777777" w:rsidR="00CB332A" w:rsidRPr="00E21DA3" w:rsidRDefault="00CB332A" w:rsidP="00CB332A">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5AD86C66" w14:textId="2BA3B012"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авч үзэв. </w:t>
      </w:r>
    </w:p>
    <w:p w14:paraId="41A67915" w14:textId="2A7FEC9A" w:rsidR="00986FCC" w:rsidRPr="00E21DA3" w:rsidRDefault="00986FCC" w:rsidP="00CB332A">
      <w:pPr>
        <w:spacing w:line="276" w:lineRule="auto"/>
        <w:ind w:firstLine="720"/>
        <w:jc w:val="both"/>
        <w:rPr>
          <w:rFonts w:ascii="Arial" w:hAnsi="Arial" w:cs="Arial"/>
          <w:sz w:val="24"/>
          <w:szCs w:val="24"/>
          <w:lang w:val="mn-MN"/>
        </w:rPr>
      </w:pPr>
    </w:p>
    <w:p w14:paraId="08A49ED9" w14:textId="77777777" w:rsidR="00986FCC" w:rsidRPr="00E21DA3" w:rsidRDefault="00986FCC" w:rsidP="00CB332A">
      <w:pPr>
        <w:spacing w:line="276" w:lineRule="auto"/>
        <w:ind w:firstLine="720"/>
        <w:jc w:val="both"/>
        <w:rPr>
          <w:rFonts w:ascii="Arial" w:hAnsi="Arial" w:cs="Arial"/>
          <w:sz w:val="24"/>
          <w:szCs w:val="24"/>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30"/>
        <w:gridCol w:w="2160"/>
        <w:gridCol w:w="4841"/>
      </w:tblGrid>
      <w:tr w:rsidR="00D42324" w:rsidRPr="00E21DA3" w14:paraId="1C8E3BC1" w14:textId="77777777" w:rsidTr="006854C0">
        <w:trPr>
          <w:trHeight w:val="469"/>
        </w:trPr>
        <w:tc>
          <w:tcPr>
            <w:tcW w:w="675" w:type="dxa"/>
            <w:vAlign w:val="center"/>
          </w:tcPr>
          <w:p w14:paraId="6F8235F9" w14:textId="77777777" w:rsidR="00D42324" w:rsidRPr="00E21DA3" w:rsidRDefault="00D42324" w:rsidP="00D767AB">
            <w:pPr>
              <w:jc w:val="center"/>
              <w:rPr>
                <w:rFonts w:ascii="Arial" w:hAnsi="Arial" w:cs="Arial"/>
                <w:b/>
                <w:color w:val="000000" w:themeColor="text1"/>
                <w:lang w:val="mn-MN"/>
              </w:rPr>
            </w:pPr>
            <w:r w:rsidRPr="00E21DA3">
              <w:rPr>
                <w:rFonts w:ascii="Arial" w:hAnsi="Arial" w:cs="Arial"/>
                <w:b/>
                <w:color w:val="000000" w:themeColor="text1"/>
                <w:u w:val="wave"/>
                <w:lang w:val="mn-MN"/>
              </w:rPr>
              <w:t>Д</w:t>
            </w:r>
            <w:r w:rsidRPr="00E21DA3">
              <w:rPr>
                <w:rFonts w:ascii="Arial" w:hAnsi="Arial" w:cs="Arial"/>
                <w:b/>
                <w:color w:val="000000" w:themeColor="text1"/>
                <w:lang w:val="mn-MN"/>
              </w:rPr>
              <w:t>/</w:t>
            </w:r>
            <w:r w:rsidRPr="00E21DA3">
              <w:rPr>
                <w:rFonts w:ascii="Arial" w:hAnsi="Arial" w:cs="Arial"/>
                <w:b/>
                <w:color w:val="000000" w:themeColor="text1"/>
                <w:u w:val="wave"/>
                <w:lang w:val="mn-MN"/>
              </w:rPr>
              <w:t>д</w:t>
            </w:r>
          </w:p>
        </w:tc>
        <w:tc>
          <w:tcPr>
            <w:tcW w:w="1930" w:type="dxa"/>
            <w:vAlign w:val="center"/>
          </w:tcPr>
          <w:p w14:paraId="715D8BBD" w14:textId="77777777" w:rsidR="00D42324" w:rsidRPr="00E21DA3" w:rsidRDefault="00D42324" w:rsidP="00D767AB">
            <w:pPr>
              <w:jc w:val="center"/>
              <w:rPr>
                <w:rFonts w:ascii="Arial" w:hAnsi="Arial" w:cs="Arial"/>
                <w:b/>
                <w:color w:val="000000" w:themeColor="text1"/>
                <w:lang w:val="mn-MN"/>
              </w:rPr>
            </w:pPr>
            <w:r w:rsidRPr="00E21DA3">
              <w:rPr>
                <w:rFonts w:ascii="Arial" w:hAnsi="Arial" w:cs="Arial"/>
                <w:b/>
                <w:color w:val="000000" w:themeColor="text1"/>
                <w:lang w:val="mn-MN"/>
              </w:rPr>
              <w:t>Шалгуур үзүүлэлт</w:t>
            </w:r>
          </w:p>
        </w:tc>
        <w:tc>
          <w:tcPr>
            <w:tcW w:w="2160" w:type="dxa"/>
            <w:vAlign w:val="center"/>
          </w:tcPr>
          <w:p w14:paraId="2CC6BC49" w14:textId="77777777" w:rsidR="00D42324" w:rsidRPr="00E21DA3" w:rsidRDefault="00D42324" w:rsidP="00D767AB">
            <w:pPr>
              <w:jc w:val="center"/>
              <w:rPr>
                <w:rFonts w:ascii="Arial" w:hAnsi="Arial" w:cs="Arial"/>
                <w:b/>
                <w:color w:val="000000" w:themeColor="text1"/>
                <w:lang w:val="mn-MN"/>
              </w:rPr>
            </w:pPr>
            <w:r w:rsidRPr="00E21DA3">
              <w:rPr>
                <w:rFonts w:ascii="Arial" w:hAnsi="Arial" w:cs="Arial"/>
                <w:b/>
                <w:color w:val="000000" w:themeColor="text1"/>
                <w:lang w:val="mn-MN"/>
              </w:rPr>
              <w:t>Үр нөлөөг үнэлэх хэсэг</w:t>
            </w:r>
          </w:p>
        </w:tc>
        <w:tc>
          <w:tcPr>
            <w:tcW w:w="4841" w:type="dxa"/>
            <w:vAlign w:val="center"/>
          </w:tcPr>
          <w:p w14:paraId="5F320247" w14:textId="77777777" w:rsidR="00D42324" w:rsidRPr="00E21DA3" w:rsidRDefault="00D42324" w:rsidP="00D767AB">
            <w:pPr>
              <w:jc w:val="center"/>
              <w:rPr>
                <w:rFonts w:ascii="Arial" w:hAnsi="Arial" w:cs="Arial"/>
                <w:b/>
                <w:color w:val="000000" w:themeColor="text1"/>
                <w:lang w:val="mn-MN"/>
              </w:rPr>
            </w:pPr>
            <w:r w:rsidRPr="00E21DA3">
              <w:rPr>
                <w:rFonts w:ascii="Arial" w:hAnsi="Arial" w:cs="Arial"/>
                <w:b/>
                <w:color w:val="000000" w:themeColor="text1"/>
                <w:lang w:val="mn-MN"/>
              </w:rPr>
              <w:t>Тохирох шалгах хэрэгсэл</w:t>
            </w:r>
          </w:p>
        </w:tc>
      </w:tr>
      <w:tr w:rsidR="00D42324" w:rsidRPr="00E21DA3" w14:paraId="3DF4CDD6" w14:textId="77777777" w:rsidTr="006854C0">
        <w:trPr>
          <w:trHeight w:val="508"/>
        </w:trPr>
        <w:tc>
          <w:tcPr>
            <w:tcW w:w="675" w:type="dxa"/>
          </w:tcPr>
          <w:p w14:paraId="17972C6A" w14:textId="77777777" w:rsidR="00D42324" w:rsidRPr="00E21DA3" w:rsidRDefault="00D42324" w:rsidP="00D767AB">
            <w:pPr>
              <w:jc w:val="both"/>
              <w:rPr>
                <w:rFonts w:ascii="Arial" w:hAnsi="Arial" w:cs="Arial"/>
                <w:color w:val="000000" w:themeColor="text1"/>
                <w:lang w:val="mn-MN"/>
              </w:rPr>
            </w:pPr>
            <w:r w:rsidRPr="00E21DA3">
              <w:rPr>
                <w:rFonts w:ascii="Arial" w:hAnsi="Arial" w:cs="Arial"/>
                <w:color w:val="000000" w:themeColor="text1"/>
                <w:lang w:val="mn-MN"/>
              </w:rPr>
              <w:t>1</w:t>
            </w:r>
          </w:p>
        </w:tc>
        <w:tc>
          <w:tcPr>
            <w:tcW w:w="1930" w:type="dxa"/>
          </w:tcPr>
          <w:p w14:paraId="1D8F950F"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Зорилгод хүрэх байдал</w:t>
            </w:r>
          </w:p>
        </w:tc>
        <w:tc>
          <w:tcPr>
            <w:tcW w:w="2160" w:type="dxa"/>
          </w:tcPr>
          <w:p w14:paraId="28561CEB"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Хуулийн төслийн 1 дүгээр зүйл</w:t>
            </w:r>
          </w:p>
        </w:tc>
        <w:tc>
          <w:tcPr>
            <w:tcW w:w="4841" w:type="dxa"/>
          </w:tcPr>
          <w:p w14:paraId="0AA02D41" w14:textId="77777777" w:rsidR="00D42324" w:rsidRPr="00E21DA3" w:rsidRDefault="00D42324" w:rsidP="00986FCC">
            <w:pPr>
              <w:jc w:val="both"/>
              <w:rPr>
                <w:rFonts w:ascii="Arial" w:hAnsi="Arial" w:cs="Arial"/>
                <w:color w:val="000000" w:themeColor="text1"/>
                <w:lang w:val="mn-MN"/>
              </w:rPr>
            </w:pPr>
            <w:r w:rsidRPr="00E21DA3">
              <w:rPr>
                <w:rFonts w:ascii="Arial" w:hAnsi="Arial" w:cs="Arial"/>
                <w:color w:val="000000" w:themeColor="text1"/>
                <w:lang w:val="mn-MN"/>
              </w:rPr>
              <w:t>Зорилгод дүн шинжилгээ хийх</w:t>
            </w:r>
          </w:p>
        </w:tc>
      </w:tr>
      <w:tr w:rsidR="00D42324" w:rsidRPr="00E21DA3" w14:paraId="42484B62" w14:textId="77777777" w:rsidTr="006854C0">
        <w:trPr>
          <w:trHeight w:val="412"/>
        </w:trPr>
        <w:tc>
          <w:tcPr>
            <w:tcW w:w="675" w:type="dxa"/>
          </w:tcPr>
          <w:p w14:paraId="73895F8F" w14:textId="77777777" w:rsidR="00D42324" w:rsidRPr="00E21DA3" w:rsidRDefault="00D42324" w:rsidP="00D767AB">
            <w:pPr>
              <w:jc w:val="both"/>
              <w:rPr>
                <w:rFonts w:ascii="Arial" w:hAnsi="Arial" w:cs="Arial"/>
                <w:color w:val="000000" w:themeColor="text1"/>
                <w:lang w:val="mn-MN"/>
              </w:rPr>
            </w:pPr>
            <w:r w:rsidRPr="00E21DA3">
              <w:rPr>
                <w:rFonts w:ascii="Arial" w:hAnsi="Arial" w:cs="Arial"/>
                <w:color w:val="000000" w:themeColor="text1"/>
                <w:lang w:val="mn-MN"/>
              </w:rPr>
              <w:t>2</w:t>
            </w:r>
          </w:p>
        </w:tc>
        <w:tc>
          <w:tcPr>
            <w:tcW w:w="1930" w:type="dxa"/>
          </w:tcPr>
          <w:p w14:paraId="7823E276"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Ойлгомжтой байдал</w:t>
            </w:r>
          </w:p>
        </w:tc>
        <w:tc>
          <w:tcPr>
            <w:tcW w:w="2160" w:type="dxa"/>
          </w:tcPr>
          <w:p w14:paraId="13B3D044"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Хуулийн төсөл бүхэлдээ</w:t>
            </w:r>
          </w:p>
        </w:tc>
        <w:tc>
          <w:tcPr>
            <w:tcW w:w="4841" w:type="dxa"/>
          </w:tcPr>
          <w:p w14:paraId="74497CDE" w14:textId="77777777" w:rsidR="00D42324" w:rsidRPr="00E21DA3" w:rsidRDefault="00D42324" w:rsidP="00986FCC">
            <w:pPr>
              <w:jc w:val="both"/>
              <w:rPr>
                <w:rFonts w:ascii="Arial" w:hAnsi="Arial" w:cs="Arial"/>
                <w:color w:val="000000" w:themeColor="text1"/>
                <w:lang w:val="mn-MN"/>
              </w:rPr>
            </w:pPr>
            <w:r w:rsidRPr="00E21DA3">
              <w:rPr>
                <w:rFonts w:ascii="Arial" w:hAnsi="Arial" w:cs="Arial"/>
                <w:color w:val="000000" w:themeColor="text1"/>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E21DA3">
              <w:rPr>
                <w:rFonts w:ascii="Arial" w:hAnsi="Arial" w:cs="Arial"/>
                <w:color w:val="000000" w:themeColor="text1"/>
                <w:u w:val="wave"/>
                <w:lang w:val="mn-MN"/>
              </w:rPr>
              <w:t>ойлгомжтой</w:t>
            </w:r>
            <w:r w:rsidRPr="00E21DA3">
              <w:rPr>
                <w:rFonts w:ascii="Arial" w:hAnsi="Arial" w:cs="Arial"/>
                <w:color w:val="000000" w:themeColor="text1"/>
                <w:lang w:val="mn-MN"/>
              </w:rPr>
              <w:t xml:space="preserve"> байдлыг шалгах. </w:t>
            </w:r>
          </w:p>
        </w:tc>
      </w:tr>
      <w:tr w:rsidR="00D42324" w:rsidRPr="00E21DA3" w14:paraId="0BF38165" w14:textId="77777777" w:rsidTr="006854C0">
        <w:tc>
          <w:tcPr>
            <w:tcW w:w="675" w:type="dxa"/>
          </w:tcPr>
          <w:p w14:paraId="6A80B675" w14:textId="77777777" w:rsidR="00D42324" w:rsidRPr="00E21DA3" w:rsidRDefault="00D42324" w:rsidP="00D767AB">
            <w:pPr>
              <w:jc w:val="both"/>
              <w:rPr>
                <w:rFonts w:ascii="Arial" w:hAnsi="Arial" w:cs="Arial"/>
                <w:color w:val="000000" w:themeColor="text1"/>
                <w:lang w:val="mn-MN"/>
              </w:rPr>
            </w:pPr>
            <w:r w:rsidRPr="00E21DA3">
              <w:rPr>
                <w:rFonts w:ascii="Arial" w:hAnsi="Arial" w:cs="Arial"/>
                <w:color w:val="000000" w:themeColor="text1"/>
                <w:lang w:val="mn-MN"/>
              </w:rPr>
              <w:t>3</w:t>
            </w:r>
          </w:p>
        </w:tc>
        <w:tc>
          <w:tcPr>
            <w:tcW w:w="1930" w:type="dxa"/>
          </w:tcPr>
          <w:p w14:paraId="66E487C2"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Харилцан уялдаа</w:t>
            </w:r>
          </w:p>
        </w:tc>
        <w:tc>
          <w:tcPr>
            <w:tcW w:w="2160" w:type="dxa"/>
          </w:tcPr>
          <w:p w14:paraId="683914D6" w14:textId="77777777" w:rsidR="00D42324" w:rsidRPr="00E21DA3" w:rsidRDefault="00D42324" w:rsidP="00D767AB">
            <w:pPr>
              <w:jc w:val="center"/>
              <w:rPr>
                <w:rFonts w:ascii="Arial" w:hAnsi="Arial" w:cs="Arial"/>
                <w:color w:val="000000" w:themeColor="text1"/>
                <w:lang w:val="mn-MN"/>
              </w:rPr>
            </w:pPr>
            <w:r w:rsidRPr="00E21DA3">
              <w:rPr>
                <w:rFonts w:ascii="Arial" w:hAnsi="Arial" w:cs="Arial"/>
                <w:color w:val="000000" w:themeColor="text1"/>
                <w:lang w:val="mn-MN"/>
              </w:rPr>
              <w:t>Хуулийн төсөл бүхэлдээ</w:t>
            </w:r>
          </w:p>
        </w:tc>
        <w:tc>
          <w:tcPr>
            <w:tcW w:w="4841" w:type="dxa"/>
          </w:tcPr>
          <w:p w14:paraId="70E13D24" w14:textId="77777777" w:rsidR="00D42324" w:rsidRPr="00E21DA3" w:rsidRDefault="00D42324" w:rsidP="00986FCC">
            <w:pPr>
              <w:jc w:val="both"/>
              <w:rPr>
                <w:rFonts w:ascii="Arial" w:hAnsi="Arial" w:cs="Arial"/>
                <w:color w:val="000000" w:themeColor="text1"/>
                <w:lang w:val="mn-MN"/>
              </w:rPr>
            </w:pPr>
            <w:r w:rsidRPr="00E21DA3">
              <w:rPr>
                <w:rFonts w:ascii="Arial" w:hAnsi="Arial" w:cs="Arial"/>
                <w:color w:val="000000" w:themeColor="text1"/>
                <w:lang w:val="mn-MN"/>
              </w:rPr>
              <w:t>Аргачлалын 4.10-т заасан стандарт асуултад хариулах замаар хуулийн төслийн уялдаа холбоог шалгах</w:t>
            </w:r>
          </w:p>
        </w:tc>
      </w:tr>
    </w:tbl>
    <w:p w14:paraId="3BC37E37" w14:textId="77777777" w:rsidR="00CB332A" w:rsidRPr="00E21DA3" w:rsidRDefault="00CB332A" w:rsidP="00CB332A">
      <w:pPr>
        <w:spacing w:line="276" w:lineRule="auto"/>
        <w:ind w:firstLine="720"/>
        <w:jc w:val="both"/>
        <w:rPr>
          <w:rFonts w:ascii="Arial" w:hAnsi="Arial" w:cs="Arial"/>
          <w:sz w:val="24"/>
          <w:szCs w:val="24"/>
          <w:lang w:val="mn-MN"/>
        </w:rPr>
      </w:pPr>
    </w:p>
    <w:p w14:paraId="7FDEFD0A" w14:textId="54054D84" w:rsidR="00CB332A" w:rsidRPr="00E21DA3" w:rsidRDefault="00D42324"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r w:rsidR="00CB332A" w:rsidRPr="00E21DA3">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5F933236" w14:textId="4510918B" w:rsidR="00CB332A"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“Зорилгод хүрэх байдал” шалгуур үзүүлэлтийн хүрээнд хийсэн үнэлгээ:</w:t>
      </w:r>
    </w:p>
    <w:p w14:paraId="0EDA7EB3" w14:textId="77777777"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Хуулийн төслийн гол зорилго нь шүүгчид нэр дэвшигчийн хууль зүйн мэдлэг, чадварыг бодитой, шударга, ил тод үнэлэх, мөн шүүхийн хараат бус байдалд олон нийтийн итгэлийг нэмэгдүүлэхад чиглэж байна. Үүний хүрээнд зорилгод хүрэх байдлыг дараах байдлаар үнэлж болох юм:</w:t>
      </w:r>
    </w:p>
    <w:p w14:paraId="54065F19" w14:textId="3FE9AD7A"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Хуульчлагдсан механизм бий болгох</w:t>
      </w:r>
      <w:r>
        <w:rPr>
          <w:rFonts w:ascii="Arial" w:hAnsi="Arial" w:cs="Arial"/>
          <w:sz w:val="24"/>
          <w:szCs w:val="24"/>
          <w:lang w:val="mn-MN"/>
        </w:rPr>
        <w:t>:</w:t>
      </w:r>
    </w:p>
    <w:p w14:paraId="137B3134" w14:textId="77777777"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Одоогийн байдлаар “хөндлөнгийн байдлаар үнэлэх” зарчим зөвхөн зарчмын түвшинд байгаа нь практикт хэрэгжихэд хүндрэл учруулдаг. Төслийн шинэ зохицуулалт хөндлөнгийн, хараат бус шинжээчийг хуульчилж оруулснаар энэхүү эрх зүйн зайлшгүй механизм бий болж байна. Үнэлгээ: Байдалд нийцсэн, зорилгод хүрэх магадлал өндөр.</w:t>
      </w:r>
    </w:p>
    <w:p w14:paraId="781B59AD" w14:textId="02B0FCA9"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Шударга, олон талт үнэлгээний баталгаажуулалт</w:t>
      </w:r>
      <w:r>
        <w:rPr>
          <w:rFonts w:ascii="Arial" w:hAnsi="Arial" w:cs="Arial"/>
          <w:sz w:val="24"/>
          <w:szCs w:val="24"/>
          <w:lang w:val="mn-MN"/>
        </w:rPr>
        <w:t>:</w:t>
      </w:r>
    </w:p>
    <w:p w14:paraId="4C4C2E1E" w14:textId="77777777"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Шалгалт авах болон үнэлэх процессыг тусгаарлаж, олон шинжээч оролцуулах зохицуулалт нь нэг этгээдийн субьектив үнэлгээ давамгайлах эрсдэлийг бууруулна. Үнэлгээ: Зорилгод нийцсэн, үнэлгээний чанарыг сайжруулна.</w:t>
      </w:r>
    </w:p>
    <w:p w14:paraId="219220DF" w14:textId="5AD9A2FB"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Ил тод байдал, олон нийтийн итгэл</w:t>
      </w:r>
      <w:r>
        <w:rPr>
          <w:rFonts w:ascii="Arial" w:hAnsi="Arial" w:cs="Arial"/>
          <w:sz w:val="24"/>
          <w:szCs w:val="24"/>
          <w:lang w:val="mn-MN"/>
        </w:rPr>
        <w:t>:</w:t>
      </w:r>
    </w:p>
    <w:p w14:paraId="7E03DB08" w14:textId="77777777"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Шинжээчдийг урьдчилан олон нийтэд зарлах, урилгыг ил тод явуулах зохицуулалт нь шалгалтын ил тод байдлыг хангана. Энэ нь олон нийтийн итгэл нэмэгдүүлэхэд шууд нөлөөлнө. Үнэлгээ: Зорилгод бүрэн нийцсэн.</w:t>
      </w:r>
    </w:p>
    <w:p w14:paraId="74F6C1CE" w14:textId="6A4E4AE1"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Олон улсын туршлагатай нийцэх байдал</w:t>
      </w:r>
      <w:r>
        <w:rPr>
          <w:rFonts w:ascii="Arial" w:hAnsi="Arial" w:cs="Arial"/>
          <w:sz w:val="24"/>
          <w:szCs w:val="24"/>
          <w:lang w:val="mn-MN"/>
        </w:rPr>
        <w:t>:</w:t>
      </w:r>
    </w:p>
    <w:p w14:paraId="3975FE70" w14:textId="77777777"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lastRenderedPageBreak/>
        <w:t>Төсөлд тусгасан хөндлөнгийн, олон гишүүнтэй үнэлгээний зохицуулалт нь Их Британи, Герман, Франц, АНУ, БНСУ-ын туршлагатай нийцсэн бөгөөд шүүхийн хараат бус байдлыг бэхжүүлэхэд эерэг нөлөө үзүүлнэ. Үнэлгээ: Олон улсын жишигт нийцсэн, зорилгод хүрэхэд өндөр хувьтай.</w:t>
      </w:r>
    </w:p>
    <w:p w14:paraId="7EAED93D" w14:textId="589B8675"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Мэргэшсэн хүний нөөц ашиглах боломж</w:t>
      </w:r>
      <w:r>
        <w:rPr>
          <w:rFonts w:ascii="Arial" w:hAnsi="Arial" w:cs="Arial"/>
          <w:sz w:val="24"/>
          <w:szCs w:val="24"/>
          <w:lang w:val="mn-MN"/>
        </w:rPr>
        <w:t>:</w:t>
      </w:r>
    </w:p>
    <w:p w14:paraId="14D0EF1A" w14:textId="77777777"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Хөндлөнгийн шинжээчдэд урамшуулал олгох зохицуулалт нь мэргэшсэн, туршлагатай хуульчдыг татах боломжийг нэмэгдүүлнэ. Энэ нь үнэлгээний бодитой байдал, чанарыг дээшлүүлнэ. Үнэлгээ: Зорилгод хүрэх боломж өндөр.</w:t>
      </w:r>
    </w:p>
    <w:p w14:paraId="4FBC149D" w14:textId="77777777" w:rsidR="00A50123" w:rsidRPr="00A5012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Дүгнэлт:</w:t>
      </w:r>
    </w:p>
    <w:p w14:paraId="5DC6248E" w14:textId="7D6FAA6A" w:rsidR="00314212" w:rsidRPr="00E21DA3" w:rsidRDefault="00A50123" w:rsidP="00A50123">
      <w:pPr>
        <w:spacing w:line="276" w:lineRule="auto"/>
        <w:ind w:firstLine="720"/>
        <w:jc w:val="both"/>
        <w:rPr>
          <w:rFonts w:ascii="Arial" w:hAnsi="Arial" w:cs="Arial"/>
          <w:sz w:val="24"/>
          <w:szCs w:val="24"/>
          <w:lang w:val="mn-MN"/>
        </w:rPr>
      </w:pPr>
      <w:r w:rsidRPr="00A50123">
        <w:rPr>
          <w:rFonts w:ascii="Arial" w:hAnsi="Arial" w:cs="Arial"/>
          <w:sz w:val="24"/>
          <w:szCs w:val="24"/>
          <w:lang w:val="mn-MN"/>
        </w:rPr>
        <w:t>Төслийн зохицуулалт нь тухайн зорилгодоо бүрэн нийцсэн гэж үнэлэгдэж байна. Шүүгчийн нэр дэвшигчийг үнэлэх ажиллагааны шударга байдал, ил тод байдал, олон нийтийн итгэл, шүүхийн хараат бус байдлыг бэхжүүлэх гол зорилгыг хангах чадвартай. Практикт хэрэгжүүлэхэд хөндлөнгийн, хараат бус шинжээчдийн оролцоог хуульчилснаар энэхүү зорилт бүрэн биелэгдэх боломжтой.</w:t>
      </w:r>
      <w:r>
        <w:rPr>
          <w:rFonts w:ascii="Arial" w:hAnsi="Arial" w:cs="Arial"/>
          <w:sz w:val="24"/>
          <w:szCs w:val="24"/>
          <w:lang w:val="mn-MN"/>
        </w:rPr>
        <w:t xml:space="preserve"> </w:t>
      </w:r>
    </w:p>
    <w:p w14:paraId="364F6B5B" w14:textId="77777777"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“Ойлгомжтой байдлыг судлах” шалгуур үзүүлэлтийн хүрээнд хийсэн үнэлгээ:</w:t>
      </w:r>
    </w:p>
    <w:p w14:paraId="1FD66005" w14:textId="618225D8"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w:t>
      </w:r>
      <w:r w:rsidR="00F81377" w:rsidRPr="00E21DA3">
        <w:rPr>
          <w:rFonts w:ascii="Arial" w:hAnsi="Arial" w:cs="Arial"/>
          <w:sz w:val="24"/>
          <w:szCs w:val="24"/>
          <w:lang w:val="mn-MN"/>
        </w:rPr>
        <w:t xml:space="preserve"> Үүнд:</w:t>
      </w:r>
    </w:p>
    <w:p w14:paraId="42969EE8" w14:textId="6BE386E3" w:rsidR="00AB412B" w:rsidRPr="00E21DA3" w:rsidRDefault="00214559" w:rsidP="00CB332A">
      <w:pPr>
        <w:spacing w:line="276" w:lineRule="auto"/>
        <w:ind w:firstLine="720"/>
        <w:jc w:val="both"/>
        <w:rPr>
          <w:rFonts w:ascii="Arial" w:hAnsi="Arial" w:cs="Arial"/>
          <w:sz w:val="24"/>
          <w:szCs w:val="24"/>
          <w:lang w:val="mn-MN"/>
        </w:rPr>
      </w:pPr>
      <w:r w:rsidRPr="00E21DA3">
        <w:rPr>
          <w:rFonts w:ascii="Arial" w:hAnsi="Arial" w:cs="Arial"/>
          <w:b/>
          <w:color w:val="000000" w:themeColor="text1"/>
          <w:lang w:val="mn-MN"/>
        </w:rPr>
        <w:t>Хууль тогтоомжийн тухай хуулийн 29 дүгээр зүйлд заасан Хуулийн төслийн эх бичвэрийн агуулгад тавих нийтлэг шаардлага:</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850"/>
        <w:gridCol w:w="2070"/>
      </w:tblGrid>
      <w:tr w:rsidR="00214559" w:rsidRPr="00E21DA3" w14:paraId="2F20AC6E" w14:textId="77777777" w:rsidTr="00214559">
        <w:tc>
          <w:tcPr>
            <w:tcW w:w="1165" w:type="dxa"/>
          </w:tcPr>
          <w:p w14:paraId="64C9120A" w14:textId="280865A9" w:rsidR="00214559" w:rsidRPr="00E21DA3" w:rsidRDefault="00C93EDC" w:rsidP="00C93EDC">
            <w:pPr>
              <w:jc w:val="center"/>
              <w:rPr>
                <w:rFonts w:ascii="Arial" w:hAnsi="Arial" w:cs="Arial"/>
                <w:iCs/>
                <w:color w:val="000000" w:themeColor="text1"/>
                <w:lang w:val="mn-MN"/>
              </w:rPr>
            </w:pPr>
            <w:r w:rsidRPr="00E21DA3">
              <w:rPr>
                <w:rFonts w:ascii="Arial" w:hAnsi="Arial" w:cs="Arial"/>
                <w:iCs/>
                <w:color w:val="000000" w:themeColor="text1"/>
                <w:lang w:val="mn-MN"/>
              </w:rPr>
              <w:t xml:space="preserve">        </w:t>
            </w:r>
            <w:r w:rsidR="00214559" w:rsidRPr="00E21DA3">
              <w:rPr>
                <w:rFonts w:ascii="Arial" w:hAnsi="Arial" w:cs="Arial"/>
                <w:iCs/>
                <w:color w:val="000000" w:themeColor="text1"/>
                <w:lang w:val="mn-MN"/>
              </w:rPr>
              <w:t>№</w:t>
            </w:r>
          </w:p>
        </w:tc>
        <w:tc>
          <w:tcPr>
            <w:tcW w:w="5850" w:type="dxa"/>
          </w:tcPr>
          <w:p w14:paraId="7D0C9E83" w14:textId="1CBB9ED5" w:rsidR="00214559" w:rsidRPr="00E21DA3" w:rsidRDefault="00214559" w:rsidP="00D767AB">
            <w:pPr>
              <w:jc w:val="center"/>
              <w:rPr>
                <w:rFonts w:ascii="Arial" w:hAnsi="Arial" w:cs="Arial"/>
                <w:iCs/>
                <w:color w:val="000000" w:themeColor="text1"/>
                <w:lang w:val="mn-MN"/>
              </w:rPr>
            </w:pPr>
            <w:r w:rsidRPr="00E21DA3">
              <w:rPr>
                <w:rFonts w:ascii="Arial" w:hAnsi="Arial" w:cs="Arial"/>
                <w:iCs/>
                <w:color w:val="000000" w:themeColor="text1"/>
                <w:lang w:val="mn-MN"/>
              </w:rPr>
              <w:t>Хууль тогтоомжийн тухай хуулийн зохицуулалт</w:t>
            </w:r>
          </w:p>
        </w:tc>
        <w:tc>
          <w:tcPr>
            <w:tcW w:w="2070" w:type="dxa"/>
          </w:tcPr>
          <w:p w14:paraId="682A0578" w14:textId="77777777" w:rsidR="00214559" w:rsidRPr="00E21DA3" w:rsidRDefault="00214559" w:rsidP="00D767AB">
            <w:pPr>
              <w:jc w:val="center"/>
              <w:rPr>
                <w:rFonts w:ascii="Arial" w:hAnsi="Arial" w:cs="Arial"/>
                <w:iCs/>
                <w:color w:val="000000" w:themeColor="text1"/>
                <w:lang w:val="mn-MN"/>
              </w:rPr>
            </w:pPr>
            <w:r w:rsidRPr="00E21DA3">
              <w:rPr>
                <w:rFonts w:ascii="Arial" w:hAnsi="Arial" w:cs="Arial"/>
                <w:iCs/>
                <w:color w:val="000000" w:themeColor="text1"/>
                <w:lang w:val="mn-MN"/>
              </w:rPr>
              <w:t>Шаардлага хангасан эсэх</w:t>
            </w:r>
          </w:p>
        </w:tc>
      </w:tr>
      <w:tr w:rsidR="00214559" w:rsidRPr="00E21DA3" w14:paraId="3C9625D7" w14:textId="77777777" w:rsidTr="00214559">
        <w:trPr>
          <w:trHeight w:val="1141"/>
        </w:trPr>
        <w:tc>
          <w:tcPr>
            <w:tcW w:w="1165" w:type="dxa"/>
          </w:tcPr>
          <w:p w14:paraId="170CD895"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1383B7A7" w14:textId="10C60079"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070" w:type="dxa"/>
          </w:tcPr>
          <w:p w14:paraId="3F294448"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p w14:paraId="2D2D43FE" w14:textId="77777777" w:rsidR="00214559" w:rsidRPr="00E21DA3" w:rsidRDefault="00214559" w:rsidP="00D767AB">
            <w:pPr>
              <w:jc w:val="both"/>
              <w:rPr>
                <w:rFonts w:ascii="Arial" w:hAnsi="Arial" w:cs="Arial"/>
                <w:color w:val="000000" w:themeColor="text1"/>
                <w:lang w:val="mn-MN"/>
              </w:rPr>
            </w:pPr>
          </w:p>
        </w:tc>
      </w:tr>
      <w:tr w:rsidR="00214559" w:rsidRPr="00E21DA3" w14:paraId="3E601F5C" w14:textId="77777777" w:rsidTr="00214559">
        <w:trPr>
          <w:trHeight w:val="64"/>
        </w:trPr>
        <w:tc>
          <w:tcPr>
            <w:tcW w:w="1165" w:type="dxa"/>
          </w:tcPr>
          <w:p w14:paraId="68D9736F"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67367648" w14:textId="62DD8F90"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2070" w:type="dxa"/>
          </w:tcPr>
          <w:p w14:paraId="2F648571"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19F6BBDC" w14:textId="77777777" w:rsidTr="00214559">
        <w:tc>
          <w:tcPr>
            <w:tcW w:w="1165" w:type="dxa"/>
          </w:tcPr>
          <w:p w14:paraId="7F718CD0"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089FE810" w14:textId="792E4748"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2070" w:type="dxa"/>
          </w:tcPr>
          <w:p w14:paraId="799666E8"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02E404AE" w14:textId="77777777" w:rsidTr="00214559">
        <w:tc>
          <w:tcPr>
            <w:tcW w:w="1165" w:type="dxa"/>
          </w:tcPr>
          <w:p w14:paraId="61937684"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299197DA" w14:textId="42340AE9"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070" w:type="dxa"/>
          </w:tcPr>
          <w:p w14:paraId="517B511F"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004A019E" w14:textId="77777777" w:rsidTr="00214559">
        <w:tc>
          <w:tcPr>
            <w:tcW w:w="1165" w:type="dxa"/>
          </w:tcPr>
          <w:p w14:paraId="569A14D6"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009448B4" w14:textId="7136990A"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29.1.5.зүйл, хэсэг, заалт нь хоорондоо зөрчилгүй байх;</w:t>
            </w:r>
          </w:p>
        </w:tc>
        <w:tc>
          <w:tcPr>
            <w:tcW w:w="2070" w:type="dxa"/>
          </w:tcPr>
          <w:p w14:paraId="53B5CB6D" w14:textId="77777777" w:rsidR="00214559" w:rsidRPr="00E21DA3" w:rsidRDefault="00214559" w:rsidP="00D767AB">
            <w:pPr>
              <w:jc w:val="both"/>
              <w:rPr>
                <w:rFonts w:ascii="Arial" w:hAnsi="Arial" w:cs="Arial"/>
                <w:i/>
                <w:color w:val="000000" w:themeColor="text1"/>
                <w:lang w:val="mn-MN"/>
              </w:rPr>
            </w:pPr>
            <w:r w:rsidRPr="00E21DA3">
              <w:rPr>
                <w:rFonts w:ascii="Arial" w:hAnsi="Arial" w:cs="Arial"/>
                <w:color w:val="000000" w:themeColor="text1"/>
                <w:lang w:val="mn-MN"/>
              </w:rPr>
              <w:t xml:space="preserve">Зөрчилгүй.  </w:t>
            </w:r>
          </w:p>
        </w:tc>
      </w:tr>
      <w:tr w:rsidR="00214559" w:rsidRPr="00E21DA3" w14:paraId="478F63F1" w14:textId="77777777" w:rsidTr="00214559">
        <w:tc>
          <w:tcPr>
            <w:tcW w:w="1165" w:type="dxa"/>
          </w:tcPr>
          <w:p w14:paraId="4FDDC6C4"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322CB5C8" w14:textId="701E277D"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2070" w:type="dxa"/>
          </w:tcPr>
          <w:p w14:paraId="78469A03"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214559" w:rsidRPr="00E21DA3" w14:paraId="76D6944E" w14:textId="77777777" w:rsidTr="00214559">
        <w:tc>
          <w:tcPr>
            <w:tcW w:w="1165" w:type="dxa"/>
          </w:tcPr>
          <w:p w14:paraId="6B937B5A"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62FA0252" w14:textId="0A1F3DD3"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070" w:type="dxa"/>
          </w:tcPr>
          <w:p w14:paraId="2C37E19A"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300E5C70" w14:textId="77777777" w:rsidTr="00214559">
        <w:tc>
          <w:tcPr>
            <w:tcW w:w="1165" w:type="dxa"/>
          </w:tcPr>
          <w:p w14:paraId="7BF9D487"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2104597E" w14:textId="13F01246"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070" w:type="dxa"/>
          </w:tcPr>
          <w:p w14:paraId="3EE9F2A4"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214559" w:rsidRPr="00E21DA3" w14:paraId="68EA8646" w14:textId="77777777" w:rsidTr="00214559">
        <w:tc>
          <w:tcPr>
            <w:tcW w:w="1165" w:type="dxa"/>
          </w:tcPr>
          <w:p w14:paraId="590F0BA3"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31FD0CE1" w14:textId="3A5B3BB9"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070" w:type="dxa"/>
          </w:tcPr>
          <w:p w14:paraId="53E3E58F"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 Шаардлагагүй.</w:t>
            </w:r>
          </w:p>
        </w:tc>
      </w:tr>
      <w:tr w:rsidR="00214559" w:rsidRPr="00E21DA3" w14:paraId="6945CC0B" w14:textId="77777777" w:rsidTr="00214559">
        <w:tc>
          <w:tcPr>
            <w:tcW w:w="1165" w:type="dxa"/>
          </w:tcPr>
          <w:p w14:paraId="3D48F64D"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082E17C8" w14:textId="313E477B"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070" w:type="dxa"/>
          </w:tcPr>
          <w:p w14:paraId="6B52F9CB"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Шаардлагагүй.</w:t>
            </w:r>
          </w:p>
        </w:tc>
      </w:tr>
      <w:tr w:rsidR="00214559" w:rsidRPr="00E21DA3" w14:paraId="30660FC7" w14:textId="77777777" w:rsidTr="00214559">
        <w:tc>
          <w:tcPr>
            <w:tcW w:w="1165" w:type="dxa"/>
          </w:tcPr>
          <w:p w14:paraId="17537DBB" w14:textId="77777777" w:rsidR="00214559" w:rsidRPr="00E21DA3" w:rsidRDefault="00214559" w:rsidP="00214559">
            <w:pPr>
              <w:pStyle w:val="ListParagraph"/>
              <w:numPr>
                <w:ilvl w:val="0"/>
                <w:numId w:val="8"/>
              </w:numPr>
              <w:jc w:val="both"/>
              <w:rPr>
                <w:rFonts w:ascii="Arial" w:hAnsi="Arial" w:cs="Arial"/>
                <w:color w:val="000000" w:themeColor="text1"/>
                <w:lang w:val="mn-MN"/>
              </w:rPr>
            </w:pPr>
          </w:p>
        </w:tc>
        <w:tc>
          <w:tcPr>
            <w:tcW w:w="5850" w:type="dxa"/>
          </w:tcPr>
          <w:p w14:paraId="35B1A008" w14:textId="331DBFCA"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070" w:type="dxa"/>
          </w:tcPr>
          <w:p w14:paraId="7A552B2B" w14:textId="77777777" w:rsidR="00214559" w:rsidRPr="00E21DA3" w:rsidRDefault="00214559"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 Шаардлагагүй.</w:t>
            </w:r>
          </w:p>
        </w:tc>
      </w:tr>
    </w:tbl>
    <w:p w14:paraId="33346159" w14:textId="77777777" w:rsidR="00214559" w:rsidRPr="00E21DA3" w:rsidRDefault="00214559" w:rsidP="00CB332A">
      <w:pPr>
        <w:spacing w:line="276" w:lineRule="auto"/>
        <w:ind w:firstLine="720"/>
        <w:jc w:val="both"/>
        <w:rPr>
          <w:rFonts w:ascii="Arial" w:hAnsi="Arial" w:cs="Arial"/>
          <w:sz w:val="24"/>
          <w:szCs w:val="24"/>
          <w:lang w:val="mn-MN"/>
        </w:rPr>
      </w:pPr>
    </w:p>
    <w:p w14:paraId="154324DC" w14:textId="14BAE549" w:rsidR="00214559" w:rsidRPr="00E21DA3" w:rsidRDefault="00214559" w:rsidP="00CB332A">
      <w:pPr>
        <w:spacing w:line="276" w:lineRule="auto"/>
        <w:ind w:firstLine="720"/>
        <w:jc w:val="both"/>
        <w:rPr>
          <w:rFonts w:ascii="Arial" w:hAnsi="Arial" w:cs="Arial"/>
          <w:b/>
          <w:color w:val="000000" w:themeColor="text1"/>
          <w:lang w:val="mn-MN"/>
        </w:rPr>
      </w:pPr>
      <w:r w:rsidRPr="00E21DA3">
        <w:rPr>
          <w:rFonts w:ascii="Arial" w:hAnsi="Arial" w:cs="Arial"/>
          <w:b/>
          <w:color w:val="000000" w:themeColor="text1"/>
          <w:lang w:val="mn-MN"/>
        </w:rPr>
        <w:t>Хууль тогтоомжийн тухай хуулийн 30 дугаар зүйлд заасан Хуулийн төслийн хэл зүй, найруулгад тавих нийтлэг шаардлага</w:t>
      </w:r>
    </w:p>
    <w:p w14:paraId="151AD564" w14:textId="77777777" w:rsidR="00214559" w:rsidRPr="00E21DA3" w:rsidRDefault="00214559" w:rsidP="00CB332A">
      <w:pPr>
        <w:spacing w:line="276" w:lineRule="auto"/>
        <w:ind w:firstLine="720"/>
        <w:jc w:val="both"/>
        <w:rPr>
          <w:rFonts w:ascii="Arial" w:hAnsi="Arial" w:cs="Arial"/>
          <w:sz w:val="24"/>
          <w:szCs w:val="24"/>
          <w:lang w:val="mn-MN"/>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487"/>
        <w:gridCol w:w="2430"/>
      </w:tblGrid>
      <w:tr w:rsidR="00470463" w:rsidRPr="00E21DA3" w14:paraId="28606305" w14:textId="77777777" w:rsidTr="00470463">
        <w:tc>
          <w:tcPr>
            <w:tcW w:w="1165" w:type="dxa"/>
          </w:tcPr>
          <w:p w14:paraId="070FA445" w14:textId="74D9A795" w:rsidR="00470463" w:rsidRPr="00E21DA3" w:rsidRDefault="00470463" w:rsidP="00214559">
            <w:pPr>
              <w:jc w:val="both"/>
              <w:rPr>
                <w:rFonts w:ascii="Arial" w:hAnsi="Arial" w:cs="Arial"/>
                <w:iCs/>
                <w:color w:val="000000" w:themeColor="text1"/>
                <w:lang w:val="mn-MN"/>
              </w:rPr>
            </w:pPr>
            <w:r w:rsidRPr="00E21DA3">
              <w:rPr>
                <w:rFonts w:ascii="Arial" w:hAnsi="Arial" w:cs="Arial"/>
                <w:iCs/>
                <w:color w:val="000000" w:themeColor="text1"/>
                <w:lang w:val="mn-MN"/>
              </w:rPr>
              <w:t>№</w:t>
            </w:r>
          </w:p>
        </w:tc>
        <w:tc>
          <w:tcPr>
            <w:tcW w:w="5487" w:type="dxa"/>
          </w:tcPr>
          <w:p w14:paraId="077DA60F" w14:textId="5C496760" w:rsidR="00470463" w:rsidRPr="00E21DA3" w:rsidRDefault="00470463" w:rsidP="00214559">
            <w:pPr>
              <w:jc w:val="both"/>
              <w:rPr>
                <w:rFonts w:ascii="Arial" w:hAnsi="Arial" w:cs="Arial"/>
                <w:iCs/>
                <w:color w:val="000000" w:themeColor="text1"/>
                <w:lang w:val="mn-MN"/>
              </w:rPr>
            </w:pPr>
            <w:r w:rsidRPr="00E21DA3">
              <w:rPr>
                <w:rFonts w:ascii="Arial" w:hAnsi="Arial" w:cs="Arial"/>
                <w:iCs/>
                <w:color w:val="000000" w:themeColor="text1"/>
                <w:lang w:val="mn-MN"/>
              </w:rPr>
              <w:t>Хууль тогтоомжийн тухай хуулийн зохицуулалт</w:t>
            </w:r>
          </w:p>
        </w:tc>
        <w:tc>
          <w:tcPr>
            <w:tcW w:w="2430" w:type="dxa"/>
          </w:tcPr>
          <w:p w14:paraId="7A584BC9" w14:textId="2DB585D1" w:rsidR="00470463" w:rsidRPr="00E21DA3" w:rsidRDefault="00470463" w:rsidP="00214559">
            <w:pPr>
              <w:jc w:val="both"/>
              <w:rPr>
                <w:rFonts w:ascii="Arial" w:hAnsi="Arial" w:cs="Arial"/>
                <w:iCs/>
                <w:color w:val="000000" w:themeColor="text1"/>
                <w:lang w:val="mn-MN"/>
              </w:rPr>
            </w:pPr>
            <w:r w:rsidRPr="00E21DA3">
              <w:rPr>
                <w:rFonts w:ascii="Arial" w:hAnsi="Arial" w:cs="Arial"/>
                <w:iCs/>
                <w:color w:val="000000" w:themeColor="text1"/>
                <w:lang w:val="mn-MN"/>
              </w:rPr>
              <w:t>Шаардлага хангасан эсэх</w:t>
            </w:r>
          </w:p>
        </w:tc>
      </w:tr>
      <w:tr w:rsidR="00470463" w:rsidRPr="00E21DA3" w14:paraId="6B90CA9F" w14:textId="77777777" w:rsidTr="00470463">
        <w:tc>
          <w:tcPr>
            <w:tcW w:w="1165" w:type="dxa"/>
          </w:tcPr>
          <w:p w14:paraId="53D34F96" w14:textId="3DDFA078"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1.</w:t>
            </w:r>
          </w:p>
        </w:tc>
        <w:tc>
          <w:tcPr>
            <w:tcW w:w="5487" w:type="dxa"/>
          </w:tcPr>
          <w:p w14:paraId="309093B4" w14:textId="7E1DAF19"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30.1.1.Монгол Улсын Үндсэн хууль, бусад хуульд хэрэглэсэн нэр томьёог хэрэглэх;</w:t>
            </w:r>
          </w:p>
        </w:tc>
        <w:tc>
          <w:tcPr>
            <w:tcW w:w="2430" w:type="dxa"/>
          </w:tcPr>
          <w:p w14:paraId="357F313D" w14:textId="77777777" w:rsidR="00470463" w:rsidRPr="00E21DA3" w:rsidRDefault="00470463" w:rsidP="00214559">
            <w:pPr>
              <w:jc w:val="both"/>
              <w:rPr>
                <w:rFonts w:ascii="Arial" w:hAnsi="Arial" w:cs="Arial"/>
                <w:i/>
                <w:color w:val="000000" w:themeColor="text1"/>
                <w:lang w:val="mn-MN"/>
              </w:rPr>
            </w:pPr>
            <w:r w:rsidRPr="00E21DA3">
              <w:rPr>
                <w:rFonts w:ascii="Arial" w:hAnsi="Arial" w:cs="Arial"/>
                <w:color w:val="000000" w:themeColor="text1"/>
                <w:lang w:val="mn-MN"/>
              </w:rPr>
              <w:t>Шаардлага хангасан.</w:t>
            </w:r>
          </w:p>
        </w:tc>
      </w:tr>
      <w:tr w:rsidR="00470463" w:rsidRPr="00E21DA3" w14:paraId="4F1E8175" w14:textId="77777777" w:rsidTr="00470463">
        <w:tc>
          <w:tcPr>
            <w:tcW w:w="1165" w:type="dxa"/>
          </w:tcPr>
          <w:p w14:paraId="7A1308FE" w14:textId="471BF5E2"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2.</w:t>
            </w:r>
          </w:p>
        </w:tc>
        <w:tc>
          <w:tcPr>
            <w:tcW w:w="5487" w:type="dxa"/>
          </w:tcPr>
          <w:p w14:paraId="2CBA3152" w14:textId="6CA110EB"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30.1.2.нэг нэр томьёогоор өөр өөр ойлголтыг илэрхийлэхгүй байх;</w:t>
            </w:r>
          </w:p>
        </w:tc>
        <w:tc>
          <w:tcPr>
            <w:tcW w:w="2430" w:type="dxa"/>
          </w:tcPr>
          <w:p w14:paraId="7E02DE7E" w14:textId="77777777"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470463" w:rsidRPr="00E21DA3" w14:paraId="681FF1D7" w14:textId="77777777" w:rsidTr="00470463">
        <w:tc>
          <w:tcPr>
            <w:tcW w:w="1165" w:type="dxa"/>
          </w:tcPr>
          <w:p w14:paraId="7049A207" w14:textId="16B4B439"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w:t>
            </w:r>
          </w:p>
        </w:tc>
        <w:tc>
          <w:tcPr>
            <w:tcW w:w="5487" w:type="dxa"/>
          </w:tcPr>
          <w:p w14:paraId="60593EBE" w14:textId="474D01C4"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30.1.3.үг хэллэгийг монгол хэл бичгийн дүрэмд нийцүүлэн хоёрдмол утгагүй товч, тодорхой, ойлгоход хялбараар бичих;</w:t>
            </w:r>
          </w:p>
        </w:tc>
        <w:tc>
          <w:tcPr>
            <w:tcW w:w="2430" w:type="dxa"/>
          </w:tcPr>
          <w:p w14:paraId="5AC8E5AD" w14:textId="77777777"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Шаардлага хангасан.</w:t>
            </w:r>
          </w:p>
        </w:tc>
      </w:tr>
      <w:tr w:rsidR="00470463" w:rsidRPr="00E21DA3" w14:paraId="3D1E2239" w14:textId="77777777" w:rsidTr="00470463">
        <w:tc>
          <w:tcPr>
            <w:tcW w:w="1165" w:type="dxa"/>
          </w:tcPr>
          <w:p w14:paraId="6898A92A" w14:textId="2D72AF5F"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4.</w:t>
            </w:r>
          </w:p>
        </w:tc>
        <w:tc>
          <w:tcPr>
            <w:tcW w:w="5487" w:type="dxa"/>
          </w:tcPr>
          <w:p w14:paraId="2C8DB6B3" w14:textId="53D9E0FA"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30.1.4.хүч оруулсан нэр томьёо хэрэглэхгүй байх;</w:t>
            </w:r>
          </w:p>
        </w:tc>
        <w:tc>
          <w:tcPr>
            <w:tcW w:w="2430" w:type="dxa"/>
          </w:tcPr>
          <w:p w14:paraId="53A6B297" w14:textId="77777777"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470463" w:rsidRPr="00E21DA3" w14:paraId="3E4EAC63" w14:textId="77777777" w:rsidTr="00470463">
        <w:tc>
          <w:tcPr>
            <w:tcW w:w="1165" w:type="dxa"/>
          </w:tcPr>
          <w:p w14:paraId="37B9A980" w14:textId="23BE9FFD"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5.</w:t>
            </w:r>
          </w:p>
        </w:tc>
        <w:tc>
          <w:tcPr>
            <w:tcW w:w="5487" w:type="dxa"/>
          </w:tcPr>
          <w:p w14:paraId="4813B69A" w14:textId="439EA200"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30.1.5.жинхэнэ нэрийг ганц тоон дээр хэрэглэх.</w:t>
            </w:r>
          </w:p>
        </w:tc>
        <w:tc>
          <w:tcPr>
            <w:tcW w:w="2430" w:type="dxa"/>
          </w:tcPr>
          <w:p w14:paraId="3751203E" w14:textId="77777777" w:rsidR="00470463" w:rsidRPr="00E21DA3" w:rsidRDefault="00470463" w:rsidP="00214559">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bl>
    <w:p w14:paraId="7BCE9786" w14:textId="7B876BE5" w:rsidR="00CB332A" w:rsidRPr="00E21DA3" w:rsidRDefault="00F81377"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p>
    <w:p w14:paraId="77BB76C8" w14:textId="75475666" w:rsidR="00CB332A" w:rsidRPr="00E21DA3" w:rsidRDefault="00AB412B" w:rsidP="00CB332A">
      <w:pPr>
        <w:spacing w:line="276" w:lineRule="auto"/>
        <w:ind w:firstLine="720"/>
        <w:jc w:val="both"/>
        <w:rPr>
          <w:rFonts w:ascii="Arial" w:hAnsi="Arial" w:cs="Arial"/>
          <w:b/>
          <w:bCs/>
          <w:sz w:val="24"/>
          <w:szCs w:val="24"/>
          <w:lang w:val="mn-MN"/>
        </w:rPr>
      </w:pPr>
      <w:r w:rsidRPr="00E21DA3">
        <w:rPr>
          <w:rFonts w:ascii="Arial" w:hAnsi="Arial" w:cs="Arial"/>
          <w:b/>
          <w:bCs/>
          <w:sz w:val="24"/>
          <w:szCs w:val="24"/>
          <w:lang w:val="mn-MN"/>
        </w:rPr>
        <w:lastRenderedPageBreak/>
        <w:t xml:space="preserve"> </w:t>
      </w:r>
      <w:r w:rsidR="00CB332A" w:rsidRPr="00E21DA3">
        <w:rPr>
          <w:rFonts w:ascii="Arial" w:hAnsi="Arial" w:cs="Arial"/>
          <w:b/>
          <w:bCs/>
          <w:sz w:val="24"/>
          <w:szCs w:val="24"/>
          <w:lang w:val="mn-MN"/>
        </w:rPr>
        <w:t>“Хуулийн төслийн уялдаа холбоог шалгах” шалгуур үзүүлэлтийн хүрээнд хийсэн үнэлгээ:</w:t>
      </w:r>
    </w:p>
    <w:p w14:paraId="6DC8C1CD" w14:textId="42D2B0C3" w:rsidR="00CB332A" w:rsidRPr="00E21DA3" w:rsidRDefault="00CB332A"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w:t>
      </w:r>
      <w:r w:rsidR="00CF6727" w:rsidRPr="00E21DA3">
        <w:rPr>
          <w:rFonts w:ascii="Arial" w:hAnsi="Arial" w:cs="Arial"/>
          <w:sz w:val="24"/>
          <w:szCs w:val="24"/>
          <w:lang w:val="mn-MN"/>
        </w:rPr>
        <w:t>зорилоо</w:t>
      </w:r>
      <w:r w:rsidRPr="00E21DA3">
        <w:rPr>
          <w:rFonts w:ascii="Arial" w:hAnsi="Arial" w:cs="Arial"/>
          <w:sz w:val="24"/>
          <w:szCs w:val="24"/>
          <w:lang w:val="mn-MN"/>
        </w:rPr>
        <w:t xml:space="preserve">. </w:t>
      </w:r>
      <w:r w:rsidR="006C60BF" w:rsidRPr="00E21DA3">
        <w:rPr>
          <w:rFonts w:ascii="Arial" w:hAnsi="Arial" w:cs="Arial"/>
          <w:sz w:val="24"/>
          <w:szCs w:val="24"/>
          <w:lang w:val="mn-MN"/>
        </w:rPr>
        <w:t xml:space="preserve"> Үүнд</w:t>
      </w:r>
      <w:r w:rsidR="005A6C3A" w:rsidRPr="00E21DA3">
        <w:rPr>
          <w:rFonts w:ascii="Arial" w:hAnsi="Arial" w:cs="Arial"/>
          <w:sz w:val="24"/>
          <w:szCs w:val="24"/>
          <w:lang w:val="mn-MN"/>
        </w:rPr>
        <w:t>:</w:t>
      </w:r>
      <w:r w:rsidRPr="00E21DA3">
        <w:rPr>
          <w:rFonts w:ascii="Arial" w:hAnsi="Arial" w:cs="Arial"/>
          <w:sz w:val="24"/>
          <w:szCs w:val="24"/>
          <w:lang w:val="mn-MN"/>
        </w:rPr>
        <w:t xml:space="preserve">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5A6C3A" w:rsidRPr="00E21DA3" w14:paraId="34F3F6AD" w14:textId="77777777" w:rsidTr="00D767AB">
        <w:tc>
          <w:tcPr>
            <w:tcW w:w="606" w:type="dxa"/>
          </w:tcPr>
          <w:p w14:paraId="31B148D2" w14:textId="77777777" w:rsidR="005A6C3A" w:rsidRPr="00E21DA3" w:rsidRDefault="005A6C3A" w:rsidP="00D767AB">
            <w:pPr>
              <w:jc w:val="center"/>
              <w:rPr>
                <w:rFonts w:ascii="Arial" w:hAnsi="Arial" w:cs="Arial"/>
                <w:b/>
                <w:color w:val="000000" w:themeColor="text1"/>
                <w:lang w:val="mn-MN"/>
              </w:rPr>
            </w:pPr>
            <w:r w:rsidRPr="00E21DA3">
              <w:rPr>
                <w:rFonts w:ascii="Arial" w:hAnsi="Arial" w:cs="Arial"/>
                <w:b/>
                <w:color w:val="000000" w:themeColor="text1"/>
                <w:lang w:val="mn-MN"/>
              </w:rPr>
              <w:t>Д/д</w:t>
            </w:r>
          </w:p>
        </w:tc>
        <w:tc>
          <w:tcPr>
            <w:tcW w:w="5314" w:type="dxa"/>
          </w:tcPr>
          <w:p w14:paraId="79435F86" w14:textId="77777777" w:rsidR="005A6C3A" w:rsidRPr="00E21DA3" w:rsidRDefault="005A6C3A" w:rsidP="00D767AB">
            <w:pPr>
              <w:jc w:val="center"/>
              <w:rPr>
                <w:rFonts w:ascii="Arial" w:hAnsi="Arial" w:cs="Arial"/>
                <w:b/>
                <w:color w:val="000000" w:themeColor="text1"/>
                <w:lang w:val="mn-MN"/>
              </w:rPr>
            </w:pPr>
            <w:r w:rsidRPr="00E21DA3">
              <w:rPr>
                <w:rFonts w:ascii="Arial" w:hAnsi="Arial" w:cs="Arial"/>
                <w:b/>
                <w:color w:val="000000" w:themeColor="text1"/>
                <w:lang w:val="mn-MN"/>
              </w:rPr>
              <w:t>Асуулт</w:t>
            </w:r>
          </w:p>
        </w:tc>
        <w:tc>
          <w:tcPr>
            <w:tcW w:w="3571" w:type="dxa"/>
          </w:tcPr>
          <w:p w14:paraId="28B4A393" w14:textId="77777777" w:rsidR="005A6C3A" w:rsidRPr="00E21DA3" w:rsidRDefault="005A6C3A" w:rsidP="00D767AB">
            <w:pPr>
              <w:jc w:val="center"/>
              <w:rPr>
                <w:rFonts w:ascii="Arial" w:hAnsi="Arial" w:cs="Arial"/>
                <w:b/>
                <w:color w:val="000000" w:themeColor="text1"/>
                <w:lang w:val="mn-MN"/>
              </w:rPr>
            </w:pPr>
            <w:r w:rsidRPr="00E21DA3">
              <w:rPr>
                <w:rFonts w:ascii="Arial" w:hAnsi="Arial" w:cs="Arial"/>
                <w:b/>
                <w:color w:val="000000" w:themeColor="text1"/>
                <w:lang w:val="mn-MN"/>
              </w:rPr>
              <w:t>Хариулт буюу дүн шинжилгээ</w:t>
            </w:r>
          </w:p>
        </w:tc>
      </w:tr>
      <w:tr w:rsidR="005A6C3A" w:rsidRPr="00E21DA3" w14:paraId="2A52D852" w14:textId="77777777" w:rsidTr="00D767AB">
        <w:tc>
          <w:tcPr>
            <w:tcW w:w="606" w:type="dxa"/>
          </w:tcPr>
          <w:p w14:paraId="0E4B0E23" w14:textId="77777777" w:rsidR="005A6C3A" w:rsidRPr="00E21DA3" w:rsidRDefault="005A6C3A" w:rsidP="00D767AB">
            <w:pPr>
              <w:jc w:val="both"/>
              <w:rPr>
                <w:rFonts w:ascii="Arial" w:hAnsi="Arial" w:cs="Arial"/>
                <w:color w:val="000000" w:themeColor="text1"/>
                <w:lang w:val="mn-MN"/>
              </w:rPr>
            </w:pPr>
          </w:p>
          <w:p w14:paraId="706A0C89"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w:t>
            </w:r>
          </w:p>
        </w:tc>
        <w:tc>
          <w:tcPr>
            <w:tcW w:w="5314" w:type="dxa"/>
          </w:tcPr>
          <w:p w14:paraId="2F6FC9F9"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Хуулийн төслийн зохицуулалт тухайн хуулийн зорилттой нийцэж байгаа эсэх;</w:t>
            </w:r>
          </w:p>
        </w:tc>
        <w:tc>
          <w:tcPr>
            <w:tcW w:w="3571" w:type="dxa"/>
          </w:tcPr>
          <w:p w14:paraId="6EA4260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Нийцэж байгаа </w:t>
            </w:r>
          </w:p>
        </w:tc>
      </w:tr>
      <w:tr w:rsidR="005A6C3A" w:rsidRPr="00E21DA3" w14:paraId="71FA0240" w14:textId="77777777" w:rsidTr="00D767AB">
        <w:tc>
          <w:tcPr>
            <w:tcW w:w="606" w:type="dxa"/>
          </w:tcPr>
          <w:p w14:paraId="4741814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2</w:t>
            </w:r>
          </w:p>
        </w:tc>
        <w:tc>
          <w:tcPr>
            <w:tcW w:w="5314" w:type="dxa"/>
          </w:tcPr>
          <w:p w14:paraId="37086EAF"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хуулийн төсөлд тодорхойлсон нэр томьёо </w:t>
            </w:r>
            <w:r w:rsidRPr="00E21DA3">
              <w:rPr>
                <w:rFonts w:ascii="Arial" w:hAnsi="Arial" w:cs="Arial"/>
                <w:bCs/>
                <w:iCs/>
                <w:color w:val="000000" w:themeColor="text1"/>
                <w:lang w:val="mn-MN"/>
              </w:rPr>
              <w:t>тухайн хуулийн</w:t>
            </w:r>
            <w:r w:rsidRPr="00E21DA3">
              <w:rPr>
                <w:rFonts w:ascii="Arial" w:hAnsi="Arial" w:cs="Arial"/>
                <w:color w:val="000000" w:themeColor="text1"/>
                <w:lang w:val="mn-MN"/>
              </w:rPr>
              <w:t xml:space="preserve"> төслийн болон бусад хуулийн нэр томьёотой нийцэж байгаа эсэх;</w:t>
            </w:r>
          </w:p>
          <w:p w14:paraId="598B01C5" w14:textId="77777777" w:rsidR="005A6C3A" w:rsidRPr="00E21DA3" w:rsidRDefault="005A6C3A" w:rsidP="00D767AB">
            <w:pPr>
              <w:jc w:val="both"/>
              <w:rPr>
                <w:rFonts w:ascii="Arial" w:hAnsi="Arial" w:cs="Arial"/>
                <w:bCs/>
                <w:color w:val="000000" w:themeColor="text1"/>
                <w:lang w:val="mn-MN"/>
              </w:rPr>
            </w:pPr>
          </w:p>
        </w:tc>
        <w:tc>
          <w:tcPr>
            <w:tcW w:w="3571" w:type="dxa"/>
          </w:tcPr>
          <w:p w14:paraId="44CFC65F"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Шаардлага хангасан. </w:t>
            </w:r>
          </w:p>
        </w:tc>
      </w:tr>
      <w:tr w:rsidR="005A6C3A" w:rsidRPr="00E21DA3" w14:paraId="67996359" w14:textId="77777777" w:rsidTr="00D767AB">
        <w:tc>
          <w:tcPr>
            <w:tcW w:w="606" w:type="dxa"/>
          </w:tcPr>
          <w:p w14:paraId="1F3545FE"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3</w:t>
            </w:r>
          </w:p>
        </w:tc>
        <w:tc>
          <w:tcPr>
            <w:tcW w:w="5314" w:type="dxa"/>
          </w:tcPr>
          <w:p w14:paraId="59CAD4BF"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bCs/>
                <w:iCs/>
                <w:color w:val="000000" w:themeColor="text1"/>
                <w:lang w:val="mn-MN"/>
              </w:rPr>
              <w:t>хуулийн төслийн зүйл, заалт тухайн хуулийн төсөл болон бусад хуулийн заалттай нийцэж байгаа эсэх</w:t>
            </w:r>
            <w:r w:rsidRPr="00E21DA3">
              <w:rPr>
                <w:rFonts w:ascii="Arial" w:hAnsi="Arial" w:cs="Arial"/>
                <w:color w:val="000000" w:themeColor="text1"/>
                <w:lang w:val="mn-MN"/>
              </w:rPr>
              <w:t>;</w:t>
            </w:r>
          </w:p>
        </w:tc>
        <w:tc>
          <w:tcPr>
            <w:tcW w:w="3571" w:type="dxa"/>
          </w:tcPr>
          <w:p w14:paraId="55509B6C"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Нийцэж байгаа.</w:t>
            </w:r>
          </w:p>
          <w:p w14:paraId="106757A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 </w:t>
            </w:r>
          </w:p>
        </w:tc>
      </w:tr>
      <w:tr w:rsidR="005A6C3A" w:rsidRPr="00E21DA3" w14:paraId="6F3AF828" w14:textId="77777777" w:rsidTr="00D767AB">
        <w:tc>
          <w:tcPr>
            <w:tcW w:w="606" w:type="dxa"/>
          </w:tcPr>
          <w:p w14:paraId="02853F74"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5</w:t>
            </w:r>
          </w:p>
        </w:tc>
        <w:tc>
          <w:tcPr>
            <w:tcW w:w="5314" w:type="dxa"/>
          </w:tcPr>
          <w:p w14:paraId="4CDFEAC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bCs/>
                <w:iCs/>
                <w:color w:val="000000" w:themeColor="text1"/>
                <w:lang w:val="mn-MN"/>
              </w:rPr>
              <w:t>хуулийн төслийн зүйл, заалт тухайн хуулийн төслийн болон бусад хуулийн заалттай давхардсан эсэх;</w:t>
            </w:r>
          </w:p>
        </w:tc>
        <w:tc>
          <w:tcPr>
            <w:tcW w:w="3571" w:type="dxa"/>
          </w:tcPr>
          <w:p w14:paraId="453DCEFF"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Давхардсан зүйлгүй. </w:t>
            </w:r>
          </w:p>
        </w:tc>
      </w:tr>
      <w:tr w:rsidR="005A6C3A" w:rsidRPr="00E21DA3" w14:paraId="1738ED2B" w14:textId="77777777" w:rsidTr="00D767AB">
        <w:trPr>
          <w:trHeight w:val="841"/>
        </w:trPr>
        <w:tc>
          <w:tcPr>
            <w:tcW w:w="606" w:type="dxa"/>
          </w:tcPr>
          <w:p w14:paraId="444F0979"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6</w:t>
            </w:r>
          </w:p>
        </w:tc>
        <w:tc>
          <w:tcPr>
            <w:tcW w:w="5314" w:type="dxa"/>
          </w:tcPr>
          <w:p w14:paraId="272B3303"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bCs/>
                <w:iCs/>
                <w:color w:val="000000" w:themeColor="text1"/>
                <w:lang w:val="mn-MN"/>
              </w:rPr>
              <w:t>хуулийн төсөлд шаардлагатай зохицуулалтыг орхигдуулсан эсэх</w:t>
            </w:r>
            <w:r w:rsidRPr="00E21DA3">
              <w:rPr>
                <w:rFonts w:ascii="Arial" w:hAnsi="Arial" w:cs="Arial"/>
                <w:color w:val="000000" w:themeColor="text1"/>
                <w:lang w:val="mn-MN"/>
              </w:rPr>
              <w:t>;</w:t>
            </w:r>
          </w:p>
        </w:tc>
        <w:tc>
          <w:tcPr>
            <w:tcW w:w="3571" w:type="dxa"/>
          </w:tcPr>
          <w:p w14:paraId="3F50BB94"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66C6DF9E" w14:textId="77777777" w:rsidTr="00D767AB">
        <w:tc>
          <w:tcPr>
            <w:tcW w:w="606" w:type="dxa"/>
          </w:tcPr>
          <w:p w14:paraId="7DEF3A46"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7</w:t>
            </w:r>
          </w:p>
        </w:tc>
        <w:tc>
          <w:tcPr>
            <w:tcW w:w="5314" w:type="dxa"/>
          </w:tcPr>
          <w:p w14:paraId="5D9B7D59"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төрийн байгууллагын гүйцэтгэх чиг үүргийг давхардуулан тусгасан эсэх;</w:t>
            </w:r>
          </w:p>
        </w:tc>
        <w:tc>
          <w:tcPr>
            <w:tcW w:w="3571" w:type="dxa"/>
          </w:tcPr>
          <w:p w14:paraId="3124AB28"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6480CC48" w14:textId="77777777" w:rsidTr="00D767AB">
        <w:tc>
          <w:tcPr>
            <w:tcW w:w="606" w:type="dxa"/>
          </w:tcPr>
          <w:p w14:paraId="767D922D"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8</w:t>
            </w:r>
          </w:p>
        </w:tc>
        <w:tc>
          <w:tcPr>
            <w:tcW w:w="5314" w:type="dxa"/>
          </w:tcPr>
          <w:p w14:paraId="4A5DCA20"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3571" w:type="dxa"/>
          </w:tcPr>
          <w:p w14:paraId="0B1FF82F"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47E2F142" w14:textId="77777777" w:rsidTr="00D767AB">
        <w:tc>
          <w:tcPr>
            <w:tcW w:w="606" w:type="dxa"/>
          </w:tcPr>
          <w:p w14:paraId="3C29E29D"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9</w:t>
            </w:r>
          </w:p>
        </w:tc>
        <w:tc>
          <w:tcPr>
            <w:tcW w:w="5314" w:type="dxa"/>
          </w:tcPr>
          <w:p w14:paraId="2DE76F90"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3571" w:type="dxa"/>
          </w:tcPr>
          <w:p w14:paraId="22AFA894"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Хуулийн төсөлд татвар, төлбөр хураамжийн асуудал тусгагдаагүй. </w:t>
            </w:r>
          </w:p>
        </w:tc>
      </w:tr>
      <w:tr w:rsidR="005A6C3A" w:rsidRPr="00E21DA3" w14:paraId="7866B0CB" w14:textId="77777777" w:rsidTr="00D767AB">
        <w:tc>
          <w:tcPr>
            <w:tcW w:w="606" w:type="dxa"/>
          </w:tcPr>
          <w:p w14:paraId="684E535B"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10</w:t>
            </w:r>
          </w:p>
        </w:tc>
        <w:tc>
          <w:tcPr>
            <w:tcW w:w="5314" w:type="dxa"/>
          </w:tcPr>
          <w:p w14:paraId="1FE0B6DB"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14:paraId="0AD3BF83"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Хуулийн төсөлд аж ахуйн үйл ажиллагааны тусгай зөвшөөрөлтэй холбоотой зохицуулалт тусгагдаагүй.</w:t>
            </w:r>
          </w:p>
        </w:tc>
      </w:tr>
      <w:tr w:rsidR="005A6C3A" w:rsidRPr="00E21DA3" w14:paraId="4E343AAD" w14:textId="77777777" w:rsidTr="00D767AB">
        <w:tc>
          <w:tcPr>
            <w:tcW w:w="606" w:type="dxa"/>
          </w:tcPr>
          <w:p w14:paraId="16996265"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11</w:t>
            </w:r>
          </w:p>
        </w:tc>
        <w:tc>
          <w:tcPr>
            <w:tcW w:w="5314" w:type="dxa"/>
          </w:tcPr>
          <w:p w14:paraId="15607FE8"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14:paraId="32179823"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1EBD8CE2" w14:textId="77777777" w:rsidTr="00D767AB">
        <w:tc>
          <w:tcPr>
            <w:tcW w:w="606" w:type="dxa"/>
          </w:tcPr>
          <w:p w14:paraId="44BBCF05"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12</w:t>
            </w:r>
          </w:p>
        </w:tc>
        <w:tc>
          <w:tcPr>
            <w:tcW w:w="5314" w:type="dxa"/>
          </w:tcPr>
          <w:p w14:paraId="7401DA4A"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хуулийн төслийн зүйл, заалт жендэрийн эрх тэгш байдлыг хангасан эсэх;</w:t>
            </w:r>
          </w:p>
        </w:tc>
        <w:tc>
          <w:tcPr>
            <w:tcW w:w="3571" w:type="dxa"/>
          </w:tcPr>
          <w:p w14:paraId="0620432B"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 xml:space="preserve">Хуулийн төсөл нь жендерийн эрх тэгш байдлын асуудлыг хөндөөгүй. </w:t>
            </w:r>
          </w:p>
        </w:tc>
      </w:tr>
      <w:tr w:rsidR="005A6C3A" w:rsidRPr="00E21DA3" w14:paraId="2A5120C4" w14:textId="77777777" w:rsidTr="00D767AB">
        <w:trPr>
          <w:trHeight w:val="563"/>
        </w:trPr>
        <w:tc>
          <w:tcPr>
            <w:tcW w:w="606" w:type="dxa"/>
          </w:tcPr>
          <w:p w14:paraId="68D27FC8"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13</w:t>
            </w:r>
          </w:p>
        </w:tc>
        <w:tc>
          <w:tcPr>
            <w:tcW w:w="5314" w:type="dxa"/>
          </w:tcPr>
          <w:p w14:paraId="6E7D1902"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шударга бус өрсөлдөөнийг бий болгоход чиглэсэн заалт тусгагдсан эсэх;</w:t>
            </w:r>
          </w:p>
        </w:tc>
        <w:tc>
          <w:tcPr>
            <w:tcW w:w="3571" w:type="dxa"/>
          </w:tcPr>
          <w:p w14:paraId="50355D82"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20E4FADD" w14:textId="77777777" w:rsidTr="00D767AB">
        <w:tc>
          <w:tcPr>
            <w:tcW w:w="606" w:type="dxa"/>
          </w:tcPr>
          <w:p w14:paraId="0562BF32"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lastRenderedPageBreak/>
              <w:t>14</w:t>
            </w:r>
          </w:p>
        </w:tc>
        <w:tc>
          <w:tcPr>
            <w:tcW w:w="5314" w:type="dxa"/>
          </w:tcPr>
          <w:p w14:paraId="384D9949"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авлига, хүнд суртлыг бий болгоход чиглэсэн заалт тусгагдсан эсэх;</w:t>
            </w:r>
          </w:p>
        </w:tc>
        <w:tc>
          <w:tcPr>
            <w:tcW w:w="3571" w:type="dxa"/>
          </w:tcPr>
          <w:p w14:paraId="13FE613C"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Үгүй.</w:t>
            </w:r>
          </w:p>
        </w:tc>
      </w:tr>
      <w:tr w:rsidR="005A6C3A" w:rsidRPr="00E21DA3" w14:paraId="6C6655D6" w14:textId="77777777" w:rsidTr="00D767AB">
        <w:tc>
          <w:tcPr>
            <w:tcW w:w="606" w:type="dxa"/>
          </w:tcPr>
          <w:p w14:paraId="0B78AF61"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15</w:t>
            </w:r>
          </w:p>
        </w:tc>
        <w:tc>
          <w:tcPr>
            <w:tcW w:w="5314" w:type="dxa"/>
          </w:tcPr>
          <w:p w14:paraId="2FECCD78" w14:textId="77777777" w:rsidR="005A6C3A" w:rsidRPr="00E21DA3" w:rsidRDefault="005A6C3A" w:rsidP="00D767AB">
            <w:pPr>
              <w:jc w:val="both"/>
              <w:rPr>
                <w:rFonts w:ascii="Arial" w:hAnsi="Arial" w:cs="Arial"/>
                <w:bCs/>
                <w:color w:val="000000" w:themeColor="text1"/>
                <w:lang w:val="mn-MN"/>
              </w:rPr>
            </w:pPr>
            <w:r w:rsidRPr="00E21DA3">
              <w:rPr>
                <w:rFonts w:ascii="Arial" w:hAnsi="Arial" w:cs="Arial"/>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tc>
        <w:tc>
          <w:tcPr>
            <w:tcW w:w="3571" w:type="dxa"/>
          </w:tcPr>
          <w:p w14:paraId="2A933509" w14:textId="77777777" w:rsidR="005A6C3A" w:rsidRPr="00E21DA3" w:rsidRDefault="005A6C3A" w:rsidP="00D767AB">
            <w:pPr>
              <w:jc w:val="both"/>
              <w:rPr>
                <w:rFonts w:ascii="Arial" w:hAnsi="Arial" w:cs="Arial"/>
                <w:color w:val="000000" w:themeColor="text1"/>
                <w:lang w:val="mn-MN"/>
              </w:rPr>
            </w:pPr>
            <w:r w:rsidRPr="00E21DA3">
              <w:rPr>
                <w:rFonts w:ascii="Arial" w:hAnsi="Arial" w:cs="Arial"/>
                <w:color w:val="000000" w:themeColor="text1"/>
                <w:lang w:val="mn-MN"/>
              </w:rPr>
              <w:t>Хуулийн төсөлд хориглосон хэм хэмжээ тусгаагүй тул шаардлагагүй.</w:t>
            </w:r>
          </w:p>
        </w:tc>
      </w:tr>
    </w:tbl>
    <w:p w14:paraId="13BB6532" w14:textId="25EEFADA" w:rsidR="00CB332A" w:rsidRPr="00E21DA3" w:rsidRDefault="006C60BF" w:rsidP="00CB332A">
      <w:pPr>
        <w:spacing w:line="276" w:lineRule="auto"/>
        <w:ind w:firstLine="720"/>
        <w:jc w:val="both"/>
        <w:rPr>
          <w:rFonts w:ascii="Arial" w:hAnsi="Arial" w:cs="Arial"/>
          <w:sz w:val="24"/>
          <w:szCs w:val="24"/>
          <w:lang w:val="mn-MN"/>
        </w:rPr>
      </w:pPr>
      <w:r w:rsidRPr="00E21DA3">
        <w:rPr>
          <w:rFonts w:ascii="Arial" w:hAnsi="Arial" w:cs="Arial"/>
          <w:sz w:val="24"/>
          <w:szCs w:val="24"/>
          <w:lang w:val="mn-MN"/>
        </w:rPr>
        <w:t xml:space="preserve"> </w:t>
      </w:r>
    </w:p>
    <w:p w14:paraId="2368FFC5" w14:textId="77777777" w:rsidR="00CB332A" w:rsidRPr="00FB672E" w:rsidRDefault="00CB332A" w:rsidP="00CB332A">
      <w:pPr>
        <w:spacing w:line="276" w:lineRule="auto"/>
        <w:ind w:firstLine="720"/>
        <w:jc w:val="both"/>
        <w:rPr>
          <w:rFonts w:ascii="Arial" w:hAnsi="Arial" w:cs="Arial"/>
          <w:b/>
          <w:bCs/>
          <w:sz w:val="24"/>
          <w:szCs w:val="24"/>
          <w:lang w:val="mn-MN"/>
        </w:rPr>
      </w:pPr>
      <w:r w:rsidRPr="00FB672E">
        <w:rPr>
          <w:rFonts w:ascii="Arial" w:hAnsi="Arial" w:cs="Arial"/>
          <w:b/>
          <w:bCs/>
          <w:sz w:val="24"/>
          <w:szCs w:val="24"/>
          <w:lang w:val="mn-MN"/>
        </w:rPr>
        <w:t>ТАВ.ҮР ДҮНГ ҮНЭЛЖ, ЗӨВЛӨМЖ ӨГСӨН БАЙДАЛ</w:t>
      </w:r>
    </w:p>
    <w:p w14:paraId="06DB2109" w14:textId="1F98642E" w:rsidR="00FB672E" w:rsidRPr="00FB672E" w:rsidRDefault="00FB672E" w:rsidP="00FB672E">
      <w:pPr>
        <w:spacing w:line="276" w:lineRule="auto"/>
        <w:ind w:firstLine="720"/>
        <w:jc w:val="both"/>
        <w:rPr>
          <w:rFonts w:ascii="Arial" w:hAnsi="Arial" w:cs="Arial"/>
          <w:b/>
          <w:bCs/>
          <w:sz w:val="24"/>
          <w:szCs w:val="24"/>
          <w:lang w:val="mn-MN"/>
        </w:rPr>
      </w:pPr>
      <w:r>
        <w:rPr>
          <w:rFonts w:ascii="Arial" w:hAnsi="Arial" w:cs="Arial"/>
          <w:sz w:val="24"/>
          <w:szCs w:val="24"/>
          <w:lang w:val="mn-MN"/>
        </w:rPr>
        <w:t xml:space="preserve"> </w:t>
      </w:r>
      <w:r w:rsidRPr="00FB672E">
        <w:rPr>
          <w:rFonts w:ascii="Arial" w:hAnsi="Arial" w:cs="Arial"/>
          <w:b/>
          <w:bCs/>
          <w:sz w:val="24"/>
          <w:szCs w:val="24"/>
          <w:lang w:val="mn-MN"/>
        </w:rPr>
        <w:t>Хуулийн төслийн үр дүнгийн үнэлгээ:</w:t>
      </w:r>
    </w:p>
    <w:p w14:paraId="1F8EFDC2"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Шударга, ил тод үнэлгээний баталгаажуулалт</w:t>
      </w:r>
    </w:p>
    <w:p w14:paraId="4BA9CAC0"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Хуулийн төсөлд шүүгчид нэр дэвшигчийн хууль зүйн мэдлэг, чадварыг хөндлөнгийн, хараат бус шинжээчээр үнэлэх зохицуулалт орсон нь үнэлгээний чанарыг дээшлүүлэх, нэг этгээдийн субьектив нөлөөг бууруулах ач холбогдолтой. Энэ нь сонгон шалгаруулалтын ил тод байдал, шударга байдлыг хангаж, шүүхийн нэр хүндийг нэмэгдүүлэх үр дүнтэй.</w:t>
      </w:r>
    </w:p>
    <w:p w14:paraId="4BD40855"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Олон нийтийн итгэлийг нэмэгдүүлэх</w:t>
      </w:r>
    </w:p>
    <w:p w14:paraId="205083E4"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Шинжээчдийн оролцоо, үнэлгээний процессын ил тод байдлыг хуульчилснаар олон нийтийн итгэл дээшилнэ. Иргэд шүүхийн шийдвэрийн шударга байдал, шүүгчийн мэргэшилд итгэлтэй болж, шүүхийн хараат бус байдлыг бодитоор мэдрэх нөхцөл бүрдэнэ.</w:t>
      </w:r>
    </w:p>
    <w:p w14:paraId="4BE08197"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Шүүх эрх мэдлийн хараат бус байдлыг бэхжүүлэх</w:t>
      </w:r>
    </w:p>
    <w:p w14:paraId="7ED86DCB"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Хөндлөнгийн шинжээч оролцуулах зохицуулалт нь шүүх эрх мэдлийг гүйцэтгэх засаглалаас хараат бус байлгах, шүүхийн бие даасан ажиллагааг дэмжих үр дүнтэй. Ингэснээр шүүхийн шийдвэр гаргах процессын утга учир, хараат бус байдал баталгаажина.</w:t>
      </w:r>
    </w:p>
    <w:p w14:paraId="4FF9132F"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Мэргэшсэн хүний нөөцийг татах</w:t>
      </w:r>
    </w:p>
    <w:p w14:paraId="2161D774"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Шинжээчдэд урамшуулал олгох зохицуулалт нь мэргэшсэн хуульч, шүүгчдийг үнэлгээнд оролцуулах боломж бий болгож, үнэлгээний чанар, бодитой байдалд эерэг нөлөө үзүүлнэ.</w:t>
      </w:r>
    </w:p>
    <w:p w14:paraId="41934DC4"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Олон улсын жишигт нийцсэн зохицуулалт</w:t>
      </w:r>
    </w:p>
    <w:p w14:paraId="4B1B1CC3"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Хөндлөнгийн, олон гишүүнтэй үнэлгээ, ил тод, стандартчилсан шалгуур, олон эх сурвалжид тулгуурласан үнэлгээний зарчим нь Их Британи, Герман, Франц, БНСУ зэрэг орнуудын шүүхийн үнэлгээний туршлагатай нийцэж байна. Энэ нь Монгол Улсын шүүхийн сонгон шалгаруулалтын тогтолцоог олон улсын стандарттай нийцүүлэх эерэг үр дүнтэй.</w:t>
      </w:r>
    </w:p>
    <w:p w14:paraId="6A2B4665" w14:textId="3447FF98" w:rsidR="00FB672E" w:rsidRPr="00FB672E" w:rsidRDefault="00FB672E" w:rsidP="00FB672E">
      <w:pPr>
        <w:spacing w:line="276" w:lineRule="auto"/>
        <w:ind w:firstLine="720"/>
        <w:jc w:val="both"/>
        <w:rPr>
          <w:rFonts w:ascii="Arial" w:hAnsi="Arial" w:cs="Arial"/>
          <w:b/>
          <w:bCs/>
          <w:sz w:val="24"/>
          <w:szCs w:val="24"/>
          <w:lang w:val="mn-MN"/>
        </w:rPr>
      </w:pPr>
      <w:r w:rsidRPr="00FB672E">
        <w:rPr>
          <w:rFonts w:ascii="Arial" w:hAnsi="Arial" w:cs="Arial"/>
          <w:b/>
          <w:bCs/>
          <w:sz w:val="24"/>
          <w:szCs w:val="24"/>
          <w:lang w:val="mn-MN"/>
        </w:rPr>
        <w:t>Зөвлөмж:</w:t>
      </w:r>
    </w:p>
    <w:p w14:paraId="19387D91" w14:textId="49253D9D"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Шинжээчдийн сонгон шалгаруулалтын ил тод байдал</w:t>
      </w:r>
      <w:r>
        <w:rPr>
          <w:rFonts w:ascii="Arial" w:hAnsi="Arial" w:cs="Arial"/>
          <w:sz w:val="24"/>
          <w:szCs w:val="24"/>
          <w:lang w:val="mn-MN"/>
        </w:rPr>
        <w:t>:</w:t>
      </w:r>
    </w:p>
    <w:p w14:paraId="2735D43B"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lastRenderedPageBreak/>
        <w:t>Шинжээчийг томилохдоо олон нийтэд ил тод зарлах, шалгалт авах салбарын мэргэшилтэй этгээдийг урилгаар оролцуулах зарчмыг баримтлах. Энэ нь ашиг сонирхлын зөрчлийг бууруулж, үнэлгээний бодитой байдлыг хангана.</w:t>
      </w:r>
    </w:p>
    <w:p w14:paraId="571BA9E2" w14:textId="34B9903E"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Үнэлгээний стандарт, аргачлалыг баталгаажуулах</w:t>
      </w:r>
      <w:r>
        <w:rPr>
          <w:rFonts w:ascii="Arial" w:hAnsi="Arial" w:cs="Arial"/>
          <w:sz w:val="24"/>
          <w:szCs w:val="24"/>
          <w:lang w:val="mn-MN"/>
        </w:rPr>
        <w:t>:</w:t>
      </w:r>
    </w:p>
    <w:p w14:paraId="5B5123C2"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Хөндлөнгийн шинжээчид үнэлгээ хийхдээ баримтлах стандартчилсан шалгуур, оноо өгөх аргачлалыг урьдчилан тогтоох. Ингэснээр үнэлгээний субьектив нөлөөг бууруулж, олон гишүүнтэй үнэлгээний дундаж аргаар бодитой үнэлэх боломжтой болно.</w:t>
      </w:r>
    </w:p>
    <w:p w14:paraId="52D5AF74" w14:textId="4DDF7D0E"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Шинжээчдийн ур чадвар, туршлагыг тогтоох</w:t>
      </w:r>
      <w:r>
        <w:rPr>
          <w:rFonts w:ascii="Arial" w:hAnsi="Arial" w:cs="Arial"/>
          <w:sz w:val="24"/>
          <w:szCs w:val="24"/>
          <w:lang w:val="mn-MN"/>
        </w:rPr>
        <w:t>:</w:t>
      </w:r>
    </w:p>
    <w:p w14:paraId="6AB8D725"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Хөндлөнгийн шинжээчдэд тавигдах шаардлага, мэргэшлийн түвшинг тодорхой, ил тод зааж өгөх. Энэ нь үнэлгээний чанарыг нэмэгдүүлж, шүүгчийн нэр дэвшигчийн мэдлэг чадварыг бодитоор үнэлэх нөхцөлийг бүрдүүлнэ.</w:t>
      </w:r>
    </w:p>
    <w:p w14:paraId="502296C2" w14:textId="11CD5675"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Үнэлгээний үр дүнг олон нийтэд тайлагнах механизм</w:t>
      </w:r>
      <w:r>
        <w:rPr>
          <w:rFonts w:ascii="Arial" w:hAnsi="Arial" w:cs="Arial"/>
          <w:sz w:val="24"/>
          <w:szCs w:val="24"/>
          <w:lang w:val="mn-MN"/>
        </w:rPr>
        <w:t>:</w:t>
      </w:r>
    </w:p>
    <w:p w14:paraId="59FE7507" w14:textId="7777777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Үнэлгээний дүн, шалгуур, үр дүнгийн товч тайланг олон нийтэд мэдээлэх. Ингэснээр шударга байдал, итгэл үнэмшил нэмэгдэж, шүүхийн хараат бус байдалд олон нийтийн итгэл батжина.</w:t>
      </w:r>
    </w:p>
    <w:p w14:paraId="11DC849B" w14:textId="0D7A8E37" w:rsidR="00FB672E" w:rsidRPr="00FB672E"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Төслийн хэрэгжилтийг хяналт, үнэлгээ хийх</w:t>
      </w:r>
      <w:r>
        <w:rPr>
          <w:rFonts w:ascii="Arial" w:hAnsi="Arial" w:cs="Arial"/>
          <w:sz w:val="24"/>
          <w:szCs w:val="24"/>
          <w:lang w:val="mn-MN"/>
        </w:rPr>
        <w:t>:</w:t>
      </w:r>
    </w:p>
    <w:p w14:paraId="547AD307" w14:textId="53D7F9D6" w:rsidR="00CB332A" w:rsidRPr="00E21DA3" w:rsidRDefault="00FB672E" w:rsidP="00FB672E">
      <w:pPr>
        <w:spacing w:line="276" w:lineRule="auto"/>
        <w:ind w:firstLine="720"/>
        <w:jc w:val="both"/>
        <w:rPr>
          <w:rFonts w:ascii="Arial" w:hAnsi="Arial" w:cs="Arial"/>
          <w:sz w:val="24"/>
          <w:szCs w:val="24"/>
          <w:lang w:val="mn-MN"/>
        </w:rPr>
      </w:pPr>
      <w:r w:rsidRPr="00FB672E">
        <w:rPr>
          <w:rFonts w:ascii="Arial" w:hAnsi="Arial" w:cs="Arial"/>
          <w:sz w:val="24"/>
          <w:szCs w:val="24"/>
          <w:lang w:val="mn-MN"/>
        </w:rPr>
        <w:t>Хуулийн төсөл батлагдсаны дараа хэрэгжилт, үр дүнг тогтмол хянах, үнэлэх механизм бий болгох. Энэ нь ирээдүйд шаардлагатай өөрчлөлт, сайжруулалтыг хийх үндэс болно.</w:t>
      </w:r>
    </w:p>
    <w:p w14:paraId="06FE93FB" w14:textId="77777777" w:rsidR="00CB332A" w:rsidRPr="00E21DA3" w:rsidRDefault="00CB332A" w:rsidP="00CB332A">
      <w:pPr>
        <w:spacing w:line="276" w:lineRule="auto"/>
        <w:ind w:firstLine="720"/>
        <w:jc w:val="both"/>
        <w:rPr>
          <w:rFonts w:ascii="Arial" w:hAnsi="Arial" w:cs="Arial"/>
          <w:sz w:val="24"/>
          <w:szCs w:val="24"/>
          <w:lang w:val="mn-MN"/>
        </w:rPr>
      </w:pPr>
    </w:p>
    <w:p w14:paraId="6F7FAEE4" w14:textId="77777777" w:rsidR="00CB332A" w:rsidRPr="00E21DA3" w:rsidRDefault="00CB332A" w:rsidP="00CB332A">
      <w:pPr>
        <w:spacing w:line="276" w:lineRule="auto"/>
        <w:ind w:firstLine="720"/>
        <w:jc w:val="both"/>
        <w:rPr>
          <w:rFonts w:ascii="Arial" w:hAnsi="Arial" w:cs="Arial"/>
          <w:sz w:val="24"/>
          <w:szCs w:val="24"/>
          <w:lang w:val="mn-MN"/>
        </w:rPr>
      </w:pPr>
    </w:p>
    <w:p w14:paraId="10654F33" w14:textId="77777777" w:rsidR="00CB332A" w:rsidRPr="00E21DA3" w:rsidRDefault="00CB332A" w:rsidP="00CB332A">
      <w:pPr>
        <w:spacing w:line="276" w:lineRule="auto"/>
        <w:ind w:firstLine="720"/>
        <w:jc w:val="both"/>
        <w:rPr>
          <w:rFonts w:ascii="Arial" w:hAnsi="Arial" w:cs="Arial"/>
          <w:sz w:val="24"/>
          <w:szCs w:val="24"/>
          <w:lang w:val="mn-MN"/>
        </w:rPr>
      </w:pPr>
    </w:p>
    <w:p w14:paraId="199C206F" w14:textId="77777777" w:rsidR="00CB332A" w:rsidRPr="00E21DA3" w:rsidRDefault="00CB332A" w:rsidP="00CB332A">
      <w:pPr>
        <w:spacing w:line="276" w:lineRule="auto"/>
        <w:ind w:firstLine="720"/>
        <w:jc w:val="both"/>
        <w:rPr>
          <w:rFonts w:ascii="Arial" w:hAnsi="Arial" w:cs="Arial"/>
          <w:sz w:val="24"/>
          <w:szCs w:val="24"/>
          <w:lang w:val="mn-MN"/>
        </w:rPr>
      </w:pPr>
    </w:p>
    <w:p w14:paraId="1595120D" w14:textId="77777777" w:rsidR="00CB332A" w:rsidRPr="00E21DA3" w:rsidRDefault="00CB332A" w:rsidP="00CB332A">
      <w:pPr>
        <w:spacing w:line="276" w:lineRule="auto"/>
        <w:ind w:firstLine="720"/>
        <w:jc w:val="both"/>
        <w:rPr>
          <w:rFonts w:ascii="Arial" w:hAnsi="Arial" w:cs="Arial"/>
          <w:sz w:val="24"/>
          <w:szCs w:val="24"/>
          <w:lang w:val="mn-MN"/>
        </w:rPr>
      </w:pPr>
    </w:p>
    <w:p w14:paraId="12E23A64" w14:textId="77777777" w:rsidR="00CB332A" w:rsidRPr="00E21DA3" w:rsidRDefault="00CB332A" w:rsidP="00CB332A">
      <w:pPr>
        <w:spacing w:line="276" w:lineRule="auto"/>
        <w:ind w:firstLine="720"/>
        <w:jc w:val="both"/>
        <w:rPr>
          <w:rFonts w:ascii="Arial" w:hAnsi="Arial" w:cs="Arial"/>
          <w:sz w:val="24"/>
          <w:szCs w:val="24"/>
          <w:lang w:val="mn-MN"/>
        </w:rPr>
      </w:pPr>
    </w:p>
    <w:p w14:paraId="0BE6D49D" w14:textId="77777777" w:rsidR="00CB332A" w:rsidRPr="00E21DA3" w:rsidRDefault="00CB332A" w:rsidP="00CB332A">
      <w:pPr>
        <w:spacing w:line="276" w:lineRule="auto"/>
        <w:ind w:firstLine="720"/>
        <w:jc w:val="both"/>
        <w:rPr>
          <w:rFonts w:ascii="Arial" w:hAnsi="Arial" w:cs="Arial"/>
          <w:sz w:val="24"/>
          <w:szCs w:val="24"/>
          <w:lang w:val="mn-MN"/>
        </w:rPr>
      </w:pPr>
    </w:p>
    <w:p w14:paraId="31774D0C" w14:textId="77777777" w:rsidR="00CB332A" w:rsidRPr="00E21DA3" w:rsidRDefault="00CB332A" w:rsidP="00CB332A">
      <w:pPr>
        <w:spacing w:line="276" w:lineRule="auto"/>
        <w:ind w:firstLine="720"/>
        <w:jc w:val="both"/>
        <w:rPr>
          <w:rFonts w:ascii="Arial" w:hAnsi="Arial" w:cs="Arial"/>
          <w:sz w:val="24"/>
          <w:szCs w:val="24"/>
          <w:lang w:val="mn-MN"/>
        </w:rPr>
      </w:pPr>
    </w:p>
    <w:p w14:paraId="48D3A02C" w14:textId="77777777" w:rsidR="00CB332A" w:rsidRPr="00E21DA3" w:rsidRDefault="00CB332A" w:rsidP="00CB332A">
      <w:pPr>
        <w:spacing w:line="276" w:lineRule="auto"/>
        <w:ind w:firstLine="720"/>
        <w:jc w:val="both"/>
        <w:rPr>
          <w:rFonts w:ascii="Arial" w:hAnsi="Arial" w:cs="Arial"/>
          <w:sz w:val="24"/>
          <w:szCs w:val="24"/>
          <w:lang w:val="mn-MN"/>
        </w:rPr>
      </w:pPr>
    </w:p>
    <w:p w14:paraId="1CB41CB0" w14:textId="61D72C57" w:rsidR="00CB332A" w:rsidRPr="00E21DA3" w:rsidRDefault="00CB332A" w:rsidP="001C3986">
      <w:pPr>
        <w:spacing w:line="276" w:lineRule="auto"/>
        <w:ind w:firstLine="720"/>
        <w:jc w:val="both"/>
        <w:rPr>
          <w:rFonts w:ascii="Arial" w:hAnsi="Arial" w:cs="Arial"/>
          <w:sz w:val="24"/>
          <w:szCs w:val="24"/>
          <w:lang w:val="mn-MN"/>
        </w:rPr>
      </w:pPr>
      <w:r w:rsidRPr="00E21DA3">
        <w:rPr>
          <w:rFonts w:ascii="Arial" w:hAnsi="Arial" w:cs="Arial"/>
          <w:sz w:val="24"/>
          <w:szCs w:val="24"/>
          <w:lang w:val="mn-MN"/>
        </w:rPr>
        <w:tab/>
      </w:r>
      <w:r w:rsidRPr="00E21DA3">
        <w:rPr>
          <w:rFonts w:ascii="Arial" w:hAnsi="Arial" w:cs="Arial"/>
          <w:sz w:val="24"/>
          <w:szCs w:val="24"/>
          <w:lang w:val="mn-MN"/>
        </w:rPr>
        <w:tab/>
      </w:r>
      <w:r w:rsidRPr="00E21DA3">
        <w:rPr>
          <w:rFonts w:ascii="Arial" w:hAnsi="Arial" w:cs="Arial"/>
          <w:sz w:val="24"/>
          <w:szCs w:val="24"/>
          <w:lang w:val="mn-MN"/>
        </w:rPr>
        <w:tab/>
      </w:r>
      <w:r w:rsidRPr="00E21DA3">
        <w:rPr>
          <w:rFonts w:ascii="Arial" w:hAnsi="Arial" w:cs="Arial"/>
          <w:sz w:val="24"/>
          <w:szCs w:val="24"/>
          <w:lang w:val="mn-MN"/>
        </w:rPr>
        <w:tab/>
        <w:t>-----оОо-----</w:t>
      </w:r>
    </w:p>
    <w:p w14:paraId="3B3DB0FD" w14:textId="12E20D26" w:rsidR="003177CF" w:rsidRPr="00E21DA3" w:rsidRDefault="003177CF" w:rsidP="005703F0">
      <w:pPr>
        <w:pStyle w:val="NormalWeb"/>
        <w:jc w:val="both"/>
        <w:rPr>
          <w:rFonts w:ascii="Arial" w:hAnsi="Arial" w:cs="Arial"/>
          <w:lang w:val="mn-MN"/>
        </w:rPr>
      </w:pPr>
    </w:p>
    <w:sectPr w:rsidR="003177CF" w:rsidRPr="00E21DA3" w:rsidSect="001C3986">
      <w:footerReference w:type="default" r:id="rId8"/>
      <w:pgSz w:w="11906" w:h="16838"/>
      <w:pgMar w:top="1260"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8206" w14:textId="77777777" w:rsidR="00BB7A42" w:rsidRDefault="00BB7A42" w:rsidP="00CB7701">
      <w:pPr>
        <w:spacing w:after="0" w:line="240" w:lineRule="auto"/>
      </w:pPr>
      <w:r>
        <w:separator/>
      </w:r>
    </w:p>
  </w:endnote>
  <w:endnote w:type="continuationSeparator" w:id="0">
    <w:p w14:paraId="43D87D5A" w14:textId="77777777" w:rsidR="00BB7A42" w:rsidRDefault="00BB7A42" w:rsidP="00CB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647810"/>
      <w:docPartObj>
        <w:docPartGallery w:val="Page Numbers (Bottom of Page)"/>
        <w:docPartUnique/>
      </w:docPartObj>
    </w:sdtPr>
    <w:sdtEndPr>
      <w:rPr>
        <w:noProof/>
      </w:rPr>
    </w:sdtEndPr>
    <w:sdtContent>
      <w:p w14:paraId="5176DF3C" w14:textId="4A18EF56" w:rsidR="0092547B" w:rsidRDefault="009254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20767" w14:textId="77777777" w:rsidR="007C6BF6" w:rsidRDefault="007C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7D03" w14:textId="77777777" w:rsidR="00BB7A42" w:rsidRDefault="00BB7A42" w:rsidP="00CB7701">
      <w:pPr>
        <w:spacing w:after="0" w:line="240" w:lineRule="auto"/>
      </w:pPr>
      <w:r>
        <w:separator/>
      </w:r>
    </w:p>
  </w:footnote>
  <w:footnote w:type="continuationSeparator" w:id="0">
    <w:p w14:paraId="4C5D092D" w14:textId="77777777" w:rsidR="00BB7A42" w:rsidRDefault="00BB7A42" w:rsidP="00CB7701">
      <w:pPr>
        <w:spacing w:after="0" w:line="240" w:lineRule="auto"/>
      </w:pPr>
      <w:r>
        <w:continuationSeparator/>
      </w:r>
    </w:p>
  </w:footnote>
  <w:footnote w:id="1">
    <w:p w14:paraId="13879CF2" w14:textId="77777777" w:rsidR="00CB7701" w:rsidRPr="00C46AEC" w:rsidRDefault="00CB7701" w:rsidP="00CB7701">
      <w:pPr>
        <w:pStyle w:val="FootnoteText"/>
      </w:pPr>
      <w:r>
        <w:rPr>
          <w:rStyle w:val="FootnoteReference"/>
        </w:rPr>
        <w:footnoteRef/>
      </w:r>
      <w:r>
        <w:t xml:space="preserve"> </w:t>
      </w:r>
      <w:r>
        <w:rPr>
          <w:lang w:val="mn-MN"/>
        </w:rPr>
        <w:t>Хууль тогтоомжийн тухай хууль</w:t>
      </w:r>
      <w:r>
        <w:t>/</w:t>
      </w:r>
      <w:r>
        <w:rPr>
          <w:lang w:val="mn-MN"/>
        </w:rPr>
        <w:t>шинэчилсэн найруулга</w:t>
      </w:r>
      <w:r>
        <w:t xml:space="preserve">/ </w:t>
      </w:r>
      <w:r w:rsidRPr="00C46AEC">
        <w:t xml:space="preserve">2015 </w:t>
      </w:r>
      <w:proofErr w:type="spellStart"/>
      <w:r w:rsidRPr="00C46AEC">
        <w:t>оны</w:t>
      </w:r>
      <w:proofErr w:type="spellEnd"/>
      <w:r w:rsidRPr="00C46AEC">
        <w:t xml:space="preserve"> 5 </w:t>
      </w:r>
      <w:proofErr w:type="spellStart"/>
      <w:r w:rsidRPr="00C46AEC">
        <w:t>дугаар</w:t>
      </w:r>
      <w:proofErr w:type="spellEnd"/>
      <w:r w:rsidRPr="00C46AEC">
        <w:t xml:space="preserve"> </w:t>
      </w:r>
      <w:proofErr w:type="spellStart"/>
      <w:r w:rsidRPr="00C46AEC">
        <w:t>сарын</w:t>
      </w:r>
      <w:proofErr w:type="spellEnd"/>
      <w:r w:rsidRPr="00C46AEC">
        <w:t xml:space="preserve"> 29-ний </w:t>
      </w:r>
      <w:proofErr w:type="spellStart"/>
      <w:r w:rsidRPr="00C46AEC">
        <w:t>өдөр</w:t>
      </w:r>
      <w:proofErr w:type="spellEnd"/>
    </w:p>
  </w:footnote>
  <w:footnote w:id="2">
    <w:p w14:paraId="549CBB5E" w14:textId="77777777" w:rsidR="00CB7701" w:rsidRPr="002C53B8" w:rsidRDefault="00CB7701" w:rsidP="00CB7701">
      <w:pPr>
        <w:pStyle w:val="FootnoteText"/>
        <w:rPr>
          <w:lang w:val="mn-MN"/>
        </w:rPr>
      </w:pPr>
      <w:r>
        <w:rPr>
          <w:rStyle w:val="FootnoteReference"/>
        </w:rPr>
        <w:footnoteRef/>
      </w:r>
      <w:r>
        <w:t xml:space="preserve"> </w:t>
      </w:r>
      <w:r>
        <w:rPr>
          <w:lang w:val="mn-MN"/>
        </w:rPr>
        <w:t>Засгийн газрын 2016 оны 01 дүгээр сарын 25</w:t>
      </w:r>
      <w:r>
        <w:t>-</w:t>
      </w:r>
      <w:r>
        <w:rPr>
          <w:lang w:val="mn-MN"/>
        </w:rPr>
        <w:t>ны өдрийн 59 дүгээр тогтоолоор батлагдсан</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065E"/>
    <w:multiLevelType w:val="hybridMultilevel"/>
    <w:tmpl w:val="CD1E9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5170A8"/>
    <w:multiLevelType w:val="hybridMultilevel"/>
    <w:tmpl w:val="5CEC5548"/>
    <w:lvl w:ilvl="0" w:tplc="8DAED7D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B585A"/>
    <w:multiLevelType w:val="multilevel"/>
    <w:tmpl w:val="8096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B20772"/>
    <w:multiLevelType w:val="hybridMultilevel"/>
    <w:tmpl w:val="00AAB1A0"/>
    <w:lvl w:ilvl="0" w:tplc="8DAED7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829C9"/>
    <w:multiLevelType w:val="hybridMultilevel"/>
    <w:tmpl w:val="70C82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292956"/>
    <w:multiLevelType w:val="hybridMultilevel"/>
    <w:tmpl w:val="CEB6A5C8"/>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F244DC"/>
    <w:multiLevelType w:val="hybridMultilevel"/>
    <w:tmpl w:val="DB784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D208D"/>
    <w:multiLevelType w:val="hybridMultilevel"/>
    <w:tmpl w:val="F23EDE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8908511">
    <w:abstractNumId w:val="2"/>
  </w:num>
  <w:num w:numId="2" w16cid:durableId="19742494">
    <w:abstractNumId w:val="5"/>
  </w:num>
  <w:num w:numId="3" w16cid:durableId="1471173112">
    <w:abstractNumId w:val="6"/>
  </w:num>
  <w:num w:numId="4" w16cid:durableId="1119178532">
    <w:abstractNumId w:val="0"/>
  </w:num>
  <w:num w:numId="5" w16cid:durableId="538589772">
    <w:abstractNumId w:val="7"/>
  </w:num>
  <w:num w:numId="6" w16cid:durableId="134109176">
    <w:abstractNumId w:val="4"/>
  </w:num>
  <w:num w:numId="7" w16cid:durableId="1761675656">
    <w:abstractNumId w:val="3"/>
  </w:num>
  <w:num w:numId="8" w16cid:durableId="1998068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1"/>
    <w:rsid w:val="00016BC0"/>
    <w:rsid w:val="00093410"/>
    <w:rsid w:val="000B4D5D"/>
    <w:rsid w:val="000D2F6C"/>
    <w:rsid w:val="001579C9"/>
    <w:rsid w:val="00191964"/>
    <w:rsid w:val="001C3986"/>
    <w:rsid w:val="00214559"/>
    <w:rsid w:val="00254FA9"/>
    <w:rsid w:val="00266FF5"/>
    <w:rsid w:val="0029284B"/>
    <w:rsid w:val="002F30A3"/>
    <w:rsid w:val="003138B2"/>
    <w:rsid w:val="00314212"/>
    <w:rsid w:val="003177CF"/>
    <w:rsid w:val="00367866"/>
    <w:rsid w:val="003B120E"/>
    <w:rsid w:val="003C3E1F"/>
    <w:rsid w:val="00427049"/>
    <w:rsid w:val="00470463"/>
    <w:rsid w:val="005703F0"/>
    <w:rsid w:val="00585C6A"/>
    <w:rsid w:val="00592D80"/>
    <w:rsid w:val="005A6C3A"/>
    <w:rsid w:val="005B7625"/>
    <w:rsid w:val="006854C0"/>
    <w:rsid w:val="006933D1"/>
    <w:rsid w:val="006B6E6C"/>
    <w:rsid w:val="006C60BF"/>
    <w:rsid w:val="006D379F"/>
    <w:rsid w:val="00766D0B"/>
    <w:rsid w:val="007C6BF6"/>
    <w:rsid w:val="007C7F5D"/>
    <w:rsid w:val="007F163C"/>
    <w:rsid w:val="008303FA"/>
    <w:rsid w:val="0085603E"/>
    <w:rsid w:val="00856269"/>
    <w:rsid w:val="00896B5B"/>
    <w:rsid w:val="008C0781"/>
    <w:rsid w:val="0092547B"/>
    <w:rsid w:val="00986FCC"/>
    <w:rsid w:val="009B46D4"/>
    <w:rsid w:val="00A10375"/>
    <w:rsid w:val="00A25B5A"/>
    <w:rsid w:val="00A50123"/>
    <w:rsid w:val="00A80FFB"/>
    <w:rsid w:val="00AB412B"/>
    <w:rsid w:val="00AE4393"/>
    <w:rsid w:val="00B9539A"/>
    <w:rsid w:val="00BB7A42"/>
    <w:rsid w:val="00BD0537"/>
    <w:rsid w:val="00BF3ABB"/>
    <w:rsid w:val="00C93EDC"/>
    <w:rsid w:val="00CB332A"/>
    <w:rsid w:val="00CB566B"/>
    <w:rsid w:val="00CB7701"/>
    <w:rsid w:val="00CD7F41"/>
    <w:rsid w:val="00CF6727"/>
    <w:rsid w:val="00D04BE4"/>
    <w:rsid w:val="00D25F96"/>
    <w:rsid w:val="00D35CCC"/>
    <w:rsid w:val="00D42324"/>
    <w:rsid w:val="00D96A8B"/>
    <w:rsid w:val="00DC0D9A"/>
    <w:rsid w:val="00DD38E3"/>
    <w:rsid w:val="00E21DA3"/>
    <w:rsid w:val="00EA4C58"/>
    <w:rsid w:val="00EB6C3F"/>
    <w:rsid w:val="00ED7594"/>
    <w:rsid w:val="00F46F97"/>
    <w:rsid w:val="00F7375C"/>
    <w:rsid w:val="00F81377"/>
    <w:rsid w:val="00FB55D9"/>
    <w:rsid w:val="00FB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11CC"/>
  <w15:chartTrackingRefBased/>
  <w15:docId w15:val="{AA129C8D-96AD-4C28-BDA3-43639229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7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701"/>
    <w:rPr>
      <w:b/>
      <w:bCs/>
    </w:rPr>
  </w:style>
  <w:style w:type="paragraph" w:styleId="ListParagraph">
    <w:name w:val="List Paragraph"/>
    <w:basedOn w:val="Normal"/>
    <w:uiPriority w:val="34"/>
    <w:qFormat/>
    <w:rsid w:val="00CB7701"/>
    <w:pPr>
      <w:spacing w:after="200" w:line="276" w:lineRule="auto"/>
      <w:ind w:left="720"/>
      <w:contextualSpacing/>
    </w:pPr>
    <w:rPr>
      <w:rFonts w:ascii="Times New Roman" w:hAnsi="Times New Roman" w:cs="Times New Roman"/>
      <w:sz w:val="24"/>
    </w:rPr>
  </w:style>
  <w:style w:type="paragraph" w:styleId="FootnoteText">
    <w:name w:val="footnote text"/>
    <w:basedOn w:val="Normal"/>
    <w:link w:val="FootnoteTextChar"/>
    <w:uiPriority w:val="99"/>
    <w:semiHidden/>
    <w:unhideWhenUsed/>
    <w:rsid w:val="00CB770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CB7701"/>
    <w:rPr>
      <w:kern w:val="2"/>
      <w:sz w:val="20"/>
      <w:szCs w:val="20"/>
      <w14:ligatures w14:val="standardContextual"/>
    </w:rPr>
  </w:style>
  <w:style w:type="character" w:styleId="FootnoteReference">
    <w:name w:val="footnote reference"/>
    <w:basedOn w:val="DefaultParagraphFont"/>
    <w:uiPriority w:val="99"/>
    <w:semiHidden/>
    <w:unhideWhenUsed/>
    <w:rsid w:val="00CB7701"/>
    <w:rPr>
      <w:vertAlign w:val="superscript"/>
    </w:rPr>
  </w:style>
  <w:style w:type="table" w:styleId="TableGrid">
    <w:name w:val="Table Grid"/>
    <w:basedOn w:val="TableNormal"/>
    <w:uiPriority w:val="39"/>
    <w:rsid w:val="00CB770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B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701"/>
  </w:style>
  <w:style w:type="paragraph" w:styleId="Header">
    <w:name w:val="header"/>
    <w:basedOn w:val="Normal"/>
    <w:link w:val="HeaderChar"/>
    <w:uiPriority w:val="99"/>
    <w:unhideWhenUsed/>
    <w:rsid w:val="00925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4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7604-6D2B-499B-96B7-FCFF0D04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Erdenebold Sukhbaatar</cp:lastModifiedBy>
  <cp:revision>11</cp:revision>
  <cp:lastPrinted>2026-04-22T07:26:00Z</cp:lastPrinted>
  <dcterms:created xsi:type="dcterms:W3CDTF">2026-04-09T08:01:00Z</dcterms:created>
  <dcterms:modified xsi:type="dcterms:W3CDTF">2026-04-22T08:19:00Z</dcterms:modified>
</cp:coreProperties>
</file>