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401E1" w14:textId="77777777" w:rsidR="00AA5133" w:rsidRPr="00AA5133" w:rsidRDefault="00AA5133" w:rsidP="00AA5133">
      <w:pPr>
        <w:pageBreakBefore/>
        <w:tabs>
          <w:tab w:val="left" w:pos="720"/>
        </w:tabs>
        <w:suppressAutoHyphens/>
        <w:ind w:left="5387"/>
        <w:jc w:val="both"/>
        <w:rPr>
          <w:rFonts w:ascii="Arial" w:eastAsia="WenQuanYi Micro Hei" w:hAnsi="Arial" w:cs="Arial"/>
          <w:noProof/>
          <w:sz w:val="20"/>
          <w:szCs w:val="20"/>
        </w:rPr>
      </w:pPr>
      <w:bookmarkStart w:id="0" w:name="_GoBack"/>
      <w:bookmarkEnd w:id="0"/>
      <w:r w:rsidRPr="00AA5133">
        <w:rPr>
          <w:rFonts w:ascii="Arial" w:eastAsia="WenQuanYi Micro Hei" w:hAnsi="Arial" w:cs="Arial"/>
          <w:noProof/>
          <w:sz w:val="20"/>
          <w:szCs w:val="20"/>
        </w:rPr>
        <w:t>Улсын Их Хурлын Ерөнхий нарийн бичгийн даргын 2022 оны ... дугаар захирамжийн 2 дугаар хавсралт</w:t>
      </w:r>
    </w:p>
    <w:p w14:paraId="629913BD" w14:textId="77777777" w:rsidR="00AA5133" w:rsidRPr="00AA5133" w:rsidRDefault="00AA5133" w:rsidP="00AA5133">
      <w:pPr>
        <w:tabs>
          <w:tab w:val="left" w:pos="720"/>
        </w:tabs>
        <w:suppressAutoHyphens/>
        <w:ind w:left="567"/>
        <w:jc w:val="center"/>
        <w:rPr>
          <w:rFonts w:ascii="Arial" w:eastAsia="WenQuanYi Micro Hei" w:hAnsi="Arial" w:cs="Arial"/>
          <w:b/>
          <w:bCs/>
          <w:noProof/>
          <w:sz w:val="22"/>
          <w:szCs w:val="22"/>
        </w:rPr>
      </w:pPr>
    </w:p>
    <w:p w14:paraId="2597354B" w14:textId="77777777" w:rsidR="00AA5133" w:rsidRPr="00AA5133" w:rsidRDefault="00AA5133" w:rsidP="00AA5133">
      <w:pPr>
        <w:tabs>
          <w:tab w:val="left" w:pos="720"/>
        </w:tabs>
        <w:suppressAutoHyphens/>
        <w:ind w:left="567"/>
        <w:jc w:val="center"/>
        <w:rPr>
          <w:rFonts w:ascii="Arial" w:eastAsia="WenQuanYi Micro Hei" w:hAnsi="Arial" w:cs="Arial"/>
          <w:b/>
          <w:bCs/>
          <w:noProof/>
          <w:sz w:val="22"/>
          <w:szCs w:val="22"/>
        </w:rPr>
      </w:pPr>
    </w:p>
    <w:p w14:paraId="34E44CD9" w14:textId="77777777" w:rsidR="00AA5133" w:rsidRPr="00AA5133" w:rsidRDefault="00AA5133" w:rsidP="00AA5133">
      <w:pPr>
        <w:tabs>
          <w:tab w:val="left" w:pos="720"/>
        </w:tabs>
        <w:suppressAutoHyphens/>
        <w:ind w:left="567"/>
        <w:jc w:val="center"/>
        <w:rPr>
          <w:rFonts w:ascii="Arial" w:eastAsia="WenQuanYi Micro Hei" w:hAnsi="Arial" w:cs="Arial"/>
          <w:b/>
          <w:bCs/>
          <w:noProof/>
          <w:sz w:val="22"/>
          <w:szCs w:val="22"/>
        </w:rPr>
      </w:pPr>
      <w:r w:rsidRPr="00AA5133">
        <w:rPr>
          <w:rFonts w:ascii="Arial" w:eastAsia="WenQuanYi Micro Hei" w:hAnsi="Arial" w:cs="Arial"/>
          <w:b/>
          <w:bCs/>
          <w:noProof/>
          <w:sz w:val="22"/>
          <w:szCs w:val="22"/>
        </w:rPr>
        <w:t>СУДАЛГААНЫ ЗАХИАЛГЫН МАЯГТ</w:t>
      </w:r>
    </w:p>
    <w:p w14:paraId="7B4DE88B" w14:textId="77777777" w:rsidR="00AA5133" w:rsidRPr="00AA5133" w:rsidRDefault="00AA5133" w:rsidP="00AA5133">
      <w:pPr>
        <w:tabs>
          <w:tab w:val="left" w:pos="720"/>
        </w:tabs>
        <w:suppressAutoHyphens/>
        <w:ind w:left="567"/>
        <w:jc w:val="center"/>
        <w:rPr>
          <w:rFonts w:ascii="Arial" w:eastAsia="WenQuanYi Micro Hei" w:hAnsi="Arial" w:cs="Arial"/>
          <w:b/>
          <w:bCs/>
          <w:noProof/>
          <w:sz w:val="22"/>
          <w:szCs w:val="22"/>
        </w:rPr>
      </w:pPr>
    </w:p>
    <w:tbl>
      <w:tblPr>
        <w:tblStyle w:val="TableGrid"/>
        <w:tblW w:w="9639" w:type="dxa"/>
        <w:tblInd w:w="-289" w:type="dxa"/>
        <w:tblCellMar>
          <w:top w:w="88" w:type="dxa"/>
          <w:left w:w="103" w:type="dxa"/>
          <w:right w:w="83" w:type="dxa"/>
        </w:tblCellMar>
        <w:tblLook w:val="04A0" w:firstRow="1" w:lastRow="0" w:firstColumn="1" w:lastColumn="0" w:noHBand="0" w:noVBand="1"/>
      </w:tblPr>
      <w:tblGrid>
        <w:gridCol w:w="2078"/>
        <w:gridCol w:w="1945"/>
        <w:gridCol w:w="2026"/>
        <w:gridCol w:w="1677"/>
        <w:gridCol w:w="1913"/>
      </w:tblGrid>
      <w:tr w:rsidR="00AA5133" w:rsidRPr="00AA5133" w14:paraId="3289E90B" w14:textId="77777777" w:rsidTr="00AA5133">
        <w:trPr>
          <w:trHeight w:val="470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DF259D" w14:textId="77804D6B" w:rsidR="00AA5133" w:rsidRPr="00AA5133" w:rsidRDefault="00AA5133" w:rsidP="0065649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  <w:t>Захиалагч</w:t>
            </w:r>
          </w:p>
        </w:tc>
        <w:tc>
          <w:tcPr>
            <w:tcW w:w="1945" w:type="dxa"/>
            <w:tcBorders>
              <w:top w:val="single" w:sz="4" w:space="0" w:color="1D2B68"/>
              <w:left w:val="single" w:sz="4" w:space="0" w:color="auto"/>
              <w:bottom w:val="single" w:sz="4" w:space="0" w:color="1D2B68"/>
              <w:right w:val="single" w:sz="4" w:space="0" w:color="1D2B68"/>
            </w:tcBorders>
          </w:tcPr>
          <w:p w14:paraId="69B2E175" w14:textId="62660470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УИХ-ын дарга, дэд дарга</w:t>
            </w:r>
          </w:p>
        </w:tc>
        <w:tc>
          <w:tcPr>
            <w:tcW w:w="2026" w:type="dxa"/>
            <w:tcBorders>
              <w:top w:val="single" w:sz="4" w:space="0" w:color="1D2B68"/>
              <w:left w:val="nil"/>
              <w:bottom w:val="single" w:sz="4" w:space="0" w:color="1D2B68"/>
              <w:right w:val="single" w:sz="4" w:space="0" w:color="auto"/>
            </w:tcBorders>
          </w:tcPr>
          <w:p w14:paraId="0E80353A" w14:textId="6C3CCEBC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УИХ-ын Байнгын, дэд, түр хорооны дарга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9642" w14:textId="48E06FDA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УИХ-ын гишүүн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EE0" w14:textId="269962AF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УИХ-ын Ерөнхий нарийн бичгийн дарга</w:t>
            </w:r>
          </w:p>
        </w:tc>
      </w:tr>
      <w:tr w:rsidR="00AA5133" w:rsidRPr="00AA5133" w14:paraId="64468F0F" w14:textId="77777777" w:rsidTr="00AA5133">
        <w:trPr>
          <w:trHeight w:val="470"/>
        </w:trPr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BE1386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1D2B68"/>
              <w:left w:val="single" w:sz="4" w:space="0" w:color="auto"/>
              <w:bottom w:val="single" w:sz="4" w:space="0" w:color="1D2B68"/>
              <w:right w:val="single" w:sz="4" w:space="0" w:color="1D2B68"/>
            </w:tcBorders>
          </w:tcPr>
          <w:p w14:paraId="69FFF549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1D2B68"/>
              <w:left w:val="nil"/>
              <w:bottom w:val="single" w:sz="4" w:space="0" w:color="1D2B68"/>
              <w:right w:val="single" w:sz="4" w:space="0" w:color="auto"/>
            </w:tcBorders>
          </w:tcPr>
          <w:p w14:paraId="1B71EA3B" w14:textId="2DF69C49" w:rsidR="00AA5133" w:rsidRPr="00AA5133" w:rsidRDefault="005012CC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>
              <w:rPr>
                <w:rFonts w:ascii="Arial" w:eastAsia="WenQuanYi Micro Hei" w:hAnsi="Arial" w:cs="Arial"/>
                <w:noProof/>
                <w:sz w:val="18"/>
                <w:szCs w:val="18"/>
              </w:rPr>
              <w:t>Р.Сэддорж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6E3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4CF" w14:textId="6B705524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</w:tr>
    </w:tbl>
    <w:p w14:paraId="01EB2804" w14:textId="77777777" w:rsidR="00AA5133" w:rsidRPr="00AA5133" w:rsidRDefault="00AA5133" w:rsidP="00AA5133">
      <w:pPr>
        <w:tabs>
          <w:tab w:val="left" w:pos="720"/>
        </w:tabs>
        <w:suppressAutoHyphens/>
        <w:spacing w:line="276" w:lineRule="auto"/>
        <w:ind w:firstLine="10"/>
        <w:rPr>
          <w:rFonts w:ascii="Arial" w:eastAsia="WenQuanYi Micro Hei" w:hAnsi="Arial" w:cs="Arial"/>
          <w:noProof/>
          <w:sz w:val="18"/>
          <w:szCs w:val="18"/>
        </w:rPr>
      </w:pPr>
      <w:r w:rsidRPr="00AA5133">
        <w:rPr>
          <w:rFonts w:ascii="Arial" w:eastAsia="WenQuanYi Micro Hei" w:hAnsi="Arial" w:cs="Arial"/>
          <w:b/>
          <w:noProof/>
          <w:sz w:val="18"/>
          <w:szCs w:val="18"/>
        </w:rPr>
        <w:t xml:space="preserve"> </w:t>
      </w:r>
    </w:p>
    <w:tbl>
      <w:tblPr>
        <w:tblStyle w:val="TableGrid"/>
        <w:tblW w:w="9638" w:type="dxa"/>
        <w:tblInd w:w="-289" w:type="dxa"/>
        <w:shd w:val="clear" w:color="auto" w:fill="E7E6E6" w:themeFill="background2"/>
        <w:tblCellMar>
          <w:top w:w="9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7511"/>
      </w:tblGrid>
      <w:tr w:rsidR="00AA5133" w:rsidRPr="00AA5133" w14:paraId="5EA84B12" w14:textId="77777777" w:rsidTr="00AA5133">
        <w:trPr>
          <w:trHeight w:val="2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6AD4B4" w14:textId="77777777" w:rsidR="00AA5133" w:rsidRPr="00AA5133" w:rsidRDefault="00AA5133" w:rsidP="0065649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  <w:t>Холбоо барих хүн</w:t>
            </w:r>
          </w:p>
        </w:tc>
        <w:tc>
          <w:tcPr>
            <w:tcW w:w="7511" w:type="dxa"/>
            <w:tcBorders>
              <w:top w:val="single" w:sz="4" w:space="0" w:color="1D2B68"/>
              <w:left w:val="single" w:sz="4" w:space="0" w:color="auto"/>
              <w:bottom w:val="single" w:sz="4" w:space="0" w:color="1D2B68"/>
              <w:right w:val="single" w:sz="4" w:space="0" w:color="1D2B68"/>
            </w:tcBorders>
            <w:shd w:val="clear" w:color="auto" w:fill="FFFFFF" w:themeFill="background1"/>
          </w:tcPr>
          <w:p w14:paraId="5E6EE086" w14:textId="68D6795B" w:rsidR="00AA5133" w:rsidRPr="00AA5133" w:rsidRDefault="00AA5133" w:rsidP="001B157F">
            <w:pPr>
              <w:tabs>
                <w:tab w:val="left" w:pos="720"/>
                <w:tab w:val="center" w:pos="555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Овог, нэр: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Р.Сэддорэ</w:t>
            </w:r>
          </w:p>
        </w:tc>
      </w:tr>
      <w:tr w:rsidR="00AA5133" w:rsidRPr="00AA5133" w14:paraId="08B742F3" w14:textId="77777777" w:rsidTr="00AA5133">
        <w:trPr>
          <w:trHeight w:val="2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54DBEF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  <w:tc>
          <w:tcPr>
            <w:tcW w:w="7511" w:type="dxa"/>
            <w:tcBorders>
              <w:top w:val="single" w:sz="4" w:space="0" w:color="1D2B68"/>
              <w:left w:val="single" w:sz="4" w:space="0" w:color="auto"/>
              <w:bottom w:val="single" w:sz="4" w:space="0" w:color="1D2B68"/>
              <w:right w:val="single" w:sz="4" w:space="0" w:color="1D2B68"/>
            </w:tcBorders>
            <w:shd w:val="clear" w:color="auto" w:fill="FFFFFF" w:themeFill="background1"/>
          </w:tcPr>
          <w:p w14:paraId="47865D54" w14:textId="06FA73ED" w:rsidR="00AA5133" w:rsidRPr="00AA5133" w:rsidRDefault="00AA5133" w:rsidP="00AA5133">
            <w:pPr>
              <w:tabs>
                <w:tab w:val="left" w:pos="720"/>
                <w:tab w:val="center" w:pos="555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Утасны дугаар: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99117069</w:t>
            </w: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ab/>
              <w:t xml:space="preserve"> </w:t>
            </w:r>
          </w:p>
        </w:tc>
      </w:tr>
      <w:tr w:rsidR="00AA5133" w:rsidRPr="00AA5133" w14:paraId="56B98C68" w14:textId="77777777" w:rsidTr="00AA5133">
        <w:trPr>
          <w:trHeight w:val="2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0192C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  <w:tc>
          <w:tcPr>
            <w:tcW w:w="7511" w:type="dxa"/>
            <w:tcBorders>
              <w:top w:val="single" w:sz="4" w:space="0" w:color="1D2B68"/>
              <w:left w:val="single" w:sz="4" w:space="0" w:color="auto"/>
              <w:bottom w:val="single" w:sz="4" w:space="0" w:color="1D2B68"/>
              <w:right w:val="single" w:sz="4" w:space="0" w:color="1D2B68"/>
            </w:tcBorders>
            <w:shd w:val="clear" w:color="auto" w:fill="FFFFFF" w:themeFill="background1"/>
          </w:tcPr>
          <w:p w14:paraId="2822B654" w14:textId="513DF2BC" w:rsidR="00AA5133" w:rsidRPr="00AA5133" w:rsidRDefault="00AA5133" w:rsidP="00AA5133">
            <w:pPr>
              <w:tabs>
                <w:tab w:val="left" w:pos="720"/>
                <w:tab w:val="center" w:pos="555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Email: </w:t>
            </w: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ab/>
              <w:t xml:space="preserve">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r.seddorj@gmail.com</w:t>
            </w:r>
          </w:p>
        </w:tc>
      </w:tr>
    </w:tbl>
    <w:p w14:paraId="274C4E18" w14:textId="77777777" w:rsidR="00AA5133" w:rsidRPr="00AA5133" w:rsidRDefault="00AA5133" w:rsidP="00AA5133">
      <w:pPr>
        <w:tabs>
          <w:tab w:val="left" w:pos="720"/>
        </w:tabs>
        <w:suppressAutoHyphens/>
        <w:spacing w:line="276" w:lineRule="auto"/>
        <w:ind w:firstLine="10"/>
        <w:rPr>
          <w:rFonts w:ascii="Arial" w:eastAsia="WenQuanYi Micro Hei" w:hAnsi="Arial" w:cs="Arial"/>
          <w:noProof/>
          <w:sz w:val="18"/>
          <w:szCs w:val="18"/>
        </w:rPr>
      </w:pPr>
      <w:r w:rsidRPr="00AA5133">
        <w:rPr>
          <w:rFonts w:ascii="Arial" w:eastAsia="WenQuanYi Micro Hei" w:hAnsi="Arial" w:cs="Arial"/>
          <w:noProof/>
          <w:sz w:val="18"/>
          <w:szCs w:val="18"/>
        </w:rPr>
        <w:t xml:space="preserve"> </w:t>
      </w:r>
    </w:p>
    <w:tbl>
      <w:tblPr>
        <w:tblStyle w:val="TableGrid"/>
        <w:tblW w:w="9638" w:type="dxa"/>
        <w:tblInd w:w="-289" w:type="dxa"/>
        <w:tblCellMar>
          <w:top w:w="49" w:type="dxa"/>
          <w:left w:w="109" w:type="dxa"/>
          <w:bottom w:w="7" w:type="dxa"/>
          <w:right w:w="197" w:type="dxa"/>
        </w:tblCellMar>
        <w:tblLook w:val="04A0" w:firstRow="1" w:lastRow="0" w:firstColumn="1" w:lastColumn="0" w:noHBand="0" w:noVBand="1"/>
      </w:tblPr>
      <w:tblGrid>
        <w:gridCol w:w="2127"/>
        <w:gridCol w:w="7511"/>
      </w:tblGrid>
      <w:tr w:rsidR="00AA5133" w:rsidRPr="00AA5133" w14:paraId="6AA24465" w14:textId="77777777" w:rsidTr="00AA5133">
        <w:trPr>
          <w:trHeight w:val="1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5CC02B" w14:textId="10270945" w:rsidR="00AA5133" w:rsidRPr="00AA5133" w:rsidRDefault="00AA5133" w:rsidP="0065649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  <w:t>Хугацаа</w:t>
            </w:r>
          </w:p>
        </w:tc>
        <w:tc>
          <w:tcPr>
            <w:tcW w:w="7511" w:type="dxa"/>
            <w:tcBorders>
              <w:top w:val="single" w:sz="4" w:space="0" w:color="1D2B68"/>
              <w:left w:val="single" w:sz="4" w:space="0" w:color="auto"/>
              <w:bottom w:val="single" w:sz="4" w:space="0" w:color="auto"/>
              <w:right w:val="single" w:sz="4" w:space="0" w:color="1D2B68"/>
            </w:tcBorders>
          </w:tcPr>
          <w:p w14:paraId="4244F61B" w14:textId="23AB9A92" w:rsidR="00AA5133" w:rsidRPr="00AA5133" w:rsidRDefault="00AA5133" w:rsidP="00AA5133">
            <w:pPr>
              <w:tabs>
                <w:tab w:val="left" w:pos="720"/>
                <w:tab w:val="center" w:pos="555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 xml:space="preserve"> </w:t>
            </w:r>
            <w:r w:rsidR="005012CC">
              <w:rPr>
                <w:rFonts w:ascii="Arial" w:eastAsia="WenQuanYi Micro Hei" w:hAnsi="Arial" w:cs="Arial"/>
                <w:noProof/>
                <w:sz w:val="18"/>
                <w:szCs w:val="18"/>
              </w:rPr>
              <w:t>14 хоног</w:t>
            </w:r>
          </w:p>
        </w:tc>
      </w:tr>
    </w:tbl>
    <w:p w14:paraId="6E26C7AE" w14:textId="77777777" w:rsidR="00AA5133" w:rsidRPr="00AA5133" w:rsidRDefault="00AA5133" w:rsidP="00AA5133">
      <w:pPr>
        <w:tabs>
          <w:tab w:val="left" w:pos="720"/>
        </w:tabs>
        <w:suppressAutoHyphens/>
        <w:spacing w:after="120" w:line="276" w:lineRule="auto"/>
        <w:ind w:right="142" w:firstLine="10"/>
        <w:jc w:val="both"/>
        <w:rPr>
          <w:rFonts w:ascii="Arial" w:eastAsia="WenQuanYi Micro Hei" w:hAnsi="Arial" w:cs="Arial"/>
          <w:bCs/>
          <w:i/>
          <w:iCs/>
          <w:noProof/>
          <w:sz w:val="18"/>
          <w:szCs w:val="18"/>
        </w:rPr>
      </w:pPr>
      <w:r w:rsidRPr="00AA5133">
        <w:rPr>
          <w:rFonts w:ascii="Arial" w:eastAsia="WenQuanYi Micro Hei" w:hAnsi="Arial" w:cs="Arial"/>
          <w:bCs/>
          <w:i/>
          <w:iCs/>
          <w:noProof/>
          <w:sz w:val="18"/>
          <w:szCs w:val="18"/>
        </w:rPr>
        <w:t xml:space="preserve">*Судалгааны ажлыг гүйцэтгэн хүргүүлэх хугацааг тодорхой заагаагүй тохиолдолд судлаач тантай холбогдон боломжтой хугацааг тохиролцох болно. </w:t>
      </w:r>
    </w:p>
    <w:tbl>
      <w:tblPr>
        <w:tblStyle w:val="TableGrid"/>
        <w:tblW w:w="9632" w:type="dxa"/>
        <w:tblInd w:w="-289" w:type="dxa"/>
        <w:tblCellMar>
          <w:top w:w="48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3286"/>
        <w:gridCol w:w="2938"/>
        <w:gridCol w:w="1281"/>
      </w:tblGrid>
      <w:tr w:rsidR="00AA5133" w:rsidRPr="00AA5133" w14:paraId="2BFC5535" w14:textId="77777777" w:rsidTr="00AA5133">
        <w:trPr>
          <w:trHeight w:val="234"/>
        </w:trPr>
        <w:tc>
          <w:tcPr>
            <w:tcW w:w="2127" w:type="dxa"/>
            <w:vMerge w:val="restart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  <w:shd w:val="clear" w:color="auto" w:fill="E7E6E6" w:themeFill="background2"/>
          </w:tcPr>
          <w:p w14:paraId="60C75B1D" w14:textId="77777777" w:rsidR="00AA5133" w:rsidRPr="00AA5133" w:rsidRDefault="00AA5133" w:rsidP="0065649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  <w:t>Захиалгын зориулалт</w:t>
            </w:r>
          </w:p>
        </w:tc>
        <w:tc>
          <w:tcPr>
            <w:tcW w:w="3286" w:type="dxa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</w:tcPr>
          <w:p w14:paraId="5AFF5FF2" w14:textId="77777777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Хууль тогтоолын төсөл санаачлан боловсруулах</w:t>
            </w:r>
          </w:p>
        </w:tc>
        <w:tc>
          <w:tcPr>
            <w:tcW w:w="2938" w:type="dxa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</w:tcPr>
          <w:p w14:paraId="12109CC9" w14:textId="5FE2C2FB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Хууль тогтоолыг хэлэлцэн батлах</w:t>
            </w:r>
          </w:p>
        </w:tc>
        <w:tc>
          <w:tcPr>
            <w:tcW w:w="1281" w:type="dxa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</w:tcPr>
          <w:p w14:paraId="225B84A4" w14:textId="195EFDD7" w:rsidR="00AA5133" w:rsidRPr="00AA5133" w:rsidRDefault="00AA5133" w:rsidP="001B157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Бусад</w:t>
            </w:r>
          </w:p>
        </w:tc>
      </w:tr>
      <w:tr w:rsidR="00AA5133" w:rsidRPr="00AA5133" w14:paraId="362A1F50" w14:textId="77777777" w:rsidTr="00AA5133">
        <w:trPr>
          <w:trHeight w:val="184"/>
        </w:trPr>
        <w:tc>
          <w:tcPr>
            <w:tcW w:w="2127" w:type="dxa"/>
            <w:vMerge/>
            <w:tcBorders>
              <w:top w:val="nil"/>
              <w:left w:val="single" w:sz="4" w:space="0" w:color="1D2B68"/>
              <w:bottom w:val="single" w:sz="4" w:space="0" w:color="1D2B68"/>
              <w:right w:val="single" w:sz="4" w:space="0" w:color="1D2B68"/>
            </w:tcBorders>
            <w:shd w:val="clear" w:color="auto" w:fill="E7E6E6" w:themeFill="background2"/>
          </w:tcPr>
          <w:p w14:paraId="0A5D8CA0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</w:tcPr>
          <w:p w14:paraId="41E89CB5" w14:textId="5095F382" w:rsidR="00AA5133" w:rsidRPr="00AA5133" w:rsidRDefault="005012CC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>
              <w:rPr>
                <w:rFonts w:ascii="Arial" w:eastAsia="WenQuanYi Micro Hei" w:hAnsi="Arial" w:cs="Arial"/>
                <w:noProof/>
                <w:sz w:val="18"/>
                <w:szCs w:val="18"/>
              </w:rPr>
              <w:t>+</w:t>
            </w:r>
          </w:p>
        </w:tc>
        <w:tc>
          <w:tcPr>
            <w:tcW w:w="2938" w:type="dxa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</w:tcPr>
          <w:p w14:paraId="13D0A9A4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1D2B68"/>
              <w:left w:val="single" w:sz="4" w:space="0" w:color="1D2B68"/>
              <w:bottom w:val="single" w:sz="4" w:space="0" w:color="1D2B68"/>
              <w:right w:val="single" w:sz="4" w:space="0" w:color="1D2B68"/>
            </w:tcBorders>
          </w:tcPr>
          <w:p w14:paraId="4708C2E8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</w:tr>
    </w:tbl>
    <w:p w14:paraId="09002286" w14:textId="77777777" w:rsidR="00AA5133" w:rsidRPr="00AA5133" w:rsidRDefault="00AA5133" w:rsidP="00AA5133">
      <w:pPr>
        <w:tabs>
          <w:tab w:val="left" w:pos="720"/>
        </w:tabs>
        <w:suppressAutoHyphens/>
        <w:spacing w:line="276" w:lineRule="auto"/>
        <w:ind w:firstLine="10"/>
        <w:rPr>
          <w:rFonts w:ascii="Arial" w:eastAsia="WenQuanYi Micro Hei" w:hAnsi="Arial" w:cs="Arial"/>
          <w:noProof/>
          <w:sz w:val="18"/>
          <w:szCs w:val="18"/>
        </w:rPr>
      </w:pPr>
      <w:r w:rsidRPr="00AA5133">
        <w:rPr>
          <w:rFonts w:ascii="Arial" w:eastAsia="WenQuanYi Micro Hei" w:hAnsi="Arial" w:cs="Arial"/>
          <w:noProof/>
          <w:sz w:val="18"/>
          <w:szCs w:val="18"/>
        </w:rPr>
        <w:t xml:space="preserve"> </w:t>
      </w:r>
    </w:p>
    <w:tbl>
      <w:tblPr>
        <w:tblStyle w:val="TableGrid"/>
        <w:tblW w:w="96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03" w:type="dxa"/>
          <w:bottom w:w="94" w:type="dxa"/>
          <w:right w:w="140" w:type="dxa"/>
        </w:tblCellMar>
        <w:tblLook w:val="04A0" w:firstRow="1" w:lastRow="0" w:firstColumn="1" w:lastColumn="0" w:noHBand="0" w:noVBand="1"/>
      </w:tblPr>
      <w:tblGrid>
        <w:gridCol w:w="2127"/>
        <w:gridCol w:w="7511"/>
      </w:tblGrid>
      <w:tr w:rsidR="00AA5133" w:rsidRPr="00AA5133" w14:paraId="48948AF1" w14:textId="77777777" w:rsidTr="00AA5133">
        <w:trPr>
          <w:trHeight w:val="2931"/>
        </w:trPr>
        <w:tc>
          <w:tcPr>
            <w:tcW w:w="2127" w:type="dxa"/>
            <w:shd w:val="clear" w:color="auto" w:fill="E7E6E6" w:themeFill="background2"/>
          </w:tcPr>
          <w:p w14:paraId="653915B7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right="-210" w:firstLine="10"/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  <w:t>Захиалгын даалгавар</w:t>
            </w:r>
          </w:p>
          <w:p w14:paraId="5A02FFAB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41"/>
              <w:ind w:left="-967" w:firstLine="977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  <w:p w14:paraId="40173C6E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41"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Судалгааны захиалгатай холбоотой хүсэлтээ  дэлгэрэнгүй байдлаар бичнэ үү?</w:t>
            </w:r>
          </w:p>
        </w:tc>
        <w:tc>
          <w:tcPr>
            <w:tcW w:w="7511" w:type="dxa"/>
          </w:tcPr>
          <w:p w14:paraId="0D6BA21B" w14:textId="23CA507E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Судалгааны зорилго: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бага ангийн сурагчид цахимаар болон танхимаар хичээллэх сонголт өгдөг гадаад орныэрх зүйн зохицуулалтын талаар харьцуулсан судалгаа </w:t>
            </w:r>
          </w:p>
          <w:p w14:paraId="64F04E71" w14:textId="2697876C" w:rsidR="005012CC" w:rsidRPr="00AA5133" w:rsidRDefault="00AA5133" w:rsidP="005012CC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Судлах асуудал: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Малчин өрхийн 6, 7 настай хүүхэд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цахим бол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он танхимын сургалтаар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хослуулан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сургах нь хүүхдэд хохирол багатай танхимаар сурсан хүүхдээс хоцрохгүй байх</w:t>
            </w:r>
            <w:r w:rsidR="007A0A05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талаас нь </w:t>
            </w:r>
            <w:r w:rsidR="007A0A05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бусад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улс орнуудын туршлага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болон эрх зүйн зохицуулалтыг </w:t>
            </w:r>
            <w:r w:rsidR="005012CC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судлах</w:t>
            </w:r>
          </w:p>
          <w:p w14:paraId="71FE3B5C" w14:textId="77777777" w:rsidR="005012CC" w:rsidRPr="00AA5133" w:rsidRDefault="005012CC" w:rsidP="005012CC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</w:p>
          <w:p w14:paraId="497B4483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</w:p>
          <w:p w14:paraId="19003188" w14:textId="6E9447C9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Судалгааны хамрах хүрээ:</w:t>
            </w:r>
            <w:r w:rsidR="007A0A05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Ази болон Европын орнууд</w:t>
            </w:r>
          </w:p>
          <w:p w14:paraId="3778DD03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32C3952E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i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Бусад:</w:t>
            </w:r>
            <w:r w:rsidRPr="00AA5133">
              <w:rPr>
                <w:rFonts w:ascii="Arial" w:eastAsia="WenQuanYi Micro Hei" w:hAnsi="Arial" w:cs="Arial"/>
                <w:i/>
                <w:noProof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143EDE6E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</w:p>
          <w:p w14:paraId="4AE7D7D6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color w:val="808080" w:themeColor="background1" w:themeShade="80"/>
                <w:sz w:val="18"/>
                <w:szCs w:val="18"/>
              </w:rPr>
              <w:t>Танд судалгаатай холбоотой нэмэлт мэдээлэл бий эсэх:</w:t>
            </w:r>
          </w:p>
          <w:p w14:paraId="3B4FF739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  <w:p w14:paraId="05CC0E51" w14:textId="4992E1FB" w:rsidR="00AA5133" w:rsidRPr="00AA5133" w:rsidRDefault="007A0A05" w:rsidP="00AA5133">
            <w:pPr>
              <w:tabs>
                <w:tab w:val="left" w:pos="720"/>
              </w:tabs>
              <w:suppressAutoHyphens/>
              <w:ind w:firstLine="10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>
              <w:rPr>
                <w:rFonts w:ascii="Arial" w:eastAsia="WenQuanYi Micro Hei" w:hAnsi="Arial" w:cs="Arial"/>
                <w:noProof/>
                <w:sz w:val="18"/>
                <w:szCs w:val="18"/>
              </w:rPr>
              <w:t>байхгүй</w:t>
            </w:r>
          </w:p>
          <w:p w14:paraId="004DED48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</w:tc>
      </w:tr>
    </w:tbl>
    <w:p w14:paraId="05A32AB4" w14:textId="77777777" w:rsidR="00AA5133" w:rsidRPr="00AA5133" w:rsidRDefault="00AA5133" w:rsidP="00AA5133">
      <w:pPr>
        <w:tabs>
          <w:tab w:val="left" w:pos="720"/>
        </w:tabs>
        <w:suppressAutoHyphens/>
        <w:spacing w:after="120"/>
        <w:ind w:right="142" w:firstLine="10"/>
        <w:jc w:val="both"/>
        <w:rPr>
          <w:rFonts w:ascii="Arial" w:eastAsia="WenQuanYi Micro Hei" w:hAnsi="Arial" w:cs="Arial"/>
          <w:i/>
          <w:noProof/>
          <w:sz w:val="18"/>
          <w:szCs w:val="18"/>
        </w:rPr>
      </w:pPr>
      <w:r w:rsidRPr="00AA5133">
        <w:rPr>
          <w:rFonts w:ascii="Arial" w:eastAsia="WenQuanYi Micro Hei" w:hAnsi="Arial" w:cs="Arial"/>
          <w:i/>
          <w:noProof/>
          <w:sz w:val="18"/>
          <w:szCs w:val="18"/>
        </w:rPr>
        <w:t xml:space="preserve">*Судалгааны захиалгыг аль болох тодорхой өгснөөр судалгааны ажлын гүйцэтгэл, үр дүнд сайнаар нөлөөлж, хугацаа хэмнэхийг анхаарна уу. </w:t>
      </w:r>
    </w:p>
    <w:tbl>
      <w:tblPr>
        <w:tblStyle w:val="TableGrid"/>
        <w:tblW w:w="9632" w:type="dxa"/>
        <w:tblInd w:w="-289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7505"/>
      </w:tblGrid>
      <w:tr w:rsidR="00AA5133" w:rsidRPr="00AA5133" w14:paraId="4E6328EC" w14:textId="77777777" w:rsidTr="00AA5133">
        <w:trPr>
          <w:trHeight w:val="761"/>
        </w:trPr>
        <w:tc>
          <w:tcPr>
            <w:tcW w:w="2127" w:type="dxa"/>
            <w:vMerge w:val="restart"/>
            <w:tcBorders>
              <w:top w:val="single" w:sz="4" w:space="0" w:color="311768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A9F383" w14:textId="77777777" w:rsidR="00AA5133" w:rsidRPr="00AA5133" w:rsidRDefault="00AA5133" w:rsidP="0065649F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  <w:t>Таны анхааралд</w:t>
            </w:r>
          </w:p>
          <w:p w14:paraId="15EFC44E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color w:val="00000A"/>
                <w:sz w:val="18"/>
                <w:szCs w:val="18"/>
              </w:rPr>
            </w:pPr>
          </w:p>
          <w:p w14:paraId="2A4AA467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color w:val="00000A"/>
                <w:sz w:val="18"/>
                <w:szCs w:val="18"/>
              </w:rPr>
            </w:pPr>
          </w:p>
          <w:p w14:paraId="0C91C283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color w:val="00000A"/>
                <w:sz w:val="18"/>
                <w:szCs w:val="18"/>
              </w:rPr>
            </w:pPr>
          </w:p>
          <w:p w14:paraId="4EDFCCD1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color w:val="00000A"/>
                <w:sz w:val="18"/>
                <w:szCs w:val="18"/>
              </w:rPr>
            </w:pPr>
          </w:p>
          <w:p w14:paraId="7AC154B9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200"/>
              <w:ind w:firstLine="10"/>
              <w:rPr>
                <w:rFonts w:ascii="Arial" w:eastAsia="WenQuanYi Micro Hei" w:hAnsi="Arial" w:cs="Arial"/>
                <w:noProof/>
                <w:color w:val="00000A"/>
                <w:sz w:val="18"/>
                <w:szCs w:val="18"/>
              </w:rPr>
            </w:pPr>
          </w:p>
        </w:tc>
        <w:tc>
          <w:tcPr>
            <w:tcW w:w="7505" w:type="dxa"/>
            <w:tcBorders>
              <w:top w:val="single" w:sz="4" w:space="0" w:color="311768"/>
              <w:left w:val="single" w:sz="4" w:space="0" w:color="000000"/>
              <w:bottom w:val="single" w:sz="4" w:space="0" w:color="311768"/>
              <w:right w:val="single" w:sz="4" w:space="0" w:color="311768"/>
            </w:tcBorders>
            <w:vAlign w:val="center"/>
          </w:tcPr>
          <w:p w14:paraId="65DC4580" w14:textId="49AE4BBA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jc w:val="both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>
              <w:rPr>
                <w:rFonts w:ascii="Arial" w:eastAsia="WenQuanYi Micro Hei" w:hAnsi="Arial" w:cs="Arial"/>
                <w:noProof/>
                <w:sz w:val="18"/>
                <w:szCs w:val="18"/>
              </w:rPr>
              <w:t>Хүрээлэнд</w:t>
            </w: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 xml:space="preserve"> гүйцэтгэх судалгааны ажил нь захиалагчийн өөрийн эрдэм шинжилгээний ажил, улс төр, бизнесийн үйл ажиллагаа, хувь улс төрчийн </w:t>
            </w:r>
            <w:r w:rsidR="0065649F">
              <w:rPr>
                <w:rFonts w:ascii="Arial" w:eastAsia="WenQuanYi Micro Hei" w:hAnsi="Arial" w:cs="Arial"/>
                <w:noProof/>
                <w:sz w:val="18"/>
                <w:szCs w:val="18"/>
              </w:rPr>
              <w:t>чансааг</w:t>
            </w: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 xml:space="preserve"> тодорхойлох, хэлэх үг, илтгэл, тойрогт хийх сурталчилгааны сэдэв бэлтгэх, орчуулгын ажил хийх зэрэг хувийн шинжтэй асуудалд хамаарахгүй. </w:t>
            </w:r>
          </w:p>
        </w:tc>
      </w:tr>
      <w:tr w:rsidR="00AA5133" w:rsidRPr="00AA5133" w14:paraId="572931BD" w14:textId="77777777" w:rsidTr="00AA5133">
        <w:trPr>
          <w:trHeight w:val="76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1D2B68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D25D561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jc w:val="center"/>
              <w:rPr>
                <w:rFonts w:ascii="Arial" w:eastAsia="WenQuanYi Micro Hei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7505" w:type="dxa"/>
            <w:tcBorders>
              <w:top w:val="single" w:sz="4" w:space="0" w:color="311768"/>
              <w:left w:val="single" w:sz="4" w:space="0" w:color="000000"/>
              <w:bottom w:val="single" w:sz="4" w:space="0" w:color="1D2B68"/>
              <w:right w:val="single" w:sz="4" w:space="0" w:color="311768"/>
            </w:tcBorders>
            <w:vAlign w:val="center"/>
          </w:tcPr>
          <w:p w14:paraId="3F77B671" w14:textId="5ABBAA2C" w:rsidR="00AA5133" w:rsidRPr="00AA5133" w:rsidRDefault="0065649F" w:rsidP="00AA5133">
            <w:pPr>
              <w:tabs>
                <w:tab w:val="left" w:pos="720"/>
              </w:tabs>
              <w:suppressAutoHyphens/>
              <w:spacing w:after="120"/>
              <w:ind w:firstLine="10"/>
              <w:jc w:val="both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>
              <w:rPr>
                <w:rFonts w:ascii="Arial" w:eastAsia="WenQuanYi Micro Hei" w:hAnsi="Arial" w:cs="Arial"/>
                <w:noProof/>
                <w:sz w:val="18"/>
                <w:szCs w:val="18"/>
              </w:rPr>
              <w:t>Хүрээлэн</w:t>
            </w:r>
            <w:r w:rsidR="00AA5133"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 xml:space="preserve">д гүйцэтгэсэн судалгааны ажлуудыг тус Хүрээлэнгээс эрхлэн гаргадаг судалгааны эмхэтгэлд хэвлэн, </w:t>
            </w:r>
            <w:r>
              <w:rPr>
                <w:rFonts w:ascii="Arial" w:eastAsia="WenQuanYi Micro Hei" w:hAnsi="Arial" w:cs="Arial"/>
                <w:noProof/>
                <w:sz w:val="18"/>
                <w:szCs w:val="18"/>
              </w:rPr>
              <w:t>Хүрээлэнг</w:t>
            </w:r>
            <w:r w:rsidR="00AA5133"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 xml:space="preserve">ийн цахим хуудсанд байршуулдаг. </w:t>
            </w:r>
          </w:p>
          <w:p w14:paraId="6E9EDC79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spacing w:after="120"/>
              <w:ind w:firstLine="10"/>
              <w:jc w:val="both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Таны захиалгат судалгааны тайланг хүрээлэнгийн цахим хуудсан нийтлэхийг зөвшөөрөх үү?</w:t>
            </w:r>
          </w:p>
          <w:p w14:paraId="5F7CFC7A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jc w:val="both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</w:p>
          <w:p w14:paraId="58EEAB29" w14:textId="77777777" w:rsidR="00AA5133" w:rsidRPr="00AA5133" w:rsidRDefault="00AA5133" w:rsidP="00AA5133">
            <w:pPr>
              <w:tabs>
                <w:tab w:val="left" w:pos="720"/>
              </w:tabs>
              <w:suppressAutoHyphens/>
              <w:ind w:firstLine="10"/>
              <w:jc w:val="both"/>
              <w:rPr>
                <w:rFonts w:ascii="Arial" w:eastAsia="WenQuanYi Micro Hei" w:hAnsi="Arial" w:cs="Arial"/>
                <w:noProof/>
                <w:sz w:val="18"/>
                <w:szCs w:val="18"/>
              </w:rPr>
            </w:pPr>
            <w:r w:rsidRPr="00AA5133">
              <w:rPr>
                <w:rFonts w:ascii="Arial" w:eastAsia="WenQuanYi Micro Hei" w:hAnsi="Arial" w:cs="Arial"/>
                <w:noProof/>
                <w:sz w:val="18"/>
                <w:szCs w:val="18"/>
              </w:rPr>
              <w:t>o  Тийм        o  Үгүй</w:t>
            </w:r>
          </w:p>
        </w:tc>
      </w:tr>
    </w:tbl>
    <w:p w14:paraId="451ECF33" w14:textId="77777777" w:rsidR="00AA5133" w:rsidRDefault="00AA5133" w:rsidP="00AA5133"/>
    <w:sectPr w:rsidR="00AA5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nQuanYi Micro Hei">
    <w:altName w:val="Cambria"/>
    <w:charset w:val="00"/>
    <w:family w:val="roman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33"/>
    <w:rsid w:val="001B157F"/>
    <w:rsid w:val="005012CC"/>
    <w:rsid w:val="0065649F"/>
    <w:rsid w:val="007A0A05"/>
    <w:rsid w:val="007E3351"/>
    <w:rsid w:val="00AA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8F5A6"/>
  <w15:chartTrackingRefBased/>
  <w15:docId w15:val="{F5FBD257-B2E5-7743-8930-BBC33BC9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A513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2026-04-28T07:21:00Z</cp:lastPrinted>
  <dcterms:created xsi:type="dcterms:W3CDTF">2026-04-28T07:29:00Z</dcterms:created>
  <dcterms:modified xsi:type="dcterms:W3CDTF">2026-04-28T07:29:00Z</dcterms:modified>
</cp:coreProperties>
</file>