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AE0A" w14:textId="2031571D" w:rsidR="00A72565" w:rsidRPr="00C32E76" w:rsidRDefault="00A72565" w:rsidP="00C32E76">
      <w:pPr>
        <w:spacing w:after="0" w:line="240" w:lineRule="auto"/>
        <w:jc w:val="center"/>
        <w:rPr>
          <w:rFonts w:ascii="Arial" w:hAnsi="Arial" w:cs="Arial"/>
          <w:b/>
          <w:bCs/>
          <w:lang w:val="mn-MN"/>
        </w:rPr>
      </w:pPr>
      <w:r w:rsidRPr="00C32E76">
        <w:rPr>
          <w:rFonts w:ascii="Arial" w:hAnsi="Arial" w:cs="Arial"/>
          <w:b/>
          <w:bCs/>
          <w:lang w:val="mn-MN"/>
        </w:rPr>
        <w:t>ДЭЛГЭРЭНГҮЙ ТАНИЛЦУУЛГА</w:t>
      </w:r>
    </w:p>
    <w:p w14:paraId="51F10B9B" w14:textId="77777777" w:rsidR="00C32E76" w:rsidRPr="00C32E76" w:rsidRDefault="00C32E76" w:rsidP="00C32E76">
      <w:pPr>
        <w:spacing w:after="0" w:line="240" w:lineRule="auto"/>
        <w:jc w:val="center"/>
        <w:rPr>
          <w:rFonts w:ascii="Arial" w:hAnsi="Arial" w:cs="Arial"/>
          <w:b/>
          <w:bCs/>
          <w:lang w:val="mn-MN"/>
        </w:rPr>
      </w:pPr>
    </w:p>
    <w:p w14:paraId="59DE7BC2" w14:textId="77777777" w:rsidR="00A72565" w:rsidRPr="00C32E76" w:rsidRDefault="00A72565" w:rsidP="00C32E76">
      <w:pPr>
        <w:spacing w:after="0" w:line="240" w:lineRule="auto"/>
        <w:jc w:val="right"/>
        <w:rPr>
          <w:rFonts w:ascii="Arial" w:hAnsi="Arial" w:cs="Arial"/>
          <w:lang w:val="mn-MN"/>
        </w:rPr>
      </w:pPr>
      <w:r w:rsidRPr="00C32E76">
        <w:rPr>
          <w:rFonts w:ascii="Arial" w:hAnsi="Arial" w:cs="Arial"/>
          <w:lang w:val="mn-MN"/>
        </w:rPr>
        <w:t xml:space="preserve">Эрүүгийн хэрэг хянан шийдвэрлэх тухай хуульд </w:t>
      </w:r>
    </w:p>
    <w:p w14:paraId="18E742C2" w14:textId="261F8F32" w:rsidR="00A72565" w:rsidRPr="00C32E76" w:rsidRDefault="00D6037F" w:rsidP="00C32E76">
      <w:pPr>
        <w:spacing w:after="0" w:line="240" w:lineRule="auto"/>
        <w:jc w:val="right"/>
        <w:rPr>
          <w:rFonts w:ascii="Arial" w:hAnsi="Arial" w:cs="Arial"/>
          <w:lang w:val="mn-MN"/>
        </w:rPr>
      </w:pPr>
      <w:r w:rsidRPr="00C32E76">
        <w:rPr>
          <w:rFonts w:ascii="Arial" w:hAnsi="Arial" w:cs="Arial"/>
          <w:lang w:val="mn-MN"/>
        </w:rPr>
        <w:t>н</w:t>
      </w:r>
      <w:r w:rsidR="00A72565" w:rsidRPr="00C32E76">
        <w:rPr>
          <w:rFonts w:ascii="Arial" w:hAnsi="Arial" w:cs="Arial"/>
          <w:lang w:val="mn-MN"/>
        </w:rPr>
        <w:t>эмэлт</w:t>
      </w:r>
      <w:r w:rsidRPr="00C32E76">
        <w:rPr>
          <w:rFonts w:ascii="Arial" w:hAnsi="Arial" w:cs="Arial"/>
          <w:lang w:val="mn-MN"/>
        </w:rPr>
        <w:t xml:space="preserve"> </w:t>
      </w:r>
      <w:r w:rsidR="00A72565" w:rsidRPr="00C32E76">
        <w:rPr>
          <w:rFonts w:ascii="Arial" w:hAnsi="Arial" w:cs="Arial"/>
          <w:lang w:val="mn-MN"/>
        </w:rPr>
        <w:t xml:space="preserve">оруулах тухай </w:t>
      </w:r>
      <w:r w:rsidR="0002653C" w:rsidRPr="00C32E76">
        <w:rPr>
          <w:rFonts w:ascii="Arial" w:hAnsi="Arial" w:cs="Arial"/>
          <w:lang w:val="mn-MN"/>
        </w:rPr>
        <w:t>хуул</w:t>
      </w:r>
      <w:r w:rsidRPr="00C32E76">
        <w:rPr>
          <w:rFonts w:ascii="Arial" w:hAnsi="Arial" w:cs="Arial"/>
          <w:lang w:val="mn-MN"/>
        </w:rPr>
        <w:t>ийн төсөл</w:t>
      </w:r>
    </w:p>
    <w:p w14:paraId="215D7FCE" w14:textId="77777777" w:rsidR="005A1689" w:rsidRPr="00C32E76" w:rsidRDefault="005A1689" w:rsidP="00C32E76">
      <w:pPr>
        <w:spacing w:after="0" w:line="240" w:lineRule="auto"/>
        <w:jc w:val="right"/>
        <w:rPr>
          <w:rFonts w:ascii="Arial" w:hAnsi="Arial" w:cs="Arial"/>
          <w:lang w:val="mn-MN"/>
        </w:rPr>
      </w:pPr>
    </w:p>
    <w:p w14:paraId="36E6094A" w14:textId="4144BB66" w:rsidR="0015669A" w:rsidRPr="00C32E76" w:rsidRDefault="005A1689" w:rsidP="00C32E76">
      <w:pPr>
        <w:spacing w:after="0" w:line="240" w:lineRule="auto"/>
        <w:ind w:firstLine="720"/>
        <w:jc w:val="both"/>
        <w:rPr>
          <w:rFonts w:ascii="Arial" w:hAnsi="Arial" w:cs="Arial"/>
          <w:lang w:val="mn-MN"/>
        </w:rPr>
      </w:pPr>
      <w:r w:rsidRPr="00C32E76">
        <w:rPr>
          <w:rFonts w:ascii="Arial" w:hAnsi="Arial" w:cs="Arial"/>
          <w:lang w:val="mn-MN"/>
        </w:rPr>
        <w:t>Эрүүгийн хуулийн</w:t>
      </w:r>
      <w:r w:rsidR="0015669A" w:rsidRPr="00C32E76">
        <w:rPr>
          <w:rFonts w:ascii="Arial" w:hAnsi="Arial" w:cs="Arial"/>
          <w:lang w:val="mn-MN"/>
        </w:rPr>
        <w:t xml:space="preserve"> 2015 оны </w:t>
      </w:r>
      <w:r w:rsidRPr="00C32E76">
        <w:rPr>
          <w:rFonts w:ascii="Arial" w:hAnsi="Arial" w:cs="Arial"/>
          <w:lang w:val="mn-MN"/>
        </w:rPr>
        <w:t>12 дугаар сарын 03-ны өдрийн шинэчилсэн найруулгаар</w:t>
      </w:r>
      <w:r w:rsidR="00C4782D" w:rsidRPr="00C32E76">
        <w:rPr>
          <w:rFonts w:ascii="Arial" w:hAnsi="Arial" w:cs="Arial"/>
          <w:lang w:val="mn-MN"/>
        </w:rPr>
        <w:t xml:space="preserve"> </w:t>
      </w:r>
      <w:r w:rsidR="0015669A" w:rsidRPr="00C32E76">
        <w:rPr>
          <w:rFonts w:ascii="Arial" w:hAnsi="Arial" w:cs="Arial"/>
          <w:lang w:val="mn-MN"/>
        </w:rPr>
        <w:t>“хуулийн этгээдэд эрүүгийн хариуцлага оногдуулах”</w:t>
      </w:r>
      <w:r w:rsidRPr="00C32E76">
        <w:rPr>
          <w:rFonts w:ascii="Arial" w:hAnsi="Arial" w:cs="Arial"/>
          <w:lang w:val="mn-MN"/>
        </w:rPr>
        <w:t xml:space="preserve"> </w:t>
      </w:r>
      <w:r w:rsidR="0015669A" w:rsidRPr="00C32E76">
        <w:rPr>
          <w:rFonts w:ascii="Arial" w:hAnsi="Arial" w:cs="Arial"/>
          <w:lang w:val="mn-MN"/>
        </w:rPr>
        <w:t>буюу дэлхий нийтээр хүлээн зөвшөөрөөд буй “Corporate Criminal Liability” онолыг хуульчилсан. Улмаар 2017 оны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w:t>
      </w:r>
    </w:p>
    <w:p w14:paraId="31FF3E91" w14:textId="77777777" w:rsidR="0015669A" w:rsidRPr="00C32E76" w:rsidRDefault="0015669A" w:rsidP="00C32E76">
      <w:pPr>
        <w:spacing w:after="0" w:line="240" w:lineRule="auto"/>
        <w:jc w:val="both"/>
        <w:rPr>
          <w:rFonts w:ascii="Arial" w:hAnsi="Arial" w:cs="Arial"/>
          <w:lang w:val="mn-MN"/>
        </w:rPr>
      </w:pPr>
    </w:p>
    <w:p w14:paraId="7ADB6B7F" w14:textId="3188ECE2" w:rsidR="00945A31" w:rsidRPr="00C32E76" w:rsidRDefault="0015669A" w:rsidP="00C32E76">
      <w:pPr>
        <w:spacing w:after="0" w:line="240" w:lineRule="auto"/>
        <w:ind w:firstLine="720"/>
        <w:jc w:val="both"/>
        <w:rPr>
          <w:rFonts w:ascii="Arial" w:hAnsi="Arial" w:cs="Arial"/>
          <w:lang w:val="mn-MN"/>
        </w:rPr>
      </w:pPr>
      <w:r w:rsidRPr="00C32E76">
        <w:rPr>
          <w:rFonts w:ascii="Arial" w:hAnsi="Arial" w:cs="Arial"/>
          <w:lang w:val="mn-MN"/>
        </w:rPr>
        <w:t>ЭХХШтХ-ийн 1.4 дүгээр зүйлийн 1.13 дах хэсэгт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 болоод хуулийн этгээдэд эрүүгийн хариуцлага оногдуулдаг улс орнуудын жишигт нийцдэг. Хэдий тийм боловч ЭХХШтХ-д сэжигтэн, яллагдагчид хамаарах зарим зохицуулалтыг хуулийн этгээдэд нэгэн адил хэрэглэх байдлаар ерөнхийлөн тусгасан ба хуулийн этгээдийн онцлогт тохирсон журам бүрэн тусгагдаагүй. Тухайлбал</w:t>
      </w:r>
      <w:r w:rsidR="00082058" w:rsidRPr="00C32E76">
        <w:rPr>
          <w:rFonts w:ascii="Arial" w:hAnsi="Arial" w:cs="Arial"/>
          <w:lang w:val="mn-MN"/>
        </w:rPr>
        <w:t>,</w:t>
      </w:r>
      <w:r w:rsidRPr="00C32E76">
        <w:rPr>
          <w:rFonts w:ascii="Arial" w:hAnsi="Arial" w:cs="Arial"/>
          <w:lang w:val="mn-MN"/>
        </w:rPr>
        <w:t xml:space="preserve"> хуулийн этгээдэд авах таслан сэргийлэх арга хэмжээ болон хуулийн этгээдэд мөрдөн шалгах ажиллагаа явуулахад хуулийн этгээдийн субьектын онцлогт тохирсон нарийвчилсан зохицуулалт дутмаг байна.</w:t>
      </w:r>
      <w:r w:rsidR="00122830" w:rsidRPr="00C32E76">
        <w:rPr>
          <w:rFonts w:ascii="Arial" w:hAnsi="Arial" w:cs="Arial"/>
          <w:lang w:val="mn-MN"/>
        </w:rPr>
        <w:t xml:space="preserve"> </w:t>
      </w:r>
    </w:p>
    <w:p w14:paraId="6BFCAA22" w14:textId="77777777" w:rsidR="000A4732" w:rsidRPr="00C32E76" w:rsidRDefault="000A4732" w:rsidP="00C32E76">
      <w:pPr>
        <w:spacing w:after="0" w:line="240" w:lineRule="auto"/>
        <w:jc w:val="both"/>
        <w:rPr>
          <w:rFonts w:ascii="Arial" w:hAnsi="Arial" w:cs="Arial"/>
          <w:lang w:val="mn-MN"/>
        </w:rPr>
      </w:pPr>
    </w:p>
    <w:p w14:paraId="4400E69E" w14:textId="6C2123B6" w:rsidR="000A4732" w:rsidRPr="00C32E76" w:rsidRDefault="000A4732" w:rsidP="00C32E76">
      <w:pPr>
        <w:spacing w:after="0" w:line="240" w:lineRule="auto"/>
        <w:jc w:val="both"/>
        <w:rPr>
          <w:rFonts w:ascii="Arial" w:hAnsi="Arial" w:cs="Arial"/>
          <w:i/>
          <w:iCs/>
          <w:lang w:val="mn-MN"/>
        </w:rPr>
      </w:pPr>
      <w:r w:rsidRPr="00C32E76">
        <w:rPr>
          <w:rFonts w:ascii="Arial" w:hAnsi="Arial" w:cs="Arial"/>
          <w:i/>
          <w:iCs/>
          <w:lang w:val="mn-MN"/>
        </w:rPr>
        <w:t>ЭХХШтХ-д нэмэлт оруулах үндэслэл, шаардлага:</w:t>
      </w:r>
    </w:p>
    <w:p w14:paraId="0B9803DE" w14:textId="77777777" w:rsidR="00945A31" w:rsidRPr="00C32E76" w:rsidRDefault="00945A31" w:rsidP="00C32E76">
      <w:pPr>
        <w:spacing w:after="0" w:line="240" w:lineRule="auto"/>
        <w:jc w:val="both"/>
        <w:rPr>
          <w:rFonts w:ascii="Arial" w:hAnsi="Arial" w:cs="Arial"/>
          <w:lang w:val="mn-MN"/>
        </w:rPr>
      </w:pPr>
    </w:p>
    <w:p w14:paraId="2AC9C824" w14:textId="6CF4664D" w:rsidR="0015669A" w:rsidRPr="00C32E76" w:rsidRDefault="0015669A" w:rsidP="00C32E76">
      <w:pPr>
        <w:spacing w:after="0" w:line="240" w:lineRule="auto"/>
        <w:ind w:firstLine="720"/>
        <w:jc w:val="both"/>
        <w:rPr>
          <w:rFonts w:ascii="Arial" w:hAnsi="Arial" w:cs="Arial"/>
          <w:lang w:val="mn-MN"/>
        </w:rPr>
      </w:pPr>
      <w:r w:rsidRPr="00C32E76">
        <w:rPr>
          <w:rFonts w:ascii="Arial" w:hAnsi="Arial" w:cs="Arial"/>
          <w:lang w:val="mn-MN"/>
        </w:rPr>
        <w:t>ЭХХШтХ-ийн 14.4 дүгээр зүйлийн 4.4 дэх хэсэгт заасан хуулийн этгээдэд тодорхой үйл ажиллагаа явуулах эрхийг түдгэлзүүлэх таслан сэргийлэх арга хэмжээ (цаашид “ТСАХ” гэх) авахтай холбоотой журамд тухайн ТСАХ авахад харгалзах үндэслэл, нөхцөл, хугацаа, ТСАХ авахыг хориглох нөхцөл, зөрчсөнөөс үүсэх үр дагавар, ТСАХ хүчингүй болгох, хугацаа сунгах, өөрчлөх үндэслэл, журам зохицуулагдаагүй. Мөрдөн шалгах ажиллагааны хувьд ч хуулийн этгээдэд ихэвчлэн хийгддэг ЭХХШтХ-ийн 26.1 дүгээр зүйлд заасан хөрөнгийн шилжилт хөдөлгөөнийг хянах, хязгаарлах ажиллагааг хэрэгжүүлэх нөхцөл, шаардлага, хугацаа тодорхойгүй байна.</w:t>
      </w:r>
      <w:r w:rsidR="00945A31" w:rsidRPr="00C32E76">
        <w:rPr>
          <w:rFonts w:ascii="Arial" w:hAnsi="Arial" w:cs="Arial"/>
          <w:lang w:val="mn-MN"/>
        </w:rPr>
        <w:t xml:space="preserve"> </w:t>
      </w:r>
    </w:p>
    <w:p w14:paraId="1A0FDF47" w14:textId="77777777" w:rsidR="0015669A" w:rsidRPr="00C32E76" w:rsidRDefault="0015669A" w:rsidP="00C32E76">
      <w:pPr>
        <w:spacing w:after="0" w:line="240" w:lineRule="auto"/>
        <w:ind w:firstLine="720"/>
        <w:jc w:val="both"/>
        <w:rPr>
          <w:rFonts w:ascii="Arial" w:hAnsi="Arial" w:cs="Arial"/>
          <w:lang w:val="mn-MN"/>
        </w:rPr>
      </w:pPr>
    </w:p>
    <w:p w14:paraId="5C0CBB88" w14:textId="77058DC2" w:rsidR="00945A31" w:rsidRPr="00C32E76" w:rsidRDefault="00945A31" w:rsidP="00C32E76">
      <w:pPr>
        <w:spacing w:after="0" w:line="240" w:lineRule="auto"/>
        <w:ind w:firstLine="720"/>
        <w:jc w:val="both"/>
        <w:rPr>
          <w:rFonts w:ascii="Arial" w:hAnsi="Arial" w:cs="Arial"/>
          <w:lang w:val="mn-MN"/>
        </w:rPr>
      </w:pPr>
      <w:r w:rsidRPr="00C32E76">
        <w:rPr>
          <w:rFonts w:ascii="Arial" w:hAnsi="Arial" w:cs="Arial"/>
          <w:lang w:val="mn-MN"/>
        </w:rPr>
        <w:t>ЭХХШтХ-д  хуулийн этгээдийн эрхийг тодорхой хэмжээнд хязгаарлах эрх зүйн боломжийг нээж өгсөн ч, энэ хязгаарлалт нь угтаа пропорциональ зарчимд ний</w:t>
      </w:r>
      <w:r w:rsidR="00082058" w:rsidRPr="00C32E76">
        <w:rPr>
          <w:rFonts w:ascii="Arial" w:hAnsi="Arial" w:cs="Arial"/>
          <w:lang w:val="mn-MN"/>
        </w:rPr>
        <w:t>ц</w:t>
      </w:r>
      <w:r w:rsidRPr="00C32E76">
        <w:rPr>
          <w:rFonts w:ascii="Arial" w:hAnsi="Arial" w:cs="Arial"/>
          <w:lang w:val="mn-MN"/>
        </w:rPr>
        <w:t xml:space="preserve">сэн буюу зайлшгүй бөгөөд хууль ёсны зорилгод нийцсэн хамгийн бага хязгаарлалтаар хэрэгжих ёстой. </w:t>
      </w:r>
      <w:r w:rsidR="0015669A" w:rsidRPr="00C32E76">
        <w:rPr>
          <w:rFonts w:ascii="Arial" w:hAnsi="Arial" w:cs="Arial"/>
          <w:lang w:val="mn-MN"/>
        </w:rPr>
        <w:t xml:space="preserve">Гэтэл ийнхүү тодорхой бус журмаар, тодорхой хугацаагүйгээр хуулийн этгээдэд таслан сэргийлэх арга хэмжээ авах, тэдний хөрөнгийн шилжилт хөдөлгөөнийг хязгаарлах нь тухайн бизнесийн хувьд тасалдал бий болгох, ажилтнуудын хөдөлмөр эрхлэлт, өрхийн орлогод сөрөг нөлөө үзүүлэх, хувийн хэвшлийг эргэлтийн хөрөнгөгүй болгох, хэвийн ажиллагааг алдагдуулах, цаашлаад </w:t>
      </w:r>
      <w:r w:rsidR="0015669A" w:rsidRPr="00C32E76">
        <w:rPr>
          <w:rFonts w:ascii="Arial" w:hAnsi="Arial" w:cs="Arial"/>
          <w:lang w:val="mn-MN"/>
        </w:rPr>
        <w:lastRenderedPageBreak/>
        <w:t xml:space="preserve">хуулиар хүлээсэн татвар, нийгмийн даатгалын үүргээ биелүүлэх боломжгүй болгох үр дагавартай. </w:t>
      </w:r>
    </w:p>
    <w:p w14:paraId="04C8C6F5" w14:textId="77777777" w:rsidR="00C32E76" w:rsidRPr="00C32E76" w:rsidRDefault="00C32E76" w:rsidP="00C32E76">
      <w:pPr>
        <w:spacing w:after="0" w:line="240" w:lineRule="auto"/>
        <w:ind w:firstLine="720"/>
        <w:jc w:val="both"/>
        <w:rPr>
          <w:rFonts w:ascii="Arial" w:hAnsi="Arial" w:cs="Arial"/>
          <w:lang w:val="mn-MN"/>
        </w:rPr>
      </w:pPr>
    </w:p>
    <w:p w14:paraId="27DAD6D5" w14:textId="7203D70C" w:rsidR="0097007A" w:rsidRPr="00C32E76" w:rsidRDefault="00945A31" w:rsidP="00C32E76">
      <w:pPr>
        <w:spacing w:after="0" w:line="240" w:lineRule="auto"/>
        <w:ind w:firstLine="720"/>
        <w:jc w:val="both"/>
        <w:rPr>
          <w:rFonts w:ascii="Arial" w:hAnsi="Arial" w:cs="Arial"/>
          <w:lang w:val="mn-MN"/>
        </w:rPr>
      </w:pPr>
      <w:r w:rsidRPr="00C32E76">
        <w:rPr>
          <w:rFonts w:ascii="Arial" w:hAnsi="Arial" w:cs="Arial"/>
          <w:lang w:val="mn-MN"/>
        </w:rPr>
        <w:t>Иймд энэхүү процессын тодорхойгүй байдлыг тодорхой болгож зохицуулах нь аливаа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w:t>
      </w:r>
      <w:r w:rsidR="0097007A" w:rsidRPr="00C32E76">
        <w:rPr>
          <w:rFonts w:ascii="Arial" w:hAnsi="Arial" w:cs="Arial"/>
          <w:lang w:val="mn-MN"/>
        </w:rPr>
        <w:t xml:space="preserve"> </w:t>
      </w:r>
    </w:p>
    <w:p w14:paraId="05B78E58" w14:textId="77777777" w:rsidR="00C32E76" w:rsidRPr="00C32E76" w:rsidRDefault="00C32E76" w:rsidP="00C32E76">
      <w:pPr>
        <w:spacing w:after="0" w:line="240" w:lineRule="auto"/>
        <w:ind w:firstLine="720"/>
        <w:jc w:val="both"/>
        <w:rPr>
          <w:rFonts w:ascii="Arial" w:hAnsi="Arial" w:cs="Arial"/>
          <w:lang w:val="mn-MN"/>
        </w:rPr>
      </w:pPr>
    </w:p>
    <w:p w14:paraId="4FB88CE8" w14:textId="76026E47" w:rsidR="000B6D84" w:rsidRPr="00C32E76" w:rsidRDefault="0097007A" w:rsidP="00C32E76">
      <w:pPr>
        <w:spacing w:after="0" w:line="240" w:lineRule="auto"/>
        <w:ind w:firstLine="720"/>
        <w:jc w:val="both"/>
        <w:rPr>
          <w:rFonts w:ascii="Arial" w:hAnsi="Arial" w:cs="Arial"/>
          <w:lang w:val="mn-MN"/>
        </w:rPr>
      </w:pPr>
      <w:r w:rsidRPr="00C32E76">
        <w:rPr>
          <w:rFonts w:ascii="Arial" w:hAnsi="Arial" w:cs="Arial"/>
          <w:lang w:val="mn-MN"/>
        </w:rPr>
        <w:t>Монгол Улсын Их Хурлын 2024 оны 21 дүгээр тогтоолоор баталсан “Монгол Улсын Засгийн газрын 2024-2028 оны үйл ажиллагааны хөтөлбөр”-ийн 4.1 зүйлийн 1.8 дах хэсэгт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гэж тусгажээ.</w:t>
      </w:r>
    </w:p>
    <w:p w14:paraId="3F9BCB88" w14:textId="77777777" w:rsidR="00C32E76" w:rsidRPr="00C32E76" w:rsidRDefault="00C32E76" w:rsidP="00C32E76">
      <w:pPr>
        <w:spacing w:after="0" w:line="240" w:lineRule="auto"/>
        <w:ind w:firstLine="720"/>
        <w:jc w:val="both"/>
        <w:rPr>
          <w:rFonts w:ascii="Arial" w:hAnsi="Arial" w:cs="Arial"/>
          <w:lang w:val="mn-MN"/>
        </w:rPr>
      </w:pPr>
    </w:p>
    <w:p w14:paraId="46E713FA" w14:textId="590AF63C" w:rsidR="00945A31" w:rsidRPr="00C32E76" w:rsidRDefault="00945A31" w:rsidP="00C32E76">
      <w:pPr>
        <w:spacing w:after="0" w:line="240" w:lineRule="auto"/>
        <w:ind w:firstLine="720"/>
        <w:jc w:val="both"/>
        <w:rPr>
          <w:rFonts w:ascii="Arial" w:hAnsi="Arial" w:cs="Arial"/>
          <w:lang w:val="mn-MN"/>
        </w:rPr>
      </w:pPr>
      <w:r w:rsidRPr="00C32E76">
        <w:rPr>
          <w:rFonts w:ascii="Arial" w:eastAsia="Times New Roman" w:hAnsi="Arial" w:cs="Arial"/>
          <w:kern w:val="0"/>
          <w:lang w:val="mn-MN"/>
          <w14:ligatures w14:val="none"/>
        </w:rPr>
        <w:t xml:space="preserve"> </w:t>
      </w:r>
      <w:r w:rsidRPr="00C32E76">
        <w:rPr>
          <w:rFonts w:ascii="Arial" w:hAnsi="Arial" w:cs="Arial"/>
          <w:lang w:val="mn-MN"/>
        </w:rPr>
        <w:t xml:space="preserve">Иймд уг хуулийн төсөл нь хуулийн этгээдэд авах таслан сэргийлэх арга хэмжээ болон </w:t>
      </w:r>
      <w:r w:rsidR="00082058" w:rsidRPr="00C32E76">
        <w:rPr>
          <w:rFonts w:ascii="Arial" w:hAnsi="Arial" w:cs="Arial"/>
          <w:lang w:val="mn-MN"/>
        </w:rPr>
        <w:t xml:space="preserve">мөрдөн шалгах ажиллагааны явцад </w:t>
      </w:r>
      <w:r w:rsidRPr="00C32E76">
        <w:rPr>
          <w:rFonts w:ascii="Arial" w:hAnsi="Arial" w:cs="Arial"/>
          <w:lang w:val="mn-MN"/>
        </w:rPr>
        <w:t>хөрөнгийн шилжилт хөдөлгөөнийг хязгаарлах ажиллагаанд үндэслэл, нөхцөлийг тодорхой болгох, хугацаа, сунгах журмыг нарийвчлах, процессын тодорхой байдлыг хангах</w:t>
      </w:r>
      <w:r w:rsidR="000B6D84" w:rsidRPr="00C32E76">
        <w:rPr>
          <w:rFonts w:ascii="Arial" w:hAnsi="Arial" w:cs="Arial"/>
          <w:lang w:val="mn-MN"/>
        </w:rPr>
        <w:t xml:space="preserve"> зорилгоор боловсруулагдсан болно.</w:t>
      </w:r>
    </w:p>
    <w:p w14:paraId="51808485" w14:textId="77777777" w:rsidR="00C32E76" w:rsidRPr="00C32E76" w:rsidRDefault="00C32E76" w:rsidP="00C32E76">
      <w:pPr>
        <w:spacing w:after="0" w:line="240" w:lineRule="auto"/>
        <w:ind w:firstLine="720"/>
        <w:jc w:val="both"/>
        <w:rPr>
          <w:rFonts w:ascii="Arial" w:hAnsi="Arial" w:cs="Arial"/>
          <w:lang w:val="mn-MN"/>
        </w:rPr>
      </w:pPr>
    </w:p>
    <w:p w14:paraId="6B3998B5" w14:textId="23D1149D" w:rsidR="000A4732" w:rsidRPr="00C32E76" w:rsidRDefault="000A4732" w:rsidP="00C32E76">
      <w:pPr>
        <w:spacing w:after="0" w:line="240" w:lineRule="auto"/>
        <w:jc w:val="both"/>
        <w:rPr>
          <w:rFonts w:ascii="Arial" w:hAnsi="Arial" w:cs="Arial"/>
          <w:i/>
          <w:iCs/>
          <w:lang w:val="mn-MN"/>
        </w:rPr>
      </w:pPr>
      <w:r w:rsidRPr="00C32E76">
        <w:rPr>
          <w:rFonts w:ascii="Arial" w:hAnsi="Arial" w:cs="Arial"/>
          <w:i/>
          <w:iCs/>
          <w:lang w:val="mn-MN"/>
        </w:rPr>
        <w:t>ЭХХШтХ-д оруулах нэмэлт зохицуулалт:</w:t>
      </w:r>
    </w:p>
    <w:p w14:paraId="32DE2FFA" w14:textId="77777777" w:rsidR="00C32E76" w:rsidRPr="00C32E76" w:rsidRDefault="00C32E76" w:rsidP="00C32E76">
      <w:pPr>
        <w:spacing w:after="0" w:line="240" w:lineRule="auto"/>
        <w:jc w:val="both"/>
        <w:rPr>
          <w:rFonts w:ascii="Arial" w:hAnsi="Arial" w:cs="Arial"/>
          <w:i/>
          <w:iCs/>
          <w:lang w:val="mn-MN"/>
        </w:rPr>
      </w:pPr>
    </w:p>
    <w:p w14:paraId="23E610BD" w14:textId="13581CDA" w:rsidR="00A72565" w:rsidRPr="00C32E76" w:rsidRDefault="007925D7" w:rsidP="00C32E76">
      <w:pPr>
        <w:spacing w:after="0" w:line="240" w:lineRule="auto"/>
        <w:ind w:firstLine="720"/>
        <w:jc w:val="both"/>
        <w:rPr>
          <w:rFonts w:ascii="Arial" w:hAnsi="Arial" w:cs="Arial"/>
          <w:lang w:val="mn-MN"/>
        </w:rPr>
      </w:pPr>
      <w:r w:rsidRPr="00C32E76">
        <w:rPr>
          <w:rFonts w:ascii="Arial" w:hAnsi="Arial" w:cs="Arial"/>
          <w:lang w:val="mn-MN"/>
        </w:rPr>
        <w:t>Х</w:t>
      </w:r>
      <w:r w:rsidR="00A72565" w:rsidRPr="00C32E76">
        <w:rPr>
          <w:rFonts w:ascii="Arial" w:hAnsi="Arial" w:cs="Arial"/>
          <w:lang w:val="mn-MN"/>
        </w:rPr>
        <w:t>уулийн төсөл нь Эрүүгийн хэрэг хянан шийдвэрлэх тухай хуулийн 14.4 болон 26.1 дүгээр зүйлд нэмэлт</w:t>
      </w:r>
      <w:r w:rsidR="00945A31" w:rsidRPr="00C32E76">
        <w:rPr>
          <w:rFonts w:ascii="Arial" w:hAnsi="Arial" w:cs="Arial"/>
          <w:lang w:val="mn-MN"/>
        </w:rPr>
        <w:t xml:space="preserve"> </w:t>
      </w:r>
      <w:r w:rsidR="00A72565" w:rsidRPr="00C32E76">
        <w:rPr>
          <w:rFonts w:ascii="Arial" w:hAnsi="Arial" w:cs="Arial"/>
          <w:lang w:val="mn-MN"/>
        </w:rPr>
        <w:t>оруулах замаар хуулийн этгээдийн тодорхой төрлийн үйл ажиллагааг түдгэлзүүлэх таслан сэргийлэх арга хэмжээ</w:t>
      </w:r>
      <w:r w:rsidR="00DE70EA" w:rsidRPr="00C32E76">
        <w:rPr>
          <w:rFonts w:ascii="Arial" w:hAnsi="Arial" w:cs="Arial"/>
          <w:lang w:val="mn-MN"/>
        </w:rPr>
        <w:t xml:space="preserve"> болон хуулийн этгээдийн </w:t>
      </w:r>
      <w:r w:rsidR="00A72565" w:rsidRPr="00C32E76">
        <w:rPr>
          <w:rFonts w:ascii="Arial" w:hAnsi="Arial" w:cs="Arial"/>
          <w:lang w:val="mn-MN"/>
        </w:rPr>
        <w:t>хөрөнгийн шилжилт хөдөлгөөнийг хязгаарлах ажиллагаа</w:t>
      </w:r>
      <w:r w:rsidR="00DE70EA" w:rsidRPr="00C32E76">
        <w:rPr>
          <w:rFonts w:ascii="Arial" w:hAnsi="Arial" w:cs="Arial"/>
          <w:lang w:val="mn-MN"/>
        </w:rPr>
        <w:t xml:space="preserve">ны журмыг </w:t>
      </w:r>
      <w:r w:rsidR="00A72565" w:rsidRPr="00C32E76">
        <w:rPr>
          <w:rFonts w:ascii="Arial" w:hAnsi="Arial" w:cs="Arial"/>
          <w:lang w:val="mn-MN"/>
        </w:rPr>
        <w:t>нарийвчлан зохицуулж байна.</w:t>
      </w:r>
    </w:p>
    <w:p w14:paraId="7A234DB9" w14:textId="77777777" w:rsidR="00C32E76" w:rsidRPr="00C32E76" w:rsidRDefault="00C32E76" w:rsidP="00C32E76">
      <w:pPr>
        <w:spacing w:after="0" w:line="240" w:lineRule="auto"/>
        <w:ind w:firstLine="720"/>
        <w:jc w:val="both"/>
        <w:rPr>
          <w:rFonts w:ascii="Arial" w:hAnsi="Arial" w:cs="Arial"/>
          <w:lang w:val="mn-MN"/>
        </w:rPr>
      </w:pPr>
    </w:p>
    <w:p w14:paraId="780418BF" w14:textId="12B4EF7F" w:rsidR="00A72565" w:rsidRPr="00C32E76" w:rsidRDefault="00A72565" w:rsidP="00C32E76">
      <w:pPr>
        <w:spacing w:after="0" w:line="240" w:lineRule="auto"/>
        <w:jc w:val="both"/>
        <w:rPr>
          <w:rFonts w:ascii="Arial" w:hAnsi="Arial" w:cs="Arial"/>
          <w:color w:val="000000" w:themeColor="text1"/>
          <w:lang w:val="mn-MN"/>
        </w:rPr>
      </w:pPr>
      <w:r w:rsidRPr="00C32E76">
        <w:rPr>
          <w:rFonts w:ascii="Arial" w:hAnsi="Arial" w:cs="Arial"/>
          <w:lang w:val="mn-MN"/>
        </w:rPr>
        <w:t xml:space="preserve">Энэхүү зохицуулалтад нийцүүлэн </w:t>
      </w:r>
      <w:r w:rsidR="00A84DCD" w:rsidRPr="00C32E76">
        <w:rPr>
          <w:rFonts w:ascii="Arial" w:hAnsi="Arial" w:cs="Arial"/>
          <w:lang w:val="mn-MN"/>
        </w:rPr>
        <w:t>ЭХХШтХ-д</w:t>
      </w:r>
      <w:r w:rsidR="001B592A" w:rsidRPr="00C32E76">
        <w:rPr>
          <w:rFonts w:ascii="Arial" w:hAnsi="Arial" w:cs="Arial"/>
          <w:lang w:val="mn-MN"/>
        </w:rPr>
        <w:t xml:space="preserve"> </w:t>
      </w:r>
      <w:r w:rsidR="00A84DCD" w:rsidRPr="00C32E76">
        <w:rPr>
          <w:rFonts w:ascii="Arial" w:hAnsi="Arial" w:cs="Arial"/>
          <w:lang w:val="mn-MN"/>
        </w:rPr>
        <w:t xml:space="preserve">дараах </w:t>
      </w:r>
      <w:r w:rsidR="001B592A" w:rsidRPr="00C32E76">
        <w:rPr>
          <w:rFonts w:ascii="Arial" w:hAnsi="Arial" w:cs="Arial"/>
          <w:lang w:val="mn-MN"/>
        </w:rPr>
        <w:t>нэмэл</w:t>
      </w:r>
      <w:r w:rsidR="00A84DCD" w:rsidRPr="00C32E76">
        <w:rPr>
          <w:rFonts w:ascii="Arial" w:hAnsi="Arial" w:cs="Arial"/>
          <w:lang w:val="mn-MN"/>
        </w:rPr>
        <w:t>тийг оруулна:</w:t>
      </w:r>
      <w:r w:rsidR="001B592A" w:rsidRPr="00C32E76">
        <w:rPr>
          <w:rFonts w:ascii="Arial" w:hAnsi="Arial" w:cs="Arial"/>
          <w:lang w:val="mn-MN"/>
        </w:rPr>
        <w:t xml:space="preserve"> </w:t>
      </w:r>
      <w:r w:rsidRPr="00C32E76">
        <w:rPr>
          <w:rFonts w:ascii="Arial" w:hAnsi="Arial" w:cs="Arial"/>
          <w:color w:val="000000" w:themeColor="text1"/>
          <w:lang w:val="mn-MN"/>
        </w:rPr>
        <w:t xml:space="preserve">  </w:t>
      </w:r>
    </w:p>
    <w:tbl>
      <w:tblPr>
        <w:tblStyle w:val="TableGrid"/>
        <w:tblW w:w="9016" w:type="dxa"/>
        <w:tblLook w:val="04A0" w:firstRow="1" w:lastRow="0" w:firstColumn="1" w:lastColumn="0" w:noHBand="0" w:noVBand="1"/>
      </w:tblPr>
      <w:tblGrid>
        <w:gridCol w:w="1411"/>
        <w:gridCol w:w="7605"/>
      </w:tblGrid>
      <w:tr w:rsidR="0012063F" w:rsidRPr="00C32E76" w14:paraId="75C17447" w14:textId="77777777" w:rsidTr="00874AF3">
        <w:tc>
          <w:tcPr>
            <w:tcW w:w="9016" w:type="dxa"/>
            <w:gridSpan w:val="2"/>
          </w:tcPr>
          <w:p w14:paraId="060B2CC7" w14:textId="2B5AE177" w:rsidR="0012063F" w:rsidRPr="00C32E76" w:rsidRDefault="0012063F" w:rsidP="00C32E76">
            <w:pPr>
              <w:jc w:val="both"/>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w:t>
            </w:r>
            <w:r w:rsidR="00FC5C7B" w:rsidRPr="00C32E76">
              <w:rPr>
                <w:rFonts w:ascii="Arial" w:hAnsi="Arial" w:cs="Arial"/>
                <w:b/>
                <w:bCs/>
                <w:color w:val="000000" w:themeColor="text1"/>
                <w:sz w:val="22"/>
                <w:szCs w:val="22"/>
                <w:lang w:val="mn-MN"/>
              </w:rPr>
              <w:t xml:space="preserve"> Тодорхой үйл ажиллагаа явуулах, албан үүргээ биелүүлэхийг түдгэлзүүлэх таслан сэргийлэх арга хэмжээ</w:t>
            </w:r>
          </w:p>
        </w:tc>
      </w:tr>
      <w:tr w:rsidR="00FC5C7B" w:rsidRPr="00C32E76" w14:paraId="32C3FD86" w14:textId="77777777" w:rsidTr="00874AF3">
        <w:trPr>
          <w:trHeight w:val="332"/>
        </w:trPr>
        <w:tc>
          <w:tcPr>
            <w:tcW w:w="1411" w:type="dxa"/>
          </w:tcPr>
          <w:p w14:paraId="4836B29B" w14:textId="194E392B" w:rsidR="00FC5C7B" w:rsidRPr="00C32E76" w:rsidRDefault="00FC5C7B" w:rsidP="00C32E76">
            <w:pPr>
              <w:ind w:right="49"/>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Заалт</w:t>
            </w:r>
          </w:p>
        </w:tc>
        <w:tc>
          <w:tcPr>
            <w:tcW w:w="7605" w:type="dxa"/>
          </w:tcPr>
          <w:p w14:paraId="756EB288" w14:textId="279C106D" w:rsidR="00FC5C7B" w:rsidRPr="00C32E76" w:rsidRDefault="00FC5C7B" w:rsidP="00C32E76">
            <w:pPr>
              <w:jc w:val="both"/>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Нэмэлт</w:t>
            </w:r>
          </w:p>
        </w:tc>
      </w:tr>
      <w:tr w:rsidR="0012063F" w:rsidRPr="00C32E76" w14:paraId="5FAD2A29" w14:textId="6A7FA27E" w:rsidTr="00874AF3">
        <w:tc>
          <w:tcPr>
            <w:tcW w:w="1411" w:type="dxa"/>
            <w:vMerge w:val="restart"/>
          </w:tcPr>
          <w:p w14:paraId="7B6D2307" w14:textId="506C2519" w:rsidR="0012063F" w:rsidRPr="00C32E76" w:rsidRDefault="0012063F" w:rsidP="00C32E76">
            <w:pPr>
              <w:ind w:right="49"/>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зүйлийн 6 дах хэсэг</w:t>
            </w:r>
          </w:p>
          <w:p w14:paraId="5BA056E1" w14:textId="77777777" w:rsidR="0012063F" w:rsidRPr="00C32E76" w:rsidRDefault="0012063F" w:rsidP="00C32E76">
            <w:pPr>
              <w:ind w:right="49"/>
              <w:jc w:val="center"/>
              <w:rPr>
                <w:rFonts w:ascii="Arial" w:hAnsi="Arial" w:cs="Arial"/>
                <w:b/>
                <w:bCs/>
                <w:color w:val="000000" w:themeColor="text1"/>
                <w:sz w:val="22"/>
                <w:szCs w:val="22"/>
                <w:lang w:val="mn-MN"/>
              </w:rPr>
            </w:pPr>
          </w:p>
        </w:tc>
        <w:tc>
          <w:tcPr>
            <w:tcW w:w="7605" w:type="dxa"/>
          </w:tcPr>
          <w:p w14:paraId="1C1D98F3" w14:textId="77777777" w:rsidR="0012063F" w:rsidRPr="00C32E76" w:rsidRDefault="0012063F" w:rsidP="00C32E76">
            <w:pPr>
              <w:jc w:val="both"/>
              <w:rPr>
                <w:rFonts w:ascii="Arial" w:hAnsi="Arial" w:cs="Arial"/>
                <w:color w:val="000000" w:themeColor="text1"/>
                <w:sz w:val="22"/>
                <w:szCs w:val="22"/>
                <w:lang w:val="mn-MN"/>
              </w:rPr>
            </w:pPr>
            <w:r w:rsidRPr="00C32E76">
              <w:rPr>
                <w:rFonts w:ascii="Arial" w:hAnsi="Arial" w:cs="Arial"/>
                <w:color w:val="000000" w:themeColor="text1"/>
                <w:sz w:val="22"/>
                <w:szCs w:val="22"/>
                <w:lang w:val="mn-MN"/>
              </w:rPr>
              <w:t>“6.</w:t>
            </w:r>
            <w:r w:rsidRPr="00C32E76">
              <w:rPr>
                <w:rFonts w:ascii="Arial" w:eastAsia="Times New Roman" w:hAnsi="Arial" w:cs="Arial"/>
                <w:color w:val="000000" w:themeColor="text1"/>
                <w:sz w:val="22"/>
                <w:szCs w:val="22"/>
                <w:lang w:val="mn-MN"/>
              </w:rPr>
              <w:t>Шүүх хуулийн этгээдийн тодорхой төрлийн үйл ажиллагаа явуулах эрхийг түдгэлзүүлэх таслан сэргийлэх арга хэмжээг авах эсэхийг дараах нөхцөл байдлыг харгалзан шийдвэрлэнэ.</w:t>
            </w:r>
            <w:r w:rsidRPr="00C32E76">
              <w:rPr>
                <w:rFonts w:ascii="Arial" w:hAnsi="Arial" w:cs="Arial"/>
                <w:color w:val="000000" w:themeColor="text1"/>
                <w:sz w:val="22"/>
                <w:szCs w:val="22"/>
                <w:lang w:val="mn-MN"/>
              </w:rPr>
              <w:t>”</w:t>
            </w:r>
          </w:p>
          <w:p w14:paraId="3131D460" w14:textId="77777777" w:rsidR="0012063F" w:rsidRPr="00C32E76" w:rsidRDefault="0012063F" w:rsidP="00C32E76">
            <w:pPr>
              <w:ind w:right="49"/>
              <w:jc w:val="center"/>
              <w:rPr>
                <w:rFonts w:ascii="Arial" w:hAnsi="Arial" w:cs="Arial"/>
                <w:color w:val="000000" w:themeColor="text1"/>
                <w:sz w:val="22"/>
                <w:szCs w:val="22"/>
                <w:lang w:val="mn-MN"/>
              </w:rPr>
            </w:pPr>
          </w:p>
        </w:tc>
      </w:tr>
      <w:tr w:rsidR="0012063F" w:rsidRPr="00C32E76" w14:paraId="19392A25" w14:textId="672E40CD" w:rsidTr="00874AF3">
        <w:tc>
          <w:tcPr>
            <w:tcW w:w="1411" w:type="dxa"/>
            <w:vMerge/>
          </w:tcPr>
          <w:p w14:paraId="11374515" w14:textId="77777777" w:rsidR="0012063F" w:rsidRPr="00C32E76" w:rsidRDefault="0012063F" w:rsidP="00C32E76">
            <w:pPr>
              <w:ind w:right="49"/>
              <w:jc w:val="center"/>
              <w:rPr>
                <w:rFonts w:ascii="Arial" w:hAnsi="Arial" w:cs="Arial"/>
                <w:b/>
                <w:bCs/>
                <w:color w:val="000000" w:themeColor="text1"/>
                <w:sz w:val="22"/>
                <w:szCs w:val="22"/>
                <w:lang w:val="mn-MN"/>
              </w:rPr>
            </w:pPr>
          </w:p>
        </w:tc>
        <w:tc>
          <w:tcPr>
            <w:tcW w:w="7605" w:type="dxa"/>
          </w:tcPr>
          <w:p w14:paraId="19FE02C1" w14:textId="77777777" w:rsidR="0012063F" w:rsidRPr="00C32E76" w:rsidRDefault="0012063F" w:rsidP="00C32E76">
            <w:pPr>
              <w:pStyle w:val="NormalWeb"/>
              <w:shd w:val="clear" w:color="auto" w:fill="FFFFFF"/>
              <w:spacing w:before="0" w:beforeAutospacing="0" w:after="0" w:afterAutospacing="0"/>
              <w:jc w:val="both"/>
              <w:rPr>
                <w:rFonts w:ascii="Arial" w:hAnsi="Arial" w:cs="Arial"/>
                <w:color w:val="000000" w:themeColor="text1"/>
                <w:sz w:val="22"/>
                <w:szCs w:val="22"/>
                <w:lang w:val="mn-MN"/>
              </w:rPr>
            </w:pPr>
            <w:r w:rsidRPr="00C32E76">
              <w:rPr>
                <w:rFonts w:ascii="Arial" w:hAnsi="Arial" w:cs="Arial"/>
                <w:color w:val="000000" w:themeColor="text1"/>
                <w:sz w:val="22"/>
                <w:szCs w:val="22"/>
                <w:lang w:val="mn-MN"/>
              </w:rPr>
              <w:t>“6.1.Хуулийн этгээдийн тодорхой төрлийн үйл ажиллагаа явуулах эрхийг түдгэлзүүлэх нь бусдын амь нас, эрүүл мэнд, эд хөрөнгөд ноцтой, бусад хуулийн этгээд, эсхүл нийтийн ашиг сонирхолд илт хохирол учруулах эсэх;”</w:t>
            </w:r>
          </w:p>
          <w:p w14:paraId="1061F679" w14:textId="77777777" w:rsidR="0012063F" w:rsidRPr="00C32E76" w:rsidRDefault="0012063F" w:rsidP="00C32E76">
            <w:pPr>
              <w:ind w:right="49"/>
              <w:jc w:val="center"/>
              <w:rPr>
                <w:rFonts w:ascii="Arial" w:hAnsi="Arial" w:cs="Arial"/>
                <w:color w:val="000000" w:themeColor="text1"/>
                <w:sz w:val="22"/>
                <w:szCs w:val="22"/>
                <w:lang w:val="mn-MN"/>
              </w:rPr>
            </w:pPr>
          </w:p>
        </w:tc>
      </w:tr>
      <w:tr w:rsidR="0012063F" w:rsidRPr="00C32E76" w14:paraId="04001BA1" w14:textId="5E50A8E2" w:rsidTr="00874AF3">
        <w:tc>
          <w:tcPr>
            <w:tcW w:w="1411" w:type="dxa"/>
            <w:vMerge/>
          </w:tcPr>
          <w:p w14:paraId="41128B08" w14:textId="77777777" w:rsidR="0012063F" w:rsidRPr="00C32E76" w:rsidRDefault="0012063F" w:rsidP="00C32E76">
            <w:pPr>
              <w:ind w:right="49"/>
              <w:jc w:val="center"/>
              <w:rPr>
                <w:rFonts w:ascii="Arial" w:hAnsi="Arial" w:cs="Arial"/>
                <w:b/>
                <w:bCs/>
                <w:color w:val="000000" w:themeColor="text1"/>
                <w:sz w:val="22"/>
                <w:szCs w:val="22"/>
                <w:lang w:val="mn-MN"/>
              </w:rPr>
            </w:pPr>
          </w:p>
        </w:tc>
        <w:tc>
          <w:tcPr>
            <w:tcW w:w="7605" w:type="dxa"/>
          </w:tcPr>
          <w:p w14:paraId="15DF7ADB" w14:textId="77777777" w:rsidR="0012063F" w:rsidRPr="00C32E76" w:rsidRDefault="0012063F" w:rsidP="00C32E76">
            <w:pPr>
              <w:jc w:val="both"/>
              <w:rPr>
                <w:rFonts w:ascii="Arial" w:hAnsi="Arial" w:cs="Arial"/>
                <w:color w:val="000000" w:themeColor="text1"/>
                <w:sz w:val="22"/>
                <w:szCs w:val="22"/>
                <w:lang w:val="mn-MN"/>
              </w:rPr>
            </w:pPr>
            <w:r w:rsidRPr="00C32E76">
              <w:rPr>
                <w:rFonts w:ascii="Arial" w:hAnsi="Arial" w:cs="Arial"/>
                <w:color w:val="000000" w:themeColor="text1"/>
                <w:sz w:val="22"/>
                <w:szCs w:val="22"/>
                <w:lang w:val="mn-MN"/>
              </w:rPr>
              <w:t>“6.2.Хуулийн этгээдийн тодорхой төрлийн үйл ажиллагаа явуулах эрхийг түдгэлзүүлэх нь тухайн хуулийн этгээдийн үйлдвэрлэл, үйлчилгээний хэвийн үйл ажиллагааг алдагдуулах, орлого олох эх үүсвэрийг хаах, түүнчлэн түүхий эд, бүтээгдэхүүн түргэн муудаж, чанараа алдах зэрэг үр дагаварт хүргэх эсэх;”</w:t>
            </w:r>
          </w:p>
          <w:p w14:paraId="7F6C9795" w14:textId="77777777" w:rsidR="0012063F" w:rsidRPr="00C32E76" w:rsidRDefault="0012063F" w:rsidP="00C32E76">
            <w:pPr>
              <w:ind w:right="49"/>
              <w:jc w:val="center"/>
              <w:rPr>
                <w:rFonts w:ascii="Arial" w:hAnsi="Arial" w:cs="Arial"/>
                <w:color w:val="000000" w:themeColor="text1"/>
                <w:sz w:val="22"/>
                <w:szCs w:val="22"/>
                <w:lang w:val="mn-MN"/>
              </w:rPr>
            </w:pPr>
          </w:p>
        </w:tc>
      </w:tr>
      <w:tr w:rsidR="00CA4B66" w:rsidRPr="00C32E76" w14:paraId="2AD12AEF" w14:textId="5D13C22F" w:rsidTr="00874AF3">
        <w:tc>
          <w:tcPr>
            <w:tcW w:w="1411" w:type="dxa"/>
          </w:tcPr>
          <w:p w14:paraId="6E84A76B" w14:textId="07C94BC3" w:rsidR="00CA4B66" w:rsidRPr="00C32E76" w:rsidRDefault="00CA4B66" w:rsidP="00C32E76">
            <w:pPr>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lastRenderedPageBreak/>
              <w:t>14.4 дүгээр зүйлийн 7 дах хэсэг</w:t>
            </w:r>
          </w:p>
          <w:p w14:paraId="1330A391" w14:textId="77777777" w:rsidR="00CA4B66" w:rsidRPr="00C32E76" w:rsidRDefault="00CA4B66" w:rsidP="00C32E76">
            <w:pPr>
              <w:ind w:right="49"/>
              <w:jc w:val="center"/>
              <w:rPr>
                <w:rFonts w:ascii="Arial" w:hAnsi="Arial" w:cs="Arial"/>
                <w:b/>
                <w:bCs/>
                <w:color w:val="000000" w:themeColor="text1"/>
                <w:sz w:val="22"/>
                <w:szCs w:val="22"/>
                <w:lang w:val="mn-MN"/>
              </w:rPr>
            </w:pPr>
          </w:p>
        </w:tc>
        <w:tc>
          <w:tcPr>
            <w:tcW w:w="7605" w:type="dxa"/>
          </w:tcPr>
          <w:p w14:paraId="1D1CD0E9" w14:textId="77777777" w:rsidR="00CA4B66" w:rsidRPr="00C32E76" w:rsidRDefault="00CA4B66" w:rsidP="00C32E76">
            <w:pPr>
              <w:jc w:val="both"/>
              <w:rPr>
                <w:rFonts w:ascii="Arial" w:hAnsi="Arial" w:cs="Arial"/>
                <w:color w:val="000000" w:themeColor="text1"/>
                <w:sz w:val="22"/>
                <w:szCs w:val="22"/>
                <w:lang w:val="mn-MN"/>
              </w:rPr>
            </w:pPr>
            <w:r w:rsidRPr="00C32E76">
              <w:rPr>
                <w:rFonts w:ascii="Arial" w:hAnsi="Arial" w:cs="Arial"/>
                <w:color w:val="000000" w:themeColor="text1"/>
                <w:sz w:val="22"/>
                <w:szCs w:val="22"/>
                <w:lang w:val="mn-MN"/>
              </w:rPr>
              <w:t>“7.Хуулийн этгээдийн тодорхой төрлийн үйл ажиллагаа явуулах эрхийг түдгэлзүүлэх таслан сэргийлэх арга хэмжээг авах үндсэн хугацаа 1 сар хүртэл байна.”</w:t>
            </w:r>
          </w:p>
          <w:p w14:paraId="5A0D788A" w14:textId="77777777" w:rsidR="00CA4B66" w:rsidRPr="00C32E76" w:rsidRDefault="00CA4B66" w:rsidP="00C32E76">
            <w:pPr>
              <w:jc w:val="both"/>
              <w:rPr>
                <w:rFonts w:ascii="Arial" w:hAnsi="Arial" w:cs="Arial"/>
                <w:color w:val="000000" w:themeColor="text1"/>
                <w:sz w:val="22"/>
                <w:szCs w:val="22"/>
                <w:lang w:val="mn-MN"/>
              </w:rPr>
            </w:pPr>
          </w:p>
        </w:tc>
      </w:tr>
      <w:tr w:rsidR="00CA4B66" w:rsidRPr="00C32E76" w14:paraId="17244EED" w14:textId="51D61C73" w:rsidTr="00874AF3">
        <w:tc>
          <w:tcPr>
            <w:tcW w:w="1411" w:type="dxa"/>
          </w:tcPr>
          <w:p w14:paraId="43519938" w14:textId="217E5D2D" w:rsidR="00CA4B66" w:rsidRPr="00C32E76" w:rsidRDefault="00CA4B66" w:rsidP="00C32E76">
            <w:pPr>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зүйлийн 8 дах хэсэг</w:t>
            </w:r>
          </w:p>
          <w:p w14:paraId="3568E40C" w14:textId="77777777" w:rsidR="00CA4B66" w:rsidRPr="00C32E76" w:rsidRDefault="00CA4B66" w:rsidP="00C32E76">
            <w:pPr>
              <w:ind w:right="49"/>
              <w:jc w:val="center"/>
              <w:rPr>
                <w:rFonts w:ascii="Arial" w:hAnsi="Arial" w:cs="Arial"/>
                <w:b/>
                <w:bCs/>
                <w:color w:val="000000" w:themeColor="text1"/>
                <w:sz w:val="22"/>
                <w:szCs w:val="22"/>
                <w:lang w:val="mn-MN"/>
              </w:rPr>
            </w:pPr>
          </w:p>
        </w:tc>
        <w:tc>
          <w:tcPr>
            <w:tcW w:w="7605" w:type="dxa"/>
          </w:tcPr>
          <w:p w14:paraId="51A417BC" w14:textId="77777777" w:rsidR="00CA4B66" w:rsidRPr="00C32E76" w:rsidRDefault="00CA4B66" w:rsidP="00C32E76">
            <w:pPr>
              <w:jc w:val="both"/>
              <w:rPr>
                <w:rFonts w:ascii="Arial" w:eastAsia="Times New Roman" w:hAnsi="Arial" w:cs="Arial"/>
                <w:color w:val="000000" w:themeColor="text1"/>
                <w:sz w:val="22"/>
                <w:szCs w:val="22"/>
                <w:lang w:val="mn-MN"/>
              </w:rPr>
            </w:pPr>
            <w:r w:rsidRPr="00C32E76">
              <w:rPr>
                <w:rFonts w:ascii="Arial" w:eastAsia="Times New Roman" w:hAnsi="Arial" w:cs="Arial"/>
                <w:color w:val="000000" w:themeColor="text1"/>
                <w:sz w:val="22"/>
                <w:szCs w:val="22"/>
                <w:lang w:val="mn-MN"/>
              </w:rPr>
              <w:t>“8.Шүүх хуулийн этгээдийн тодорхой төрлийн үйл ажиллагаа явуулах эрхийг түдгэлзүүлэх таслан сэргийлэх арга хэмжээ авсан үндэслэл арилаагүй гэж үзвэл хуулийн этгээдэд авсан тухайн таслан сэргийлэх арга хэмжээний хугацааг тухай бүр 1 сар хүртэл хугацаагаар сунгаж болно.”</w:t>
            </w:r>
          </w:p>
          <w:p w14:paraId="1E0E4B36" w14:textId="77777777" w:rsidR="00CA4B66" w:rsidRPr="00C32E76" w:rsidRDefault="00CA4B66" w:rsidP="00C32E76">
            <w:pPr>
              <w:jc w:val="both"/>
              <w:rPr>
                <w:rFonts w:ascii="Arial" w:eastAsia="Times New Roman" w:hAnsi="Arial" w:cs="Arial"/>
                <w:color w:val="000000" w:themeColor="text1"/>
                <w:sz w:val="22"/>
                <w:szCs w:val="22"/>
                <w:lang w:val="mn-MN"/>
              </w:rPr>
            </w:pPr>
          </w:p>
        </w:tc>
      </w:tr>
      <w:tr w:rsidR="00CA4B66" w:rsidRPr="00C32E76" w14:paraId="7815D096" w14:textId="25680B85" w:rsidTr="00874AF3">
        <w:tc>
          <w:tcPr>
            <w:tcW w:w="1411" w:type="dxa"/>
          </w:tcPr>
          <w:p w14:paraId="455BF316" w14:textId="299A5A13" w:rsidR="00CA4B66" w:rsidRPr="00C32E76" w:rsidRDefault="00CA4B66" w:rsidP="00C32E76">
            <w:pPr>
              <w:ind w:right="49"/>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зүйлийн 9 дэх хэсэг</w:t>
            </w:r>
          </w:p>
        </w:tc>
        <w:tc>
          <w:tcPr>
            <w:tcW w:w="7605" w:type="dxa"/>
          </w:tcPr>
          <w:p w14:paraId="238EA9EF" w14:textId="269122F2" w:rsidR="00CA4B66" w:rsidRPr="00C32E76" w:rsidRDefault="00CA4B66" w:rsidP="00C32E76">
            <w:pPr>
              <w:ind w:right="49"/>
              <w:jc w:val="both"/>
              <w:rPr>
                <w:rFonts w:ascii="Arial" w:eastAsia="Times New Roman" w:hAnsi="Arial" w:cs="Arial"/>
                <w:color w:val="000000" w:themeColor="text1"/>
                <w:sz w:val="22"/>
                <w:szCs w:val="22"/>
                <w:lang w:val="mn-MN"/>
              </w:rPr>
            </w:pPr>
            <w:r w:rsidRPr="00C32E76">
              <w:rPr>
                <w:rFonts w:ascii="Arial" w:eastAsia="Times New Roman" w:hAnsi="Arial" w:cs="Arial"/>
                <w:color w:val="000000" w:themeColor="text1"/>
                <w:sz w:val="22"/>
                <w:szCs w:val="22"/>
                <w:lang w:val="mn-MN"/>
              </w:rPr>
              <w:t>“9.Хуулийн этгээдийн тодорхой төрлийн үйл ажиллагаа явуулах эрхийг түдгэлзүүлэх таслан сэргийлэх арга хэмжээ авах нийт хугацаа 6 сараас хэтэрч болохгүй.”</w:t>
            </w:r>
          </w:p>
        </w:tc>
      </w:tr>
      <w:tr w:rsidR="00CA4B66" w:rsidRPr="00C32E76" w14:paraId="591C4436" w14:textId="331A0DA4" w:rsidTr="00874AF3">
        <w:tc>
          <w:tcPr>
            <w:tcW w:w="1411" w:type="dxa"/>
          </w:tcPr>
          <w:p w14:paraId="6895A139" w14:textId="572B0CE4" w:rsidR="00CA4B66" w:rsidRPr="00C32E76" w:rsidRDefault="00CA4B66" w:rsidP="00C32E76">
            <w:pPr>
              <w:ind w:right="49"/>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зүйлийн 10 дах хэсэг</w:t>
            </w:r>
          </w:p>
        </w:tc>
        <w:tc>
          <w:tcPr>
            <w:tcW w:w="7605" w:type="dxa"/>
          </w:tcPr>
          <w:p w14:paraId="098A21ED" w14:textId="6AB6EFEF" w:rsidR="00CA4B66" w:rsidRPr="00C32E76" w:rsidRDefault="00CA4B66" w:rsidP="00C32E76">
            <w:pPr>
              <w:ind w:right="49"/>
              <w:jc w:val="both"/>
              <w:rPr>
                <w:rFonts w:ascii="Arial" w:eastAsia="Times New Roman" w:hAnsi="Arial" w:cs="Arial"/>
                <w:color w:val="000000" w:themeColor="text1"/>
                <w:sz w:val="22"/>
                <w:szCs w:val="22"/>
                <w:lang w:val="mn-MN"/>
              </w:rPr>
            </w:pPr>
            <w:r w:rsidRPr="00C32E76">
              <w:rPr>
                <w:rFonts w:ascii="Arial" w:eastAsia="Times New Roman" w:hAnsi="Arial" w:cs="Arial"/>
                <w:color w:val="000000" w:themeColor="text1"/>
                <w:sz w:val="22"/>
                <w:szCs w:val="22"/>
                <w:lang w:val="mn-MN"/>
              </w:rPr>
              <w:t>“10.Мөрдөгч хуулийн этгээдийн тодорхой төрлийн үйл ажиллагаа явуулах эрхийг түдгэлзүүлэх таслан сэргийлэх арга хэмжээг авах хугацааг сунгах тухай саналаа хугацаа дуусахаас 7-оос доошгүй хоногийн өмнө прокурорт хүргүүлэх ба прокурор мөрдөгчийн саналыг үндэслэлтэй гэж үзвэл тухайн таслан сэргийлэх арга хэмжээний хугацааг сунгах тухай саналаа даруй шүүхэд хүргүүлнэ.”</w:t>
            </w:r>
          </w:p>
        </w:tc>
      </w:tr>
      <w:tr w:rsidR="00CA4B66" w:rsidRPr="00C32E76" w14:paraId="671A1727" w14:textId="1344304E" w:rsidTr="00874AF3">
        <w:tc>
          <w:tcPr>
            <w:tcW w:w="1411" w:type="dxa"/>
          </w:tcPr>
          <w:p w14:paraId="232914FF" w14:textId="6FACE71C" w:rsidR="00CA4B66" w:rsidRPr="00C32E76" w:rsidRDefault="00CA4B66" w:rsidP="00C32E76">
            <w:pPr>
              <w:ind w:right="49"/>
              <w:jc w:val="center"/>
              <w:rPr>
                <w:rFonts w:ascii="Arial" w:hAnsi="Arial" w:cs="Arial"/>
                <w:b/>
                <w:bCs/>
                <w:color w:val="000000" w:themeColor="text1"/>
                <w:sz w:val="22"/>
                <w:szCs w:val="22"/>
                <w:lang w:val="mn-MN"/>
              </w:rPr>
            </w:pPr>
            <w:r w:rsidRPr="00C32E76">
              <w:rPr>
                <w:rFonts w:ascii="Arial" w:hAnsi="Arial" w:cs="Arial"/>
                <w:b/>
                <w:bCs/>
                <w:color w:val="000000" w:themeColor="text1"/>
                <w:sz w:val="22"/>
                <w:szCs w:val="22"/>
                <w:lang w:val="mn-MN"/>
              </w:rPr>
              <w:t>14.4 дүгээр зүйлийн 11 дэх хэсэг</w:t>
            </w:r>
          </w:p>
        </w:tc>
        <w:tc>
          <w:tcPr>
            <w:tcW w:w="7605" w:type="dxa"/>
          </w:tcPr>
          <w:p w14:paraId="39FDE472" w14:textId="754C9014" w:rsidR="00CA4B66" w:rsidRPr="00C32E76" w:rsidRDefault="00CA4B66" w:rsidP="00C32E76">
            <w:pPr>
              <w:ind w:right="49"/>
              <w:jc w:val="both"/>
              <w:rPr>
                <w:rFonts w:ascii="Arial" w:hAnsi="Arial" w:cs="Arial"/>
                <w:color w:val="000000" w:themeColor="text1"/>
                <w:sz w:val="22"/>
                <w:szCs w:val="22"/>
                <w:lang w:val="mn-MN"/>
              </w:rPr>
            </w:pPr>
            <w:r w:rsidRPr="00C32E76">
              <w:rPr>
                <w:rFonts w:ascii="Arial" w:hAnsi="Arial" w:cs="Arial"/>
                <w:color w:val="000000" w:themeColor="text1"/>
                <w:sz w:val="22"/>
                <w:szCs w:val="22"/>
                <w:lang w:val="mn-MN"/>
              </w:rPr>
              <w:t>“11.</w:t>
            </w:r>
            <w:r w:rsidRPr="00C32E76">
              <w:rPr>
                <w:rFonts w:ascii="Arial" w:eastAsia="Times New Roman" w:hAnsi="Arial" w:cs="Arial"/>
                <w:color w:val="000000" w:themeColor="text1"/>
                <w:sz w:val="22"/>
                <w:szCs w:val="22"/>
                <w:lang w:val="mn-MN"/>
              </w:rPr>
              <w:t>Шүүх хуулийн этгээдийн тодорхой төрлийн үйл ажиллагаа явуулах эрхийг түдгэлзүүлэх таслан сэргийлэх арга хэмжээ авах хугацааг сунгах тухай прокурорын саналыг хугацаа дуусахаас 4-өөс доошгүй хоногийн өмнө энэ хуулийн 14.13 дугаар зүйлд зааснаар хянан хэлэлцэж, тухайн таслан сэргийлэх арга хэмжээний хугацааг сунгах, эсхүл сунгахыг татгалзах тухай шийдвэр гаргана.”</w:t>
            </w:r>
          </w:p>
        </w:tc>
      </w:tr>
      <w:tr w:rsidR="00874AF3" w:rsidRPr="00C32E76" w14:paraId="69809020" w14:textId="77777777" w:rsidTr="00874AF3">
        <w:tc>
          <w:tcPr>
            <w:tcW w:w="9016" w:type="dxa"/>
            <w:gridSpan w:val="2"/>
          </w:tcPr>
          <w:p w14:paraId="243013B9" w14:textId="77777777" w:rsidR="00B23074" w:rsidRPr="00C32E76" w:rsidRDefault="00B23074" w:rsidP="00C32E76">
            <w:pPr>
              <w:ind w:right="49"/>
              <w:jc w:val="both"/>
              <w:rPr>
                <w:rFonts w:ascii="Arial" w:eastAsia="Times New Roman" w:hAnsi="Arial" w:cs="Arial"/>
                <w:b/>
                <w:bCs/>
                <w:color w:val="000000" w:themeColor="text1"/>
                <w:sz w:val="22"/>
                <w:szCs w:val="22"/>
                <w:lang w:val="mn-MN"/>
              </w:rPr>
            </w:pPr>
          </w:p>
          <w:p w14:paraId="00BE0821" w14:textId="52EB33D3" w:rsidR="00874AF3" w:rsidRPr="00C32E76" w:rsidRDefault="00874AF3" w:rsidP="00C32E76">
            <w:pPr>
              <w:ind w:right="49"/>
              <w:jc w:val="both"/>
              <w:rPr>
                <w:rFonts w:ascii="Arial" w:eastAsia="Times New Roman" w:hAnsi="Arial" w:cs="Arial"/>
                <w:b/>
                <w:bCs/>
                <w:color w:val="000000" w:themeColor="text1"/>
                <w:sz w:val="22"/>
                <w:szCs w:val="22"/>
                <w:lang w:val="mn-MN"/>
              </w:rPr>
            </w:pPr>
            <w:r w:rsidRPr="00C32E76">
              <w:rPr>
                <w:rFonts w:ascii="Arial" w:eastAsia="Times New Roman" w:hAnsi="Arial" w:cs="Arial"/>
                <w:b/>
                <w:bCs/>
                <w:color w:val="000000" w:themeColor="text1"/>
                <w:sz w:val="22"/>
                <w:szCs w:val="22"/>
                <w:lang w:val="mn-MN"/>
              </w:rPr>
              <w:t>26.1 дүгээр зүйл. Хөрөнгийн шилжилт хөдөлгөөнийг хянах, хязгаарлах</w:t>
            </w:r>
          </w:p>
          <w:p w14:paraId="154A969C" w14:textId="77777777" w:rsidR="00874AF3" w:rsidRPr="00C32E76" w:rsidRDefault="00874AF3" w:rsidP="00C32E76">
            <w:pPr>
              <w:ind w:right="49"/>
              <w:jc w:val="both"/>
              <w:rPr>
                <w:rFonts w:ascii="Arial" w:eastAsia="Times New Roman" w:hAnsi="Arial" w:cs="Arial"/>
                <w:b/>
                <w:bCs/>
                <w:color w:val="000000" w:themeColor="text1"/>
                <w:sz w:val="22"/>
                <w:szCs w:val="22"/>
                <w:lang w:val="mn-MN"/>
              </w:rPr>
            </w:pPr>
          </w:p>
        </w:tc>
      </w:tr>
      <w:tr w:rsidR="00874AF3" w:rsidRPr="00C32E76" w14:paraId="5B5D3F05" w14:textId="77777777" w:rsidTr="00874AF3">
        <w:trPr>
          <w:trHeight w:val="413"/>
        </w:trPr>
        <w:tc>
          <w:tcPr>
            <w:tcW w:w="1411" w:type="dxa"/>
          </w:tcPr>
          <w:p w14:paraId="0425FC79" w14:textId="77777777" w:rsidR="00874AF3" w:rsidRPr="00C32E76" w:rsidRDefault="00874AF3" w:rsidP="00C32E76">
            <w:pPr>
              <w:ind w:right="49"/>
              <w:jc w:val="center"/>
              <w:rPr>
                <w:rFonts w:ascii="Arial" w:eastAsia="Times New Roman" w:hAnsi="Arial" w:cs="Arial"/>
                <w:b/>
                <w:bCs/>
                <w:color w:val="000000" w:themeColor="text1"/>
                <w:sz w:val="22"/>
                <w:szCs w:val="22"/>
                <w:lang w:val="mn-MN"/>
              </w:rPr>
            </w:pPr>
            <w:r w:rsidRPr="00C32E76">
              <w:rPr>
                <w:rFonts w:ascii="Arial" w:eastAsia="Times New Roman" w:hAnsi="Arial" w:cs="Arial"/>
                <w:b/>
                <w:bCs/>
                <w:color w:val="000000" w:themeColor="text1"/>
                <w:sz w:val="22"/>
                <w:szCs w:val="22"/>
                <w:lang w:val="mn-MN"/>
              </w:rPr>
              <w:t>Заалт</w:t>
            </w:r>
          </w:p>
        </w:tc>
        <w:tc>
          <w:tcPr>
            <w:tcW w:w="7605" w:type="dxa"/>
          </w:tcPr>
          <w:p w14:paraId="40536BD9" w14:textId="77777777" w:rsidR="00874AF3" w:rsidRPr="00C32E76" w:rsidRDefault="00874AF3" w:rsidP="00C32E76">
            <w:pPr>
              <w:ind w:right="49"/>
              <w:jc w:val="both"/>
              <w:rPr>
                <w:rFonts w:ascii="Arial" w:eastAsia="Times New Roman" w:hAnsi="Arial" w:cs="Arial"/>
                <w:b/>
                <w:bCs/>
                <w:color w:val="000000" w:themeColor="text1"/>
                <w:sz w:val="22"/>
                <w:szCs w:val="22"/>
                <w:lang w:val="mn-MN"/>
              </w:rPr>
            </w:pPr>
            <w:r w:rsidRPr="00C32E76">
              <w:rPr>
                <w:rFonts w:ascii="Arial" w:eastAsia="Times New Roman" w:hAnsi="Arial" w:cs="Arial"/>
                <w:b/>
                <w:bCs/>
                <w:color w:val="000000" w:themeColor="text1"/>
                <w:sz w:val="22"/>
                <w:szCs w:val="22"/>
                <w:lang w:val="mn-MN"/>
              </w:rPr>
              <w:t>Нэмэлт</w:t>
            </w:r>
          </w:p>
        </w:tc>
      </w:tr>
      <w:tr w:rsidR="0012063F" w:rsidRPr="00C32E76" w14:paraId="07E82B6B" w14:textId="5C31C786" w:rsidTr="00874AF3">
        <w:tc>
          <w:tcPr>
            <w:tcW w:w="1411" w:type="dxa"/>
            <w:vMerge w:val="restart"/>
          </w:tcPr>
          <w:p w14:paraId="14FF7873" w14:textId="7FA4C881" w:rsidR="0012063F" w:rsidRPr="00C32E76" w:rsidRDefault="0012063F" w:rsidP="00C32E76">
            <w:pPr>
              <w:ind w:right="49"/>
              <w:jc w:val="center"/>
              <w:rPr>
                <w:rFonts w:ascii="Arial" w:hAnsi="Arial" w:cs="Arial"/>
                <w:b/>
                <w:bCs/>
                <w:color w:val="000000" w:themeColor="text1"/>
                <w:sz w:val="22"/>
                <w:szCs w:val="22"/>
                <w:lang w:val="mn-MN"/>
              </w:rPr>
            </w:pPr>
            <w:r w:rsidRPr="00C32E76">
              <w:rPr>
                <w:rFonts w:ascii="Arial" w:eastAsia="Times New Roman" w:hAnsi="Arial" w:cs="Arial"/>
                <w:b/>
                <w:bCs/>
                <w:color w:val="000000" w:themeColor="text1"/>
                <w:sz w:val="22"/>
                <w:szCs w:val="22"/>
                <w:lang w:val="mn-MN"/>
              </w:rPr>
              <w:t>26.1 дүгээр зүйлийн 3 дах хэсэг</w:t>
            </w:r>
          </w:p>
        </w:tc>
        <w:tc>
          <w:tcPr>
            <w:tcW w:w="7605" w:type="dxa"/>
          </w:tcPr>
          <w:p w14:paraId="27BC8FDF" w14:textId="54A2BD76" w:rsidR="0012063F" w:rsidRPr="00C32E76" w:rsidRDefault="0012063F" w:rsidP="00C32E76">
            <w:pPr>
              <w:ind w:right="49"/>
              <w:jc w:val="both"/>
              <w:rPr>
                <w:rFonts w:ascii="Arial" w:hAnsi="Arial" w:cs="Arial"/>
                <w:color w:val="000000" w:themeColor="text1"/>
                <w:sz w:val="22"/>
                <w:szCs w:val="22"/>
                <w:lang w:val="mn-MN"/>
              </w:rPr>
            </w:pPr>
            <w:r w:rsidRPr="00C32E76">
              <w:rPr>
                <w:rFonts w:ascii="Arial" w:eastAsia="Times New Roman" w:hAnsi="Arial" w:cs="Arial"/>
                <w:color w:val="000000" w:themeColor="text1"/>
                <w:sz w:val="22"/>
                <w:szCs w:val="22"/>
                <w:lang w:val="mn-MN"/>
              </w:rPr>
              <w:t xml:space="preserve">“3.Прокурор нь хуулийн этгээдэд холбогдуулан энэ зүйлийн 1 дэх хэсэгт заасан хөрөнгийн шилжилт хөдөлгөөнийг хязгаарлах мөрдөн шалгах ажиллагааг явуулахдаа дараах нөхцөл байдлыг харгалзан шийдвэрлэнэ. </w:t>
            </w:r>
          </w:p>
        </w:tc>
      </w:tr>
      <w:tr w:rsidR="0012063F" w:rsidRPr="00C32E76" w14:paraId="1F85A3CB" w14:textId="763A6BAC" w:rsidTr="00874AF3">
        <w:tc>
          <w:tcPr>
            <w:tcW w:w="1411" w:type="dxa"/>
            <w:vMerge/>
          </w:tcPr>
          <w:p w14:paraId="2887F9C0" w14:textId="77777777" w:rsidR="0012063F" w:rsidRPr="00C32E76" w:rsidRDefault="0012063F" w:rsidP="00C32E76">
            <w:pPr>
              <w:ind w:right="49"/>
              <w:jc w:val="center"/>
              <w:rPr>
                <w:rFonts w:ascii="Arial" w:hAnsi="Arial" w:cs="Arial"/>
                <w:color w:val="000000" w:themeColor="text1"/>
                <w:sz w:val="22"/>
                <w:szCs w:val="22"/>
                <w:lang w:val="mn-MN"/>
              </w:rPr>
            </w:pPr>
          </w:p>
        </w:tc>
        <w:tc>
          <w:tcPr>
            <w:tcW w:w="7605" w:type="dxa"/>
          </w:tcPr>
          <w:p w14:paraId="0384FA5E" w14:textId="19CD1DC8" w:rsidR="0012063F" w:rsidRPr="00C32E76" w:rsidRDefault="0012063F" w:rsidP="00C32E76">
            <w:pPr>
              <w:ind w:right="49"/>
              <w:jc w:val="both"/>
              <w:rPr>
                <w:rFonts w:ascii="Arial" w:hAnsi="Arial" w:cs="Arial"/>
                <w:color w:val="000000" w:themeColor="text1"/>
                <w:sz w:val="22"/>
                <w:szCs w:val="22"/>
                <w:lang w:val="mn-MN"/>
              </w:rPr>
            </w:pPr>
            <w:r w:rsidRPr="00C32E76">
              <w:rPr>
                <w:rFonts w:ascii="Arial" w:eastAsia="Times New Roman" w:hAnsi="Arial" w:cs="Arial"/>
                <w:color w:val="000000" w:themeColor="text1"/>
                <w:sz w:val="22"/>
                <w:szCs w:val="22"/>
                <w:lang w:val="mn-MN"/>
              </w:rPr>
              <w:t>“3.1.Бусдын амь нас, эрүүл мэнд, эд хөрөнгөд ноцтой, бусад хуулийн этгээд, эсхүл нийтийн ашиг сонирхолд илт хохирол учруулах эсэх”</w:t>
            </w:r>
          </w:p>
        </w:tc>
      </w:tr>
      <w:tr w:rsidR="0012063F" w:rsidRPr="00C32E76" w14:paraId="6FDC7995" w14:textId="04F9919E" w:rsidTr="00874AF3">
        <w:tc>
          <w:tcPr>
            <w:tcW w:w="1411" w:type="dxa"/>
            <w:vMerge/>
          </w:tcPr>
          <w:p w14:paraId="098E8CDB" w14:textId="77777777" w:rsidR="0012063F" w:rsidRPr="00C32E76" w:rsidRDefault="0012063F" w:rsidP="00C32E76">
            <w:pPr>
              <w:ind w:right="49"/>
              <w:jc w:val="center"/>
              <w:rPr>
                <w:rFonts w:ascii="Arial" w:hAnsi="Arial" w:cs="Arial"/>
                <w:color w:val="000000" w:themeColor="text1"/>
                <w:sz w:val="22"/>
                <w:szCs w:val="22"/>
                <w:lang w:val="mn-MN"/>
              </w:rPr>
            </w:pPr>
          </w:p>
        </w:tc>
        <w:tc>
          <w:tcPr>
            <w:tcW w:w="7605" w:type="dxa"/>
          </w:tcPr>
          <w:p w14:paraId="3CBE695A" w14:textId="25274427" w:rsidR="0012063F" w:rsidRPr="00C32E76" w:rsidRDefault="0012063F" w:rsidP="00C32E76">
            <w:pPr>
              <w:ind w:right="49"/>
              <w:jc w:val="both"/>
              <w:rPr>
                <w:rFonts w:ascii="Arial" w:hAnsi="Arial" w:cs="Arial"/>
                <w:color w:val="000000" w:themeColor="text1"/>
                <w:sz w:val="22"/>
                <w:szCs w:val="22"/>
                <w:lang w:val="mn-MN"/>
              </w:rPr>
            </w:pPr>
            <w:r w:rsidRPr="00C32E76">
              <w:rPr>
                <w:rFonts w:ascii="Arial" w:eastAsia="Times New Roman" w:hAnsi="Arial" w:cs="Arial"/>
                <w:color w:val="000000" w:themeColor="text1"/>
                <w:sz w:val="22"/>
                <w:szCs w:val="22"/>
                <w:lang w:val="mn-MN"/>
              </w:rPr>
              <w:t>“3.2.Тухайн хуулийн этгээдийн үйлдвэрлэл, үйлчилгээний хэвийн үйл ажиллагааг алдагдуулах, орлого олох эх үүсвэрийг хаах, түүнчлэн бүтээгдэхүүн түргэн муудаж, чанараа алдах зэрэг үр дагаварт хүргэх эсэх.”</w:t>
            </w:r>
          </w:p>
        </w:tc>
      </w:tr>
    </w:tbl>
    <w:p w14:paraId="75BAFDA1" w14:textId="77777777" w:rsidR="00130A16" w:rsidRPr="00C32E76" w:rsidRDefault="00130A16" w:rsidP="00C32E76">
      <w:pPr>
        <w:spacing w:after="0" w:line="240" w:lineRule="auto"/>
        <w:jc w:val="both"/>
        <w:rPr>
          <w:rFonts w:ascii="Arial" w:eastAsia="Times New Roman" w:hAnsi="Arial" w:cs="Arial"/>
          <w:i/>
          <w:iCs/>
          <w:kern w:val="0"/>
          <w:lang w:val="mn-MN"/>
          <w14:ligatures w14:val="none"/>
        </w:rPr>
      </w:pPr>
    </w:p>
    <w:p w14:paraId="63717387" w14:textId="0B34700B" w:rsidR="00B23074" w:rsidRPr="00C32E76" w:rsidRDefault="00B23074" w:rsidP="00C32E76">
      <w:pPr>
        <w:spacing w:after="0" w:line="240" w:lineRule="auto"/>
        <w:jc w:val="both"/>
        <w:rPr>
          <w:rFonts w:ascii="Arial" w:eastAsia="Times New Roman" w:hAnsi="Arial" w:cs="Arial"/>
          <w:i/>
          <w:iCs/>
          <w:kern w:val="0"/>
          <w:lang w:val="mn-MN"/>
          <w14:ligatures w14:val="none"/>
        </w:rPr>
      </w:pPr>
      <w:r w:rsidRPr="00C32E76">
        <w:rPr>
          <w:rFonts w:ascii="Arial" w:eastAsia="Times New Roman" w:hAnsi="Arial" w:cs="Arial"/>
          <w:i/>
          <w:iCs/>
          <w:kern w:val="0"/>
          <w:lang w:val="mn-MN"/>
          <w14:ligatures w14:val="none"/>
        </w:rPr>
        <w:t>Бусад улс орны туршлага</w:t>
      </w:r>
    </w:p>
    <w:p w14:paraId="6E4CE81C" w14:textId="77777777" w:rsidR="00C32E76" w:rsidRPr="00C32E76" w:rsidRDefault="00C32E76" w:rsidP="00C32E76">
      <w:pPr>
        <w:spacing w:after="0" w:line="240" w:lineRule="auto"/>
        <w:jc w:val="both"/>
        <w:rPr>
          <w:rFonts w:ascii="Arial" w:eastAsia="Times New Roman" w:hAnsi="Arial" w:cs="Arial"/>
          <w:i/>
          <w:iCs/>
          <w:kern w:val="0"/>
          <w:lang w:val="mn-MN"/>
          <w14:ligatures w14:val="none"/>
        </w:rPr>
      </w:pPr>
    </w:p>
    <w:p w14:paraId="1269DB49" w14:textId="77777777" w:rsidR="00B23074" w:rsidRPr="00C32E76" w:rsidRDefault="00B23074" w:rsidP="00C32E76">
      <w:pPr>
        <w:spacing w:after="0" w:line="240" w:lineRule="auto"/>
        <w:ind w:firstLine="720"/>
        <w:jc w:val="both"/>
        <w:rPr>
          <w:rFonts w:ascii="Arial" w:eastAsia="Times New Roman" w:hAnsi="Arial" w:cs="Arial"/>
          <w:kern w:val="0"/>
          <w:lang w:val="mn-MN"/>
          <w14:ligatures w14:val="none"/>
        </w:rPr>
      </w:pPr>
      <w:r w:rsidRPr="00C32E76">
        <w:rPr>
          <w:rFonts w:ascii="Arial" w:eastAsia="Times New Roman" w:hAnsi="Arial" w:cs="Arial"/>
          <w:kern w:val="0"/>
          <w:lang w:val="mn-MN"/>
          <w14:ligatures w14:val="none"/>
        </w:rPr>
        <w:t>Хуулийн этгээдэд хариуцлага хүлээлгэдэг эрх зүйн зохицуулалттай Франц, Испани, Эквадор зэрэг улсуудын процессын хуулиас үзвэл эдгээр улс оронд эрүүгийн гэмт хэрэгт шалгагдаж байгаа хуулийн этгээдийн хувьд хөрөнгө хамгаалах хэлбэрийн түр арга хэмжээнүүд авахаар хуульчлагдсан байна. Ингэхдээ ихэвчлэн нотлох баримт цуглуулах, нотлох баримтыг устгах, нуун дарагдуулахаас зайлсхийх, хохирогчийн хохирол барагдах боломжийг баталгаажуулах зэрэг зорилготой байна. Тухайлбал Франц улсын эрүүгийн процессын хууль (</w:t>
      </w:r>
      <w:r w:rsidRPr="00C32E76">
        <w:rPr>
          <w:rFonts w:ascii="Arial" w:hAnsi="Arial" w:cs="Arial"/>
          <w:lang w:val="mn-MN"/>
        </w:rPr>
        <w:t>Code de procedure penale</w:t>
      </w:r>
      <w:r w:rsidRPr="00C32E76">
        <w:rPr>
          <w:rStyle w:val="FootnoteReference"/>
          <w:rFonts w:ascii="Arial" w:hAnsi="Arial" w:cs="Arial"/>
          <w:lang w:val="mn-MN"/>
        </w:rPr>
        <w:footnoteReference w:id="1"/>
      </w:r>
      <w:r w:rsidRPr="00C32E76">
        <w:rPr>
          <w:rFonts w:ascii="Arial" w:eastAsia="Times New Roman" w:hAnsi="Arial" w:cs="Arial"/>
          <w:kern w:val="0"/>
          <w:lang w:val="mn-MN"/>
          <w14:ligatures w14:val="none"/>
        </w:rPr>
        <w:t xml:space="preserve">) </w:t>
      </w:r>
      <w:r w:rsidRPr="00C32E76">
        <w:rPr>
          <w:rFonts w:ascii="Arial" w:eastAsia="Times New Roman" w:hAnsi="Arial" w:cs="Arial"/>
          <w:kern w:val="0"/>
          <w:lang w:val="mn-MN"/>
          <w14:ligatures w14:val="none"/>
        </w:rPr>
        <w:lastRenderedPageBreak/>
        <w:t>болоод Ялын код (</w:t>
      </w:r>
      <w:r w:rsidRPr="00C32E76">
        <w:rPr>
          <w:rFonts w:ascii="Arial" w:hAnsi="Arial" w:cs="Arial"/>
          <w:lang w:val="mn-MN"/>
        </w:rPr>
        <w:t>Code pénal</w:t>
      </w:r>
      <w:r w:rsidRPr="00C32E76">
        <w:rPr>
          <w:rStyle w:val="FootnoteReference"/>
          <w:rFonts w:ascii="Arial" w:hAnsi="Arial" w:cs="Arial"/>
          <w:lang w:val="mn-MN"/>
        </w:rPr>
        <w:footnoteReference w:id="2"/>
      </w:r>
      <w:r w:rsidRPr="00C32E76">
        <w:rPr>
          <w:rFonts w:ascii="Arial" w:eastAsia="Times New Roman" w:hAnsi="Arial" w:cs="Arial"/>
          <w:kern w:val="0"/>
          <w:lang w:val="mn-MN"/>
          <w14:ligatures w14:val="none"/>
        </w:rPr>
        <w:t>)-д зааснаар хөрөнгө царцаах</w:t>
      </w:r>
      <w:r w:rsidRPr="00C32E76">
        <w:rPr>
          <w:rStyle w:val="FootnoteReference"/>
          <w:rFonts w:ascii="Arial" w:eastAsia="Times New Roman" w:hAnsi="Arial" w:cs="Arial"/>
          <w:kern w:val="0"/>
          <w:lang w:val="mn-MN"/>
          <w14:ligatures w14:val="none"/>
        </w:rPr>
        <w:footnoteReference w:id="3"/>
      </w:r>
      <w:r w:rsidRPr="00C32E76">
        <w:rPr>
          <w:rFonts w:ascii="Arial" w:eastAsia="Times New Roman" w:hAnsi="Arial" w:cs="Arial"/>
          <w:kern w:val="0"/>
          <w:lang w:val="mn-MN"/>
          <w14:ligatures w14:val="none"/>
        </w:rPr>
        <w:t>, үйл ажиллагааг түр зогсоох</w:t>
      </w:r>
      <w:r w:rsidRPr="00C32E76">
        <w:rPr>
          <w:rStyle w:val="FootnoteReference"/>
          <w:rFonts w:ascii="Arial" w:eastAsia="Times New Roman" w:hAnsi="Arial" w:cs="Arial"/>
          <w:kern w:val="0"/>
          <w:lang w:val="mn-MN"/>
          <w14:ligatures w14:val="none"/>
        </w:rPr>
        <w:footnoteReference w:id="4"/>
      </w:r>
      <w:r w:rsidRPr="00C32E76">
        <w:rPr>
          <w:rFonts w:ascii="Arial" w:eastAsia="Times New Roman" w:hAnsi="Arial" w:cs="Arial"/>
          <w:kern w:val="0"/>
          <w:lang w:val="mn-MN"/>
          <w14:ligatures w14:val="none"/>
        </w:rPr>
        <w:t>, компанийн дотоод үйл ажиллагааг хянаж хэрэгжүүлэх хэрэг гүйцэтгэгч томилох</w:t>
      </w:r>
      <w:r w:rsidRPr="00C32E76">
        <w:rPr>
          <w:rStyle w:val="FootnoteReference"/>
          <w:rFonts w:ascii="Arial" w:eastAsia="Times New Roman" w:hAnsi="Arial" w:cs="Arial"/>
          <w:kern w:val="0"/>
          <w:lang w:val="mn-MN"/>
          <w14:ligatures w14:val="none"/>
        </w:rPr>
        <w:footnoteReference w:id="5"/>
      </w:r>
      <w:r w:rsidRPr="00C32E76">
        <w:rPr>
          <w:rFonts w:ascii="Arial" w:eastAsia="Times New Roman" w:hAnsi="Arial" w:cs="Arial"/>
          <w:kern w:val="0"/>
          <w:lang w:val="mn-MN"/>
          <w14:ligatures w14:val="none"/>
        </w:rPr>
        <w:t>, компани дээр шүүхийн хяналт хэрэгжүүлэх</w:t>
      </w:r>
      <w:r w:rsidRPr="00C32E76">
        <w:rPr>
          <w:rStyle w:val="FootnoteReference"/>
          <w:rFonts w:ascii="Arial" w:eastAsia="Times New Roman" w:hAnsi="Arial" w:cs="Arial"/>
          <w:kern w:val="0"/>
          <w:lang w:val="mn-MN"/>
          <w14:ligatures w14:val="none"/>
        </w:rPr>
        <w:footnoteReference w:id="6"/>
      </w:r>
      <w:r w:rsidRPr="00C32E76">
        <w:rPr>
          <w:rFonts w:ascii="Arial" w:eastAsia="Times New Roman" w:hAnsi="Arial" w:cs="Arial"/>
          <w:kern w:val="0"/>
          <w:lang w:val="mn-MN"/>
          <w14:ligatures w14:val="none"/>
        </w:rPr>
        <w:t xml:space="preserve"> зэрэг түр арга хэмжээ авахаар хуульчилсан. Эдгээрээс хэрэг бүртгэгч томилох, шүүхийн хяналт хэрэгжүүлэх арга хэмжээний үеэр тухайн шалгагдаж буй эрүүгийн хэрэгтэй шууд хамааралтай үйл ажиллагааг зогсоох/түдгэлзүүлэх, тусгай зөвшөөрлийг түдгэлзүүлэх, эсвэл тодорхой санхүүгийн хязгаарлалтууд тавигддаг. Эдгээр арга хэмжээг авахад дараах шаардлагууд тавигдана:</w:t>
      </w:r>
    </w:p>
    <w:p w14:paraId="020E3FD0" w14:textId="59DF54D5" w:rsidR="00B23074" w:rsidRPr="00C32E76" w:rsidRDefault="00B23074"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Шүүхийн зөвшөөрөл авсан байх</w:t>
      </w:r>
      <w:r w:rsidR="005D3C16" w:rsidRPr="00C32E76">
        <w:rPr>
          <w:rFonts w:eastAsia="Times New Roman"/>
          <w:kern w:val="0"/>
          <w14:ligatures w14:val="none"/>
        </w:rPr>
        <w:t>;</w:t>
      </w:r>
    </w:p>
    <w:p w14:paraId="77B2BC31" w14:textId="3E77C98F" w:rsidR="00B23074" w:rsidRPr="00C32E76" w:rsidRDefault="00B23074"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Хууль ёсны зарчимд нийцсэн буюу зөвхөн хуульд заасан тохиолдолд тус арга хэмжээг авах</w:t>
      </w:r>
      <w:r w:rsidR="005D3C16" w:rsidRPr="00C32E76">
        <w:rPr>
          <w:rFonts w:eastAsia="Times New Roman"/>
          <w:kern w:val="0"/>
          <w14:ligatures w14:val="none"/>
        </w:rPr>
        <w:t>;</w:t>
      </w:r>
    </w:p>
    <w:p w14:paraId="1EEA9566" w14:textId="7CA6B510" w:rsidR="00B23074" w:rsidRPr="00C32E76" w:rsidRDefault="00B23074"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Тодорхой хүрээнд, тодорхой хугацаатай авагдах (жишээ нь хэрэг гүйцэтгэгч томилогдож байгаа бол 6 сар тутам шүүхээр хянагддаг)</w:t>
      </w:r>
      <w:r w:rsidR="005D3C16" w:rsidRPr="00C32E76">
        <w:rPr>
          <w:rFonts w:eastAsia="Times New Roman"/>
          <w:kern w:val="0"/>
          <w14:ligatures w14:val="none"/>
        </w:rPr>
        <w:t>;</w:t>
      </w:r>
    </w:p>
    <w:p w14:paraId="28721C55" w14:textId="37B0265E" w:rsidR="00B23074" w:rsidRPr="00C32E76" w:rsidRDefault="00B23074"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Хүний эрх, эрхэм чанарт үл халдах</w:t>
      </w:r>
      <w:r w:rsidR="005D3C16" w:rsidRPr="00C32E76">
        <w:rPr>
          <w:rFonts w:eastAsia="Times New Roman"/>
          <w:kern w:val="0"/>
          <w14:ligatures w14:val="none"/>
        </w:rPr>
        <w:t>;</w:t>
      </w:r>
    </w:p>
    <w:p w14:paraId="3CB5BE26" w14:textId="139D7B67" w:rsidR="00B23074" w:rsidRPr="00C32E76" w:rsidRDefault="00B23074"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Улс дамнасан мөрдөн шалгалтын тохиолдолд гадаад улсын хөрөнгөд онцгой хамгаалалт тогтоох</w:t>
      </w:r>
      <w:r w:rsidR="005D3C16" w:rsidRPr="00C32E76">
        <w:rPr>
          <w:rFonts w:eastAsia="Times New Roman"/>
          <w:kern w:val="0"/>
          <w14:ligatures w14:val="none"/>
        </w:rPr>
        <w:t>;</w:t>
      </w:r>
    </w:p>
    <w:p w14:paraId="234C8668" w14:textId="77777777" w:rsidR="00B23074" w:rsidRPr="00C32E76" w:rsidRDefault="00B23074" w:rsidP="00C32E76">
      <w:pPr>
        <w:spacing w:after="0" w:line="240" w:lineRule="auto"/>
        <w:ind w:firstLine="720"/>
        <w:jc w:val="both"/>
        <w:rPr>
          <w:rFonts w:ascii="Arial" w:eastAsia="Times New Roman" w:hAnsi="Arial" w:cs="Arial"/>
          <w:kern w:val="0"/>
          <w:lang w:val="mn-MN"/>
          <w14:ligatures w14:val="none"/>
        </w:rPr>
      </w:pPr>
      <w:r w:rsidRPr="00C32E76">
        <w:rPr>
          <w:rFonts w:ascii="Arial" w:eastAsia="Times New Roman" w:hAnsi="Arial" w:cs="Arial"/>
          <w:kern w:val="0"/>
          <w:lang w:val="mn-MN"/>
          <w14:ligatures w14:val="none"/>
        </w:rPr>
        <w:t xml:space="preserve">Түүнчлэн Франц улсын хувьд банкны дансан дах мөнгийг царцаах (saisie pénale spéciale) ажиллагааг хийсэн бол 10 хоногийн дотор шүүхээс тус арга хэмжээг үргэлжлүүлэх эсэхийг шийддэг зохицуулалттай. </w:t>
      </w:r>
    </w:p>
    <w:p w14:paraId="49CD0C03" w14:textId="77777777" w:rsidR="00B23074" w:rsidRPr="00C32E76" w:rsidRDefault="00B23074" w:rsidP="00C32E76">
      <w:pPr>
        <w:spacing w:after="0" w:line="240" w:lineRule="auto"/>
        <w:jc w:val="both"/>
        <w:rPr>
          <w:rFonts w:ascii="Arial" w:eastAsia="Times New Roman" w:hAnsi="Arial" w:cs="Arial"/>
          <w:kern w:val="0"/>
          <w:lang w:val="mn-MN"/>
          <w14:ligatures w14:val="none"/>
        </w:rPr>
      </w:pPr>
    </w:p>
    <w:p w14:paraId="5A52ACD3" w14:textId="0D9ABF9B" w:rsidR="00B23074" w:rsidRPr="00C32E76" w:rsidRDefault="00B23074" w:rsidP="00C32E76">
      <w:pPr>
        <w:spacing w:after="0" w:line="240" w:lineRule="auto"/>
        <w:ind w:firstLine="720"/>
        <w:jc w:val="both"/>
        <w:rPr>
          <w:rFonts w:ascii="Arial" w:eastAsia="Times New Roman" w:hAnsi="Arial" w:cs="Arial"/>
          <w:kern w:val="0"/>
          <w:lang w:val="mn-MN"/>
          <w14:ligatures w14:val="none"/>
        </w:rPr>
      </w:pPr>
      <w:r w:rsidRPr="00C32E76">
        <w:rPr>
          <w:rFonts w:ascii="Arial" w:eastAsia="Times New Roman" w:hAnsi="Arial" w:cs="Arial"/>
          <w:kern w:val="0"/>
          <w:lang w:val="mn-MN"/>
          <w14:ligatures w14:val="none"/>
        </w:rPr>
        <w:t xml:space="preserve">Эндээс үзвэл хуулийн этгээдийг эрүүгийн хэрэгт шалгаж байх хугацаанд түр арга хэмжээ авах зохицуулалт дэлхийн улс орнуудад янз бүрээр хуульчлагдсан байна. Гагцхүү тухайн арга хэмжээг авах үндэслэл, шаардлага, хугацаа, цаашлаад процедур журмыг дэлгэрэнгүй тусгаж, зайлшгүй шаардлагатай үед </w:t>
      </w:r>
      <w:r w:rsidR="005D3C16" w:rsidRPr="00C32E76">
        <w:rPr>
          <w:rFonts w:ascii="Arial" w:eastAsia="Times New Roman" w:hAnsi="Arial" w:cs="Arial"/>
          <w:kern w:val="0"/>
          <w:lang w:val="mn-MN"/>
          <w14:ligatures w14:val="none"/>
        </w:rPr>
        <w:t>болон</w:t>
      </w:r>
      <w:r w:rsidRPr="00C32E76">
        <w:rPr>
          <w:rFonts w:ascii="Arial" w:eastAsia="Times New Roman" w:hAnsi="Arial" w:cs="Arial"/>
          <w:kern w:val="0"/>
          <w:lang w:val="mn-MN"/>
          <w14:ligatures w14:val="none"/>
        </w:rPr>
        <w:t xml:space="preserve"> шалгаж буй эрүүгийн хэрэгт шууд хамааралтай байдлыг харгалздаг нь харагдаж байна. </w:t>
      </w:r>
    </w:p>
    <w:p w14:paraId="755EB713" w14:textId="77777777" w:rsidR="00015C57" w:rsidRPr="00C32E76" w:rsidRDefault="00015C57" w:rsidP="00C32E76">
      <w:pPr>
        <w:spacing w:after="0" w:line="240" w:lineRule="auto"/>
        <w:jc w:val="both"/>
        <w:rPr>
          <w:rFonts w:ascii="Arial" w:eastAsia="Times New Roman" w:hAnsi="Arial" w:cs="Arial"/>
          <w:kern w:val="0"/>
          <w:lang w:val="mn-MN"/>
          <w14:ligatures w14:val="none"/>
        </w:rPr>
      </w:pPr>
    </w:p>
    <w:p w14:paraId="7B719E07" w14:textId="61F1F986" w:rsidR="00015C57" w:rsidRPr="00C32E76" w:rsidRDefault="00015C57" w:rsidP="00C32E76">
      <w:pPr>
        <w:spacing w:after="0" w:line="240" w:lineRule="auto"/>
        <w:jc w:val="both"/>
        <w:rPr>
          <w:rFonts w:ascii="Arial" w:eastAsia="Times New Roman" w:hAnsi="Arial" w:cs="Arial"/>
          <w:i/>
          <w:iCs/>
          <w:kern w:val="0"/>
          <w:lang w:val="mn-MN"/>
          <w14:ligatures w14:val="none"/>
        </w:rPr>
      </w:pPr>
      <w:r w:rsidRPr="00C32E76">
        <w:rPr>
          <w:rFonts w:ascii="Arial" w:eastAsia="Times New Roman" w:hAnsi="Arial" w:cs="Arial"/>
          <w:i/>
          <w:iCs/>
          <w:kern w:val="0"/>
          <w:lang w:val="mn-MN"/>
          <w14:ligatures w14:val="none"/>
        </w:rPr>
        <w:t>ЭХХШтХ-д шинээр тусгагдсан нэр томъёо</w:t>
      </w:r>
      <w:r w:rsidR="00B15B97" w:rsidRPr="00C32E76">
        <w:rPr>
          <w:rFonts w:ascii="Arial" w:eastAsia="Times New Roman" w:hAnsi="Arial" w:cs="Arial"/>
          <w:i/>
          <w:iCs/>
          <w:kern w:val="0"/>
          <w:lang w:val="mn-MN"/>
          <w14:ligatures w14:val="none"/>
        </w:rPr>
        <w:t>, ухагдахуун</w:t>
      </w:r>
      <w:r w:rsidRPr="00C32E76">
        <w:rPr>
          <w:rFonts w:ascii="Arial" w:eastAsia="Times New Roman" w:hAnsi="Arial" w:cs="Arial"/>
          <w:i/>
          <w:iCs/>
          <w:kern w:val="0"/>
          <w:lang w:val="mn-MN"/>
          <w14:ligatures w14:val="none"/>
        </w:rPr>
        <w:t>:</w:t>
      </w:r>
    </w:p>
    <w:p w14:paraId="33B0691A" w14:textId="77777777" w:rsidR="00015C57" w:rsidRPr="00C32E76" w:rsidRDefault="00015C57" w:rsidP="00C32E76">
      <w:pPr>
        <w:spacing w:after="0" w:line="240" w:lineRule="auto"/>
        <w:jc w:val="both"/>
        <w:rPr>
          <w:rFonts w:ascii="Arial" w:eastAsia="Times New Roman" w:hAnsi="Arial" w:cs="Arial"/>
          <w:kern w:val="0"/>
          <w:lang w:val="mn-MN"/>
          <w14:ligatures w14:val="none"/>
        </w:rPr>
      </w:pPr>
    </w:p>
    <w:p w14:paraId="3ECFB1C6" w14:textId="18BBA0E1" w:rsidR="006D1A06" w:rsidRPr="00C32E76" w:rsidRDefault="008E3DF0" w:rsidP="00C32E76">
      <w:pPr>
        <w:spacing w:after="0" w:line="240" w:lineRule="auto"/>
        <w:ind w:firstLine="720"/>
        <w:jc w:val="both"/>
        <w:rPr>
          <w:rFonts w:ascii="Arial" w:eastAsia="Times New Roman" w:hAnsi="Arial" w:cs="Arial"/>
          <w:kern w:val="0"/>
          <w:lang w:val="mn-MN"/>
          <w14:ligatures w14:val="none"/>
        </w:rPr>
      </w:pPr>
      <w:r w:rsidRPr="00C32E76">
        <w:rPr>
          <w:rFonts w:ascii="Arial" w:eastAsia="Times New Roman" w:hAnsi="Arial" w:cs="Arial"/>
          <w:kern w:val="0"/>
          <w:lang w:val="mn-MN"/>
          <w14:ligatures w14:val="none"/>
        </w:rPr>
        <w:t>Дээр дурдсанчлан ЭХХШтХ-д хуулийн этгээдийн онцлогт тохирсон журам дутмаг байгаагаас түүнтэй холбоотой ухагдахуун ч төдийлөн тусгагдаагүй байдаг. Энэ шалтгаанаар таслан сэргийлэх арга хэмжээ авахад “харгалзах” үндэслэ</w:t>
      </w:r>
      <w:r w:rsidR="00543295" w:rsidRPr="00C32E76">
        <w:rPr>
          <w:rFonts w:ascii="Arial" w:eastAsia="Times New Roman" w:hAnsi="Arial" w:cs="Arial"/>
          <w:kern w:val="0"/>
          <w:lang w:val="mn-MN"/>
          <w14:ligatures w14:val="none"/>
        </w:rPr>
        <w:t xml:space="preserve">лийг хуулийн этгээд гэх эрх зүйн субьекттэй нь уялдуулж шинээр томъёолох шаардлага үүссэн. Гэвч эдгээр нь бусад хууль тогтоомжид хэдийнээ тусгагдаж, практик хэрэгжилт, албан ёсны тайлбараар тодорхойлогдсон байдаг. </w:t>
      </w:r>
      <w:r w:rsidR="00E3082E" w:rsidRPr="00C32E76">
        <w:rPr>
          <w:rFonts w:ascii="Arial" w:eastAsia="Times New Roman" w:hAnsi="Arial" w:cs="Arial"/>
          <w:kern w:val="0"/>
          <w:lang w:val="mn-MN"/>
          <w14:ligatures w14:val="none"/>
        </w:rPr>
        <w:t xml:space="preserve">Процессын хэм хэмжээ тодорхой байх шаардлагатайн хувьд </w:t>
      </w:r>
      <w:r w:rsidR="006D1A06" w:rsidRPr="00C32E76">
        <w:rPr>
          <w:rFonts w:ascii="Arial" w:eastAsia="Times New Roman" w:hAnsi="Arial" w:cs="Arial"/>
          <w:kern w:val="0"/>
          <w:lang w:val="mn-MN"/>
          <w14:ligatures w14:val="none"/>
        </w:rPr>
        <w:t xml:space="preserve">нэр томъёо нь </w:t>
      </w:r>
      <w:r w:rsidR="00E3082E" w:rsidRPr="00C32E76">
        <w:rPr>
          <w:rFonts w:ascii="Arial" w:eastAsia="Times New Roman" w:hAnsi="Arial" w:cs="Arial"/>
          <w:kern w:val="0"/>
          <w:lang w:val="mn-MN"/>
          <w14:ligatures w14:val="none"/>
        </w:rPr>
        <w:t xml:space="preserve">хоёрдмол утгагүй, хэрэгжих боломжтой, </w:t>
      </w:r>
      <w:r w:rsidR="006D1A06" w:rsidRPr="00C32E76">
        <w:rPr>
          <w:rFonts w:ascii="Arial" w:eastAsia="Times New Roman" w:hAnsi="Arial" w:cs="Arial"/>
          <w:kern w:val="0"/>
          <w:lang w:val="mn-MN"/>
          <w14:ligatures w14:val="none"/>
        </w:rPr>
        <w:t>нэг мөр хэрэглээг бий болгох боломжтой байх шаардлагатай. Эдгээр шалтгаанаар дараах нэр томъёог тус хуулийн төсөлд шинээр тусгасан болно. Үүнд:</w:t>
      </w:r>
    </w:p>
    <w:p w14:paraId="7049F679" w14:textId="77777777" w:rsidR="006D1A06" w:rsidRPr="00C32E76" w:rsidRDefault="006D1A06" w:rsidP="00C32E76">
      <w:pPr>
        <w:spacing w:after="0" w:line="240" w:lineRule="auto"/>
        <w:jc w:val="both"/>
        <w:rPr>
          <w:rFonts w:ascii="Arial" w:eastAsia="Times New Roman" w:hAnsi="Arial" w:cs="Arial"/>
          <w:kern w:val="0"/>
          <w:lang w:val="mn-MN"/>
          <w14:ligatures w14:val="none"/>
        </w:rPr>
      </w:pPr>
    </w:p>
    <w:p w14:paraId="3E83BCF4" w14:textId="2E60CBAE" w:rsidR="00501A6E" w:rsidRPr="00C32E76" w:rsidRDefault="00983695"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Бусдын амь нас, эрүүл мэнд, эд хөрөнгөд ноцтой хохирол учруулах эсэх -</w:t>
      </w:r>
    </w:p>
    <w:p w14:paraId="09299D51" w14:textId="74F7EEE4" w:rsidR="00983695" w:rsidRPr="00C32E76" w:rsidRDefault="00983695" w:rsidP="00C32E76">
      <w:pPr>
        <w:pStyle w:val="ListParagraph"/>
        <w:spacing w:after="0" w:line="240" w:lineRule="auto"/>
        <w:jc w:val="both"/>
        <w:rPr>
          <w:rFonts w:eastAsia="Times New Roman"/>
          <w:kern w:val="0"/>
          <w:lang w:val="mn-MN"/>
          <w14:ligatures w14:val="none"/>
        </w:rPr>
      </w:pPr>
      <w:r w:rsidRPr="00C32E76">
        <w:rPr>
          <w:rFonts w:eastAsia="Times New Roman"/>
          <w:kern w:val="0"/>
          <w:lang w:val="mn-MN"/>
          <w14:ligatures w14:val="none"/>
        </w:rPr>
        <w:t xml:space="preserve">Энэ ойлголтыг Захиргааны хэрэг шүүхэд хянан шийдвэрлэх тухай хуулийн 62 дугаар зүйлийн 62.1-т Захиргааны актын биелэлтийг түдгэлзүүлж болохгүй нэг тохиолдол байдлаар хуульчилсан байдаг. Улсын дээд шүүхийн нийт </w:t>
      </w:r>
      <w:r w:rsidRPr="00C32E76">
        <w:rPr>
          <w:rFonts w:eastAsia="Times New Roman"/>
          <w:kern w:val="0"/>
          <w:lang w:val="mn-MN"/>
          <w14:ligatures w14:val="none"/>
        </w:rPr>
        <w:lastRenderedPageBreak/>
        <w:t xml:space="preserve">шүүгчийн 2023 оны 4 сарын 14-ний өдрийн хуралдааны 18 дугаар тогтоолоор “ноцтой хохирол” гэдгийг “... хэргийн оролцогч иргэний хувьд болон маргаан бүхий актын үйлчлэл шууд хандаж буй </w:t>
      </w:r>
      <w:r w:rsidR="007F5940" w:rsidRPr="00C32E76">
        <w:rPr>
          <w:rFonts w:eastAsia="Times New Roman"/>
          <w:kern w:val="0"/>
          <w:lang w:val="mn-MN"/>
          <w14:ligatures w14:val="none"/>
        </w:rPr>
        <w:t>бусад иргнэий ам нас нь эрсдэлд орох, эрүүл мэнд нь доройтох, эд хөрөнгө нь зориулалтын дагуу ашиглах боломжгүй болох, тухайн этгээд түүнийг өөрийн хүчээр эргүүлэн сэргээх боломжгүй, эсхүл сэргээсэн ч өмнөх байдлаасаа чанар байдлын хувьд дордохоор сөрөг үр дагавар үүсэхийг ойлгоно” гэжээ.</w:t>
      </w:r>
    </w:p>
    <w:p w14:paraId="77CF6247" w14:textId="77777777" w:rsidR="00C32E76" w:rsidRPr="00C32E76" w:rsidRDefault="00C32E76" w:rsidP="00C32E76">
      <w:pPr>
        <w:spacing w:after="0" w:line="240" w:lineRule="auto"/>
        <w:jc w:val="both"/>
        <w:rPr>
          <w:rFonts w:ascii="Arial" w:eastAsia="Times New Roman" w:hAnsi="Arial" w:cs="Arial"/>
          <w:kern w:val="0"/>
          <w:lang w:val="mn-MN"/>
          <w14:ligatures w14:val="none"/>
        </w:rPr>
      </w:pPr>
    </w:p>
    <w:p w14:paraId="6216028A" w14:textId="26BB89E4" w:rsidR="006D1A06" w:rsidRPr="00C32E76" w:rsidRDefault="00AE7DC5" w:rsidP="00C32E76">
      <w:pPr>
        <w:pStyle w:val="ListParagraph"/>
        <w:numPr>
          <w:ilvl w:val="0"/>
          <w:numId w:val="1"/>
        </w:numPr>
        <w:spacing w:after="0" w:line="240" w:lineRule="auto"/>
        <w:jc w:val="both"/>
        <w:rPr>
          <w:rFonts w:eastAsia="Times New Roman"/>
          <w:kern w:val="0"/>
          <w:lang w:val="mn-MN"/>
          <w14:ligatures w14:val="none"/>
        </w:rPr>
      </w:pPr>
      <w:r w:rsidRPr="00C32E76">
        <w:rPr>
          <w:rFonts w:eastAsia="Times New Roman"/>
          <w:kern w:val="0"/>
          <w:lang w:val="mn-MN"/>
          <w14:ligatures w14:val="none"/>
        </w:rPr>
        <w:t>Хуулийн этгээд эсхүл нийтийн ашиг сонирхолд илт хохирол учруулах эсэх –</w:t>
      </w:r>
      <w:r w:rsidR="00983695" w:rsidRPr="00C32E76">
        <w:rPr>
          <w:rFonts w:eastAsia="Times New Roman"/>
          <w:kern w:val="0"/>
          <w:lang w:val="mn-MN"/>
          <w14:ligatures w14:val="none"/>
        </w:rPr>
        <w:t xml:space="preserve"> Мөн </w:t>
      </w:r>
      <w:r w:rsidRPr="00C32E76">
        <w:rPr>
          <w:rFonts w:eastAsia="Times New Roman"/>
          <w:kern w:val="0"/>
          <w:lang w:val="mn-MN"/>
          <w14:ligatures w14:val="none"/>
        </w:rPr>
        <w:t xml:space="preserve"> </w:t>
      </w:r>
      <w:r w:rsidR="00983695" w:rsidRPr="00C32E76">
        <w:rPr>
          <w:rFonts w:eastAsia="Times New Roman"/>
          <w:kern w:val="0"/>
          <w:lang w:val="mn-MN"/>
          <w14:ligatures w14:val="none"/>
        </w:rPr>
        <w:t xml:space="preserve">Захиргааны хэрэг шүүхэд хянан шийдвэрлэх тухай хуулийн 62 дугаар зүйлийн 62.1-т энэ томъёоло туссан бөгөөд </w:t>
      </w:r>
      <w:r w:rsidRPr="00C32E76">
        <w:rPr>
          <w:rFonts w:eastAsia="Times New Roman"/>
          <w:kern w:val="0"/>
          <w:lang w:val="mn-MN"/>
          <w14:ligatures w14:val="none"/>
        </w:rPr>
        <w:t>”илт хохирол” гэдгийг Улсын дээд шүүхийн нийт шүүгчдийн 2023 оны 4 сарын 14-ний өдрийн хуралдааны 18 дугаар тогтоолоор “хэргийн оролцогч хуулийн этгээдийн мөнгө болон мөнгөөр үнэлэгдэхүйц баялаг, эд хөрөнгөөөр хэмжигдэх эрх, болон хөрөнгө, мөнгөөр хэмжигдэхгүй эдийн бус эрхэд их хэмжээний алдагдал бий болох нь илэрхий, тодорхой, нотлогдохуйц байхыг, эсхүл нийтийн ашиг сонирхлыг эргэж сэргээх боломжгүйгээр хохироохуйц сөрөг үр дагавар учрах нь бодитой, нотлох шаардлагагүй байхыг тус тус ойлгоно” гэж тайлбарласан байдаг.</w:t>
      </w:r>
    </w:p>
    <w:p w14:paraId="19155322" w14:textId="77777777" w:rsidR="00C32E76" w:rsidRPr="00C32E76" w:rsidRDefault="00C32E76" w:rsidP="00C32E76">
      <w:pPr>
        <w:pStyle w:val="ListParagraph"/>
        <w:spacing w:after="0" w:line="240" w:lineRule="auto"/>
        <w:jc w:val="both"/>
        <w:rPr>
          <w:rFonts w:eastAsia="Times New Roman"/>
          <w:kern w:val="0"/>
          <w:lang w:val="mn-MN"/>
          <w14:ligatures w14:val="none"/>
        </w:rPr>
      </w:pPr>
    </w:p>
    <w:p w14:paraId="6FD2B790" w14:textId="2E77BEE7" w:rsidR="007F5940" w:rsidRPr="00C32E76" w:rsidRDefault="007F5940" w:rsidP="00C32E76">
      <w:pPr>
        <w:pStyle w:val="ListParagraph"/>
        <w:numPr>
          <w:ilvl w:val="0"/>
          <w:numId w:val="1"/>
        </w:numPr>
        <w:spacing w:after="0" w:line="240" w:lineRule="auto"/>
        <w:jc w:val="both"/>
        <w:rPr>
          <w:rFonts w:eastAsia="Times New Roman"/>
          <w:kern w:val="0"/>
          <w:lang w:val="mn-MN"/>
          <w14:ligatures w14:val="none"/>
        </w:rPr>
      </w:pPr>
      <w:r w:rsidRPr="00C32E76">
        <w:rPr>
          <w:bCs/>
          <w:color w:val="000000" w:themeColor="text1"/>
          <w:lang w:val="mn-MN"/>
        </w:rPr>
        <w:t xml:space="preserve">Үйлдвэрлэл, үйлчилгээний хэвийн үйл ажиллагааг алдагдуулах, орлого олох эх үүсвэрийг хаах, түүнчлэн түүхий эд, бүтээгдэхүүн түргэн муудаж, чанараа алдах зэрэг үр дагаварт хүргэх </w:t>
      </w:r>
      <w:r w:rsidR="00952696" w:rsidRPr="00C32E76">
        <w:rPr>
          <w:bCs/>
          <w:color w:val="000000" w:themeColor="text1"/>
          <w:lang w:val="mn-MN"/>
        </w:rPr>
        <w:t>–</w:t>
      </w:r>
      <w:r w:rsidRPr="00C32E76">
        <w:rPr>
          <w:bCs/>
          <w:color w:val="000000" w:themeColor="text1"/>
          <w:lang w:val="mn-MN"/>
        </w:rPr>
        <w:t xml:space="preserve"> </w:t>
      </w:r>
      <w:r w:rsidR="00952696" w:rsidRPr="00C32E76">
        <w:rPr>
          <w:bCs/>
          <w:color w:val="000000" w:themeColor="text1"/>
          <w:lang w:val="mn-MN"/>
        </w:rPr>
        <w:t xml:space="preserve">Энэ томъёоллыг Иргэний хэрэг шүүхэд хянан шийдвэрлэх тухай хуулийн 69 дүгээр зүйлийн 69.5-д заасан шүүхээс гарах шийдвэрийн биелэлтийг баталгаажуулах арга хэмжээ авах хязгаарлалт байдлаар хуульчилж, хэрэглэж байна. </w:t>
      </w:r>
    </w:p>
    <w:p w14:paraId="70E76AE7" w14:textId="77777777" w:rsidR="00C32E76" w:rsidRPr="00C32E76" w:rsidRDefault="00C32E76" w:rsidP="00C32E76">
      <w:pPr>
        <w:spacing w:after="0" w:line="240" w:lineRule="auto"/>
        <w:jc w:val="both"/>
        <w:rPr>
          <w:rFonts w:ascii="Arial" w:eastAsia="Times New Roman" w:hAnsi="Arial" w:cs="Arial"/>
          <w:kern w:val="0"/>
          <w:lang w:val="mn-MN"/>
          <w14:ligatures w14:val="none"/>
        </w:rPr>
      </w:pPr>
    </w:p>
    <w:p w14:paraId="5AEBB53F" w14:textId="093FB751" w:rsidR="0048704D" w:rsidRPr="00C32E76" w:rsidRDefault="00212058" w:rsidP="00C32E76">
      <w:pPr>
        <w:pStyle w:val="ListParagraph"/>
        <w:numPr>
          <w:ilvl w:val="0"/>
          <w:numId w:val="1"/>
        </w:numPr>
        <w:spacing w:after="0" w:line="240" w:lineRule="auto"/>
        <w:jc w:val="both"/>
        <w:rPr>
          <w:rFonts w:eastAsia="Times New Roman"/>
          <w:kern w:val="0"/>
          <w:lang w:val="mn-MN"/>
          <w14:ligatures w14:val="none"/>
        </w:rPr>
      </w:pPr>
      <w:r w:rsidRPr="00C32E76">
        <w:rPr>
          <w:bCs/>
          <w:color w:val="000000" w:themeColor="text1"/>
          <w:lang w:val="mn-MN"/>
        </w:rPr>
        <w:t xml:space="preserve">“Шүүх ... харгалзан шийдвэрлэнэ.” – Хуульд нөхцөлийг хатуу хориг байдлаар бус “харгалзаж үзэх нөхцөл” байдлаар тусгах нь 1-т хууль зүйн техникийн хувьд ЭХХШтХ-ийн бичилтэд нийцэх, 2-т хүний эрхийг хязгаарлах нь хамгийн сүүлийн бөгөөд хууль ёсны хамгийн бага хязгаарлалтаар хэрэгжих зарчимд нийцэх, 3-т шүүхийн дотоод итгэлийг хүлээн зөвшөөрөх, 4-т мэтгэлцэх зарчмыг хангана гэж дүгнэж байна. </w:t>
      </w:r>
    </w:p>
    <w:p w14:paraId="79B6159A" w14:textId="77777777" w:rsidR="006829CA" w:rsidRPr="00C32E76" w:rsidRDefault="006829CA" w:rsidP="00C32E76">
      <w:pPr>
        <w:pStyle w:val="ListParagraph"/>
        <w:spacing w:after="0" w:line="240" w:lineRule="auto"/>
        <w:jc w:val="both"/>
        <w:rPr>
          <w:rFonts w:eastAsia="Times New Roman"/>
          <w:kern w:val="0"/>
          <w:lang w:val="mn-MN"/>
          <w14:ligatures w14:val="none"/>
        </w:rPr>
      </w:pPr>
    </w:p>
    <w:p w14:paraId="68B04B5E" w14:textId="77777777" w:rsidR="00130A16" w:rsidRPr="00C32E76" w:rsidRDefault="00130A16" w:rsidP="00C32E76">
      <w:pPr>
        <w:spacing w:after="0" w:line="240" w:lineRule="auto"/>
        <w:ind w:firstLine="720"/>
        <w:jc w:val="both"/>
        <w:rPr>
          <w:rFonts w:ascii="Arial" w:hAnsi="Arial" w:cs="Arial"/>
          <w:lang w:val="mn-MN"/>
        </w:rPr>
      </w:pPr>
      <w:r w:rsidRPr="00C32E76">
        <w:rPr>
          <w:rFonts w:ascii="Arial" w:hAnsi="Arial" w:cs="Arial"/>
          <w:lang w:val="mn-MN"/>
        </w:rPr>
        <w:t>ЭХХШтХ-д нэмэлт оруулах хуулийн төсөл батлагдсанаар хуулийн этгээдэд таслан сэргийлэх арга хэмжээ авах, хөрөнгийн шилжилт хөдөлгөөнийг хязгаарлах ажиллагаанд харгалзах нөхцөл, хугацаа тодорхой болох бөгөөд ажиллагааны процессыг хуульчилснаар иргэн, хуулийн этгээдийн шударга шүүхээр шүүлгэх эрх, due-process-г хангах, пропорциональ зарчмыг хангах суурь болно. Нөгөө талаас эдийн засгийн гол хөшүүрэг болсон хувийн хэвшил, бизнесийн байгууллагуудын тогтвортой байдлыг нэмэгдүүлэх, цаашлаад энэ нь хууль зүйн орчны тодорхойгүй байдлыг бууруулж, Монгол Улсад гадаадын хөрөнгө оруулалт татах зэрэг нийгэм, эдийн засгийн эерэг үр дагавартай.</w:t>
      </w:r>
    </w:p>
    <w:p w14:paraId="15F6A2B8" w14:textId="77777777" w:rsidR="00BE5E4E" w:rsidRPr="00C32E76" w:rsidRDefault="00BE5E4E" w:rsidP="00C32E76">
      <w:pPr>
        <w:spacing w:after="0" w:line="240" w:lineRule="auto"/>
        <w:ind w:firstLine="360"/>
        <w:jc w:val="both"/>
        <w:rPr>
          <w:rFonts w:ascii="Arial" w:hAnsi="Arial" w:cs="Arial"/>
          <w:lang w:val="mn-MN"/>
        </w:rPr>
      </w:pPr>
    </w:p>
    <w:p w14:paraId="40EE7221" w14:textId="77777777" w:rsidR="00675859" w:rsidRPr="00C32E76" w:rsidRDefault="00675859" w:rsidP="00C32E76">
      <w:pPr>
        <w:spacing w:after="0" w:line="240" w:lineRule="auto"/>
        <w:ind w:firstLine="720"/>
        <w:jc w:val="both"/>
        <w:rPr>
          <w:rFonts w:ascii="Arial" w:hAnsi="Arial" w:cs="Arial"/>
          <w:lang w:val="mn-MN"/>
        </w:rPr>
      </w:pPr>
    </w:p>
    <w:p w14:paraId="52055783" w14:textId="29AF40E1" w:rsidR="00DE70EA" w:rsidRPr="00C32E76" w:rsidRDefault="00675859" w:rsidP="00C32E76">
      <w:pPr>
        <w:spacing w:after="0" w:line="240" w:lineRule="auto"/>
        <w:jc w:val="center"/>
        <w:rPr>
          <w:rFonts w:ascii="Arial" w:hAnsi="Arial" w:cs="Arial"/>
          <w:lang w:val="mn-MN"/>
        </w:rPr>
      </w:pPr>
      <w:r w:rsidRPr="00C32E76">
        <w:rPr>
          <w:rFonts w:ascii="Arial" w:hAnsi="Arial" w:cs="Arial"/>
          <w:lang w:val="mn-MN"/>
        </w:rPr>
        <w:t>---</w:t>
      </w:r>
    </w:p>
    <w:sectPr w:rsidR="00DE70EA" w:rsidRPr="00C32E76" w:rsidSect="005A1689">
      <w:pgSz w:w="11906" w:h="16838"/>
      <w:pgMar w:top="1440" w:right="11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0DB4" w14:textId="77777777" w:rsidR="008E2F86" w:rsidRDefault="008E2F86" w:rsidP="007A555C">
      <w:pPr>
        <w:spacing w:after="0" w:line="240" w:lineRule="auto"/>
      </w:pPr>
      <w:r>
        <w:separator/>
      </w:r>
    </w:p>
  </w:endnote>
  <w:endnote w:type="continuationSeparator" w:id="0">
    <w:p w14:paraId="4DDE09C3" w14:textId="77777777" w:rsidR="008E2F86" w:rsidRDefault="008E2F86" w:rsidP="007A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5751" w14:textId="77777777" w:rsidR="008E2F86" w:rsidRDefault="008E2F86" w:rsidP="007A555C">
      <w:pPr>
        <w:spacing w:after="0" w:line="240" w:lineRule="auto"/>
      </w:pPr>
      <w:r>
        <w:separator/>
      </w:r>
    </w:p>
  </w:footnote>
  <w:footnote w:type="continuationSeparator" w:id="0">
    <w:p w14:paraId="1875162B" w14:textId="77777777" w:rsidR="008E2F86" w:rsidRDefault="008E2F86" w:rsidP="007A555C">
      <w:pPr>
        <w:spacing w:after="0" w:line="240" w:lineRule="auto"/>
      </w:pPr>
      <w:r>
        <w:continuationSeparator/>
      </w:r>
    </w:p>
  </w:footnote>
  <w:footnote w:id="1">
    <w:p w14:paraId="30BCFD69"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1" w:history="1">
        <w:r w:rsidRPr="00C8617B">
          <w:rPr>
            <w:rStyle w:val="Hyperlink"/>
            <w:rFonts w:ascii="Arial" w:hAnsi="Arial" w:cs="Arial"/>
            <w:lang w:val="mn-MN"/>
          </w:rPr>
          <w:t>Code of Criminal Procedure - Légifrance</w:t>
        </w:r>
      </w:hyperlink>
      <w:r w:rsidRPr="00C8617B">
        <w:rPr>
          <w:rFonts w:ascii="Arial" w:hAnsi="Arial" w:cs="Arial"/>
          <w:lang w:val="mn-MN"/>
        </w:rPr>
        <w:t xml:space="preserve"> </w:t>
      </w:r>
    </w:p>
  </w:footnote>
  <w:footnote w:id="2">
    <w:p w14:paraId="5D52680E"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2" w:history="1">
        <w:r w:rsidRPr="00C8617B">
          <w:rPr>
            <w:rStyle w:val="Hyperlink"/>
            <w:rFonts w:ascii="Arial" w:hAnsi="Arial" w:cs="Arial"/>
            <w:lang w:val="mn-MN"/>
          </w:rPr>
          <w:t>https://www.legifrance.gouv.fr/codes/texte_lc/LEGITEXT000006070719/</w:t>
        </w:r>
      </w:hyperlink>
      <w:r w:rsidRPr="00C8617B">
        <w:rPr>
          <w:rFonts w:ascii="Arial" w:hAnsi="Arial" w:cs="Arial"/>
          <w:lang w:val="mn-MN"/>
        </w:rPr>
        <w:t xml:space="preserve"> </w:t>
      </w:r>
    </w:p>
  </w:footnote>
  <w:footnote w:id="3">
    <w:p w14:paraId="3D6EC2CB"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Criminal of Criminal Procedure – 706-103, 706-141</w:t>
      </w:r>
    </w:p>
  </w:footnote>
  <w:footnote w:id="4">
    <w:p w14:paraId="5D33BA30"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131-39</w:t>
      </w:r>
    </w:p>
  </w:footnote>
  <w:footnote w:id="5">
    <w:p w14:paraId="247AB87A" w14:textId="77777777" w:rsidR="00B23074" w:rsidRPr="00C8617B" w:rsidRDefault="00B23074" w:rsidP="00B23074">
      <w:pPr>
        <w:pStyle w:val="FootnoteText"/>
        <w:ind w:left="426" w:hanging="426"/>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r>
        <w:rPr>
          <w:rFonts w:ascii="Arial" w:hAnsi="Arial" w:cs="Arial"/>
          <w:lang w:val="mn-MN"/>
        </w:rPr>
        <w:t xml:space="preserve"> </w:t>
      </w:r>
      <w:r w:rsidRPr="00C8617B">
        <w:rPr>
          <w:rFonts w:ascii="Arial" w:hAnsi="Arial" w:cs="Arial"/>
          <w:lang w:val="mn-MN"/>
        </w:rPr>
        <w:t>Code of Penalty – 131-39-2</w:t>
      </w:r>
    </w:p>
  </w:footnote>
  <w:footnote w:id="6">
    <w:p w14:paraId="1303EF86" w14:textId="77777777" w:rsidR="00B23074" w:rsidRPr="00D06E28"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131-46 (Татан буулгах нь эрүүгийн хариуцлагын нэг төрөл боловч эцсийн шийдвэр гарахаас өмнө шүүхээс урьдчилсан байдлаар хуулийн этгээдийн эрх зүйн байдлыг түдгэлзүүлэх тохиолдол байдаг)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00F14"/>
    <w:multiLevelType w:val="hybridMultilevel"/>
    <w:tmpl w:val="92160286"/>
    <w:lvl w:ilvl="0" w:tplc="6810CC92">
      <w:start w:val="2015"/>
      <w:numFmt w:val="bullet"/>
      <w:lvlText w:val="-"/>
      <w:lvlJc w:val="left"/>
      <w:pPr>
        <w:ind w:left="720" w:hanging="360"/>
      </w:pPr>
      <w:rPr>
        <w:rFonts w:ascii="Arial" w:eastAsiaTheme="minorHAnsi"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64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DE1MTQ1NDEzMjFW0lEKTi0uzszPAykwrAUAvwGReywAAAA="/>
  </w:docVars>
  <w:rsids>
    <w:rsidRoot w:val="00A72565"/>
    <w:rsid w:val="00001DD1"/>
    <w:rsid w:val="00015C57"/>
    <w:rsid w:val="0002653C"/>
    <w:rsid w:val="00030565"/>
    <w:rsid w:val="00037BD1"/>
    <w:rsid w:val="00054AAD"/>
    <w:rsid w:val="00061F1D"/>
    <w:rsid w:val="0006366C"/>
    <w:rsid w:val="00065983"/>
    <w:rsid w:val="00065C42"/>
    <w:rsid w:val="00082058"/>
    <w:rsid w:val="00082E03"/>
    <w:rsid w:val="000A4732"/>
    <w:rsid w:val="000B6D84"/>
    <w:rsid w:val="000B6DF3"/>
    <w:rsid w:val="000E2FFE"/>
    <w:rsid w:val="0012063F"/>
    <w:rsid w:val="00121453"/>
    <w:rsid w:val="00122830"/>
    <w:rsid w:val="001258D1"/>
    <w:rsid w:val="00126604"/>
    <w:rsid w:val="00130A16"/>
    <w:rsid w:val="0013457B"/>
    <w:rsid w:val="001378B2"/>
    <w:rsid w:val="001450AC"/>
    <w:rsid w:val="0015669A"/>
    <w:rsid w:val="00163B26"/>
    <w:rsid w:val="00170A32"/>
    <w:rsid w:val="001746B4"/>
    <w:rsid w:val="00175A39"/>
    <w:rsid w:val="001A4E63"/>
    <w:rsid w:val="001B592A"/>
    <w:rsid w:val="001C3961"/>
    <w:rsid w:val="001D0D6C"/>
    <w:rsid w:val="001D1509"/>
    <w:rsid w:val="001F3D50"/>
    <w:rsid w:val="00212058"/>
    <w:rsid w:val="002413ED"/>
    <w:rsid w:val="00251E6F"/>
    <w:rsid w:val="00266363"/>
    <w:rsid w:val="002673D7"/>
    <w:rsid w:val="00275162"/>
    <w:rsid w:val="002F367B"/>
    <w:rsid w:val="00311240"/>
    <w:rsid w:val="00321580"/>
    <w:rsid w:val="00334DC1"/>
    <w:rsid w:val="003728C8"/>
    <w:rsid w:val="003C507B"/>
    <w:rsid w:val="003E270B"/>
    <w:rsid w:val="003F0D8A"/>
    <w:rsid w:val="004137E4"/>
    <w:rsid w:val="0043161D"/>
    <w:rsid w:val="0044274A"/>
    <w:rsid w:val="00453DCE"/>
    <w:rsid w:val="00470DCC"/>
    <w:rsid w:val="004728EC"/>
    <w:rsid w:val="00475168"/>
    <w:rsid w:val="0048704D"/>
    <w:rsid w:val="004F19B5"/>
    <w:rsid w:val="00501A6E"/>
    <w:rsid w:val="0050226B"/>
    <w:rsid w:val="00521D89"/>
    <w:rsid w:val="005304CA"/>
    <w:rsid w:val="00543295"/>
    <w:rsid w:val="00545B36"/>
    <w:rsid w:val="00572365"/>
    <w:rsid w:val="00590AEA"/>
    <w:rsid w:val="00597D8A"/>
    <w:rsid w:val="005A1689"/>
    <w:rsid w:val="005A4AD2"/>
    <w:rsid w:val="005D3C16"/>
    <w:rsid w:val="0060096A"/>
    <w:rsid w:val="00625088"/>
    <w:rsid w:val="00633D38"/>
    <w:rsid w:val="00651099"/>
    <w:rsid w:val="006517E4"/>
    <w:rsid w:val="006651C6"/>
    <w:rsid w:val="0067297A"/>
    <w:rsid w:val="00675859"/>
    <w:rsid w:val="00682034"/>
    <w:rsid w:val="006829CA"/>
    <w:rsid w:val="00684C32"/>
    <w:rsid w:val="006C0341"/>
    <w:rsid w:val="006D1A06"/>
    <w:rsid w:val="006D47F6"/>
    <w:rsid w:val="006E3297"/>
    <w:rsid w:val="006E5A1F"/>
    <w:rsid w:val="006F1791"/>
    <w:rsid w:val="00711B42"/>
    <w:rsid w:val="00712E89"/>
    <w:rsid w:val="00724A44"/>
    <w:rsid w:val="007836F7"/>
    <w:rsid w:val="0078797D"/>
    <w:rsid w:val="007925D7"/>
    <w:rsid w:val="00797C53"/>
    <w:rsid w:val="007A555C"/>
    <w:rsid w:val="007A7235"/>
    <w:rsid w:val="007C3346"/>
    <w:rsid w:val="007E2FBD"/>
    <w:rsid w:val="007F19FB"/>
    <w:rsid w:val="007F5940"/>
    <w:rsid w:val="00822C0F"/>
    <w:rsid w:val="00833B81"/>
    <w:rsid w:val="008438CD"/>
    <w:rsid w:val="008674DA"/>
    <w:rsid w:val="00874273"/>
    <w:rsid w:val="00874AF3"/>
    <w:rsid w:val="00886FE8"/>
    <w:rsid w:val="008E2F86"/>
    <w:rsid w:val="008E3DF0"/>
    <w:rsid w:val="008E67EC"/>
    <w:rsid w:val="00913438"/>
    <w:rsid w:val="0091662D"/>
    <w:rsid w:val="009219DE"/>
    <w:rsid w:val="00943F3E"/>
    <w:rsid w:val="009453C6"/>
    <w:rsid w:val="00945A31"/>
    <w:rsid w:val="00952696"/>
    <w:rsid w:val="009567E4"/>
    <w:rsid w:val="00967765"/>
    <w:rsid w:val="0097007A"/>
    <w:rsid w:val="0097150C"/>
    <w:rsid w:val="0097317C"/>
    <w:rsid w:val="009802A9"/>
    <w:rsid w:val="00983695"/>
    <w:rsid w:val="00983B67"/>
    <w:rsid w:val="00997834"/>
    <w:rsid w:val="009B20E7"/>
    <w:rsid w:val="00A25D1D"/>
    <w:rsid w:val="00A72565"/>
    <w:rsid w:val="00A84DCD"/>
    <w:rsid w:val="00A92DFA"/>
    <w:rsid w:val="00AA4EA7"/>
    <w:rsid w:val="00AA5FD7"/>
    <w:rsid w:val="00AC5A09"/>
    <w:rsid w:val="00AD1887"/>
    <w:rsid w:val="00AD1D1B"/>
    <w:rsid w:val="00AD74AA"/>
    <w:rsid w:val="00AE7DC5"/>
    <w:rsid w:val="00B03FC6"/>
    <w:rsid w:val="00B129A0"/>
    <w:rsid w:val="00B15B97"/>
    <w:rsid w:val="00B23074"/>
    <w:rsid w:val="00B235F6"/>
    <w:rsid w:val="00B40D82"/>
    <w:rsid w:val="00B464AF"/>
    <w:rsid w:val="00B5291E"/>
    <w:rsid w:val="00B541AC"/>
    <w:rsid w:val="00B56793"/>
    <w:rsid w:val="00B7601A"/>
    <w:rsid w:val="00B82B38"/>
    <w:rsid w:val="00BD37AD"/>
    <w:rsid w:val="00BE5E4E"/>
    <w:rsid w:val="00C10D1A"/>
    <w:rsid w:val="00C32E76"/>
    <w:rsid w:val="00C4782D"/>
    <w:rsid w:val="00C71B3B"/>
    <w:rsid w:val="00C847AB"/>
    <w:rsid w:val="00CA4B66"/>
    <w:rsid w:val="00CE2752"/>
    <w:rsid w:val="00D058C0"/>
    <w:rsid w:val="00D151BB"/>
    <w:rsid w:val="00D27813"/>
    <w:rsid w:val="00D46870"/>
    <w:rsid w:val="00D50E31"/>
    <w:rsid w:val="00D6037F"/>
    <w:rsid w:val="00D64956"/>
    <w:rsid w:val="00DE1D66"/>
    <w:rsid w:val="00DE6C90"/>
    <w:rsid w:val="00DE70EA"/>
    <w:rsid w:val="00E07CC8"/>
    <w:rsid w:val="00E3082E"/>
    <w:rsid w:val="00E313D3"/>
    <w:rsid w:val="00E444A1"/>
    <w:rsid w:val="00E44549"/>
    <w:rsid w:val="00E56A2F"/>
    <w:rsid w:val="00E75D56"/>
    <w:rsid w:val="00E773D8"/>
    <w:rsid w:val="00E81B3F"/>
    <w:rsid w:val="00EA3708"/>
    <w:rsid w:val="00EC0D1E"/>
    <w:rsid w:val="00EE400E"/>
    <w:rsid w:val="00F22DBA"/>
    <w:rsid w:val="00F30D17"/>
    <w:rsid w:val="00F3321F"/>
    <w:rsid w:val="00F85661"/>
    <w:rsid w:val="00FB6A1E"/>
    <w:rsid w:val="00FC5435"/>
    <w:rsid w:val="00FC5C7B"/>
    <w:rsid w:val="00FC7433"/>
    <w:rsid w:val="00FD7868"/>
    <w:rsid w:val="00FE2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57B"/>
  <w15:chartTrackingRefBased/>
  <w15:docId w15:val="{0213E0A9-BF25-4634-A80E-0452D428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7256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WebChar">
    <w:name w:val="Normal (Web) Char"/>
    <w:link w:val="NormalWeb"/>
    <w:uiPriority w:val="99"/>
    <w:locked/>
    <w:rsid w:val="00A72565"/>
    <w:rPr>
      <w:rFonts w:ascii="Times New Roman" w:eastAsia="Times New Roman" w:hAnsi="Times New Roman" w:cs="Times New Roman"/>
      <w:kern w:val="0"/>
      <w:lang w:val="en-US"/>
      <w14:ligatures w14:val="none"/>
    </w:rPr>
  </w:style>
  <w:style w:type="table" w:styleId="TableGrid">
    <w:name w:val="Table Grid"/>
    <w:basedOn w:val="TableNormal"/>
    <w:uiPriority w:val="39"/>
    <w:rsid w:val="00A7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074"/>
    <w:pPr>
      <w:spacing w:line="360" w:lineRule="auto"/>
      <w:ind w:left="720"/>
      <w:contextualSpacing/>
    </w:pPr>
    <w:rPr>
      <w:rFonts w:ascii="Arial" w:hAnsi="Arial" w:cs="Arial"/>
      <w:lang w:val="en-US"/>
    </w:rPr>
  </w:style>
  <w:style w:type="paragraph" w:styleId="FootnoteText">
    <w:name w:val="footnote text"/>
    <w:basedOn w:val="Normal"/>
    <w:link w:val="FootnoteTextChar"/>
    <w:uiPriority w:val="99"/>
    <w:semiHidden/>
    <w:unhideWhenUsed/>
    <w:rsid w:val="00B2307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23074"/>
    <w:rPr>
      <w:sz w:val="20"/>
      <w:szCs w:val="20"/>
      <w:lang w:val="en-US"/>
    </w:rPr>
  </w:style>
  <w:style w:type="character" w:styleId="FootnoteReference">
    <w:name w:val="footnote reference"/>
    <w:basedOn w:val="DefaultParagraphFont"/>
    <w:uiPriority w:val="99"/>
    <w:semiHidden/>
    <w:unhideWhenUsed/>
    <w:rsid w:val="00B23074"/>
    <w:rPr>
      <w:vertAlign w:val="superscript"/>
    </w:rPr>
  </w:style>
  <w:style w:type="character" w:styleId="Hyperlink">
    <w:name w:val="Hyperlink"/>
    <w:basedOn w:val="DefaultParagraphFont"/>
    <w:uiPriority w:val="99"/>
    <w:unhideWhenUsed/>
    <w:rsid w:val="00B23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9227">
      <w:bodyDiv w:val="1"/>
      <w:marLeft w:val="0"/>
      <w:marRight w:val="0"/>
      <w:marTop w:val="0"/>
      <w:marBottom w:val="0"/>
      <w:divBdr>
        <w:top w:val="none" w:sz="0" w:space="0" w:color="auto"/>
        <w:left w:val="none" w:sz="0" w:space="0" w:color="auto"/>
        <w:bottom w:val="none" w:sz="0" w:space="0" w:color="auto"/>
        <w:right w:val="none" w:sz="0" w:space="0" w:color="auto"/>
      </w:divBdr>
    </w:div>
    <w:div w:id="18278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codes/texte_lc/LEGITEXT000006070719/" TargetMode="External"/><Relationship Id="rId1" Type="http://schemas.openxmlformats.org/officeDocument/2006/relationships/hyperlink" Target="https://www.legifrance.gouv.fr/codes/texte_lc/LEGITEXT000006071154/2005-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Bolor.G</dc:creator>
  <cp:keywords/>
  <dc:description/>
  <cp:lastModifiedBy>Bayarsaikhan</cp:lastModifiedBy>
  <cp:revision>7</cp:revision>
  <dcterms:created xsi:type="dcterms:W3CDTF">2025-11-04T04:32:00Z</dcterms:created>
  <dcterms:modified xsi:type="dcterms:W3CDTF">2026-05-01T06:23:00Z</dcterms:modified>
</cp:coreProperties>
</file>