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24C3" w14:textId="77777777" w:rsidR="00D560F1" w:rsidRPr="00286764" w:rsidRDefault="00D560F1" w:rsidP="00364C97">
      <w:pPr>
        <w:spacing w:after="0" w:line="276" w:lineRule="auto"/>
        <w:jc w:val="center"/>
        <w:rPr>
          <w:rFonts w:ascii="Arial" w:hAnsi="Arial" w:cs="Arial"/>
          <w:b/>
          <w:bCs/>
          <w:iCs/>
          <w:lang w:val="mn-MN"/>
        </w:rPr>
      </w:pPr>
      <w:r w:rsidRPr="00286764">
        <w:rPr>
          <w:rFonts w:ascii="Arial" w:hAnsi="Arial" w:cs="Arial"/>
          <w:b/>
          <w:bCs/>
          <w:iCs/>
          <w:lang w:val="mn-MN"/>
        </w:rPr>
        <w:t>НИЙГМИЙН СҮЛЖЭЭНД ХҮҮХДИЙН ОРОЛЦООГ ЗОХИЦУУЛАХ</w:t>
      </w:r>
    </w:p>
    <w:p w14:paraId="098137C4" w14:textId="5B3A3562" w:rsidR="00D560F1" w:rsidRPr="00286764" w:rsidRDefault="00D560F1" w:rsidP="00364C97">
      <w:pPr>
        <w:spacing w:after="0" w:line="276" w:lineRule="auto"/>
        <w:jc w:val="center"/>
        <w:rPr>
          <w:rFonts w:ascii="Arial" w:hAnsi="Arial" w:cs="Arial"/>
          <w:b/>
          <w:bCs/>
          <w:iCs/>
          <w:lang w:val="mn-MN"/>
        </w:rPr>
      </w:pPr>
      <w:r w:rsidRPr="00286764">
        <w:rPr>
          <w:rFonts w:ascii="Arial" w:hAnsi="Arial" w:cs="Arial"/>
          <w:b/>
          <w:bCs/>
          <w:iCs/>
          <w:lang w:val="mn-MN"/>
        </w:rPr>
        <w:t>ТУХАЙ ХУУЛИЙН ТӨСЛИЙН</w:t>
      </w:r>
      <w:r w:rsidR="00664955">
        <w:rPr>
          <w:rFonts w:ascii="Arial" w:hAnsi="Arial" w:cs="Arial"/>
          <w:b/>
          <w:bCs/>
          <w:iCs/>
          <w:lang w:val="mn-MN"/>
        </w:rPr>
        <w:t xml:space="preserve"> ТОВЧ</w:t>
      </w:r>
      <w:r w:rsidRPr="00286764">
        <w:rPr>
          <w:rFonts w:ascii="Arial" w:hAnsi="Arial" w:cs="Arial"/>
          <w:b/>
          <w:bCs/>
          <w:iCs/>
          <w:lang w:val="mn-MN"/>
        </w:rPr>
        <w:t xml:space="preserve"> ТАНИЛЦУУЛГА</w:t>
      </w:r>
    </w:p>
    <w:p w14:paraId="3D451566" w14:textId="77777777" w:rsidR="00D560F1" w:rsidRPr="00286764" w:rsidRDefault="00D560F1" w:rsidP="00364C97">
      <w:pPr>
        <w:spacing w:after="0" w:line="276" w:lineRule="auto"/>
        <w:ind w:firstLine="720"/>
        <w:contextualSpacing/>
        <w:jc w:val="both"/>
        <w:rPr>
          <w:rFonts w:ascii="Arial" w:hAnsi="Arial" w:cs="Arial"/>
          <w:lang w:val="mn-MN"/>
        </w:rPr>
      </w:pPr>
      <w:r w:rsidRPr="00286764">
        <w:rPr>
          <w:rFonts w:ascii="Arial" w:hAnsi="Arial" w:cs="Arial"/>
          <w:lang w:val="mn-MN"/>
        </w:rPr>
        <w:t xml:space="preserve"> </w:t>
      </w:r>
    </w:p>
    <w:p w14:paraId="1E52B091" w14:textId="77777777" w:rsidR="00D560F1" w:rsidRDefault="00D560F1" w:rsidP="00664955">
      <w:pPr>
        <w:spacing w:after="0" w:line="276" w:lineRule="auto"/>
        <w:ind w:firstLine="720"/>
        <w:contextualSpacing/>
        <w:jc w:val="both"/>
        <w:rPr>
          <w:rFonts w:ascii="Arial" w:hAnsi="Arial" w:cs="Arial"/>
          <w:lang w:val="mn-MN"/>
        </w:rPr>
      </w:pPr>
      <w:r w:rsidRPr="00286764">
        <w:rPr>
          <w:rFonts w:ascii="Arial" w:hAnsi="Arial" w:cs="Arial"/>
          <w:lang w:val="mn-MN"/>
        </w:rPr>
        <w:t xml:space="preserve">16 насанд хүрээгүй хүүхдийн мэдээллийн аюулгүй байдлыг хангах, хүүхдийг нийгмийн сүлжээнээс шалтгаалсан эрүүл мэнд, оюун санаа, хүмүүжил, төлөвшилд үзүүлэх сөрөг нөлөөллийг сэргийлэх, гэмт хэрэг, зөрчил, халдлагад өртөхөөс хамгаалах зорилгоор тэдгээрийг “насны хязгаартай нийгмийн сүлжээ”-нд бүртгэхийг хязгаарлахад энэхүү хуулийн төслийн зорилго оршино. </w:t>
      </w:r>
    </w:p>
    <w:p w14:paraId="654C5B3A" w14:textId="77777777" w:rsidR="00D560F1" w:rsidRPr="00286764" w:rsidRDefault="00D560F1" w:rsidP="00664955">
      <w:pPr>
        <w:spacing w:after="0" w:line="276" w:lineRule="auto"/>
        <w:ind w:firstLine="720"/>
        <w:jc w:val="both"/>
        <w:rPr>
          <w:rFonts w:ascii="Arial" w:hAnsi="Arial" w:cs="Arial"/>
          <w:lang w:val="mn-MN"/>
        </w:rPr>
      </w:pPr>
      <w:r w:rsidRPr="00286764">
        <w:rPr>
          <w:rFonts w:ascii="Arial" w:eastAsia="Arial" w:hAnsi="Arial" w:cs="Arial"/>
          <w:color w:val="000000"/>
          <w:lang w:val="mn-MN"/>
        </w:rPr>
        <w:t>Хуулийн төслийг боловсруулахдаа Олон Улсын туршлага, технологийн шийдэл, боломжийг харгалзан, өөрийн орны онцлогт нийцүүлэн, Хууль тогтоомжийн тухай хууль, бусад холбогдох дүрэм, журмын хүрээнд боловсруул</w:t>
      </w:r>
      <w:r>
        <w:rPr>
          <w:rFonts w:ascii="Arial" w:eastAsia="Arial" w:hAnsi="Arial" w:cs="Arial"/>
          <w:color w:val="000000"/>
          <w:lang w:val="mn-MN"/>
        </w:rPr>
        <w:t>л</w:t>
      </w:r>
      <w:r w:rsidRPr="00286764">
        <w:rPr>
          <w:rFonts w:ascii="Arial" w:eastAsia="Arial" w:hAnsi="Arial" w:cs="Arial"/>
          <w:color w:val="000000"/>
          <w:lang w:val="mn-MN"/>
        </w:rPr>
        <w:t xml:space="preserve">аа.  </w:t>
      </w:r>
      <w:r w:rsidRPr="00286764">
        <w:rPr>
          <w:rFonts w:ascii="Arial" w:hAnsi="Arial" w:cs="Arial"/>
          <w:lang w:val="mn-MN"/>
        </w:rPr>
        <w:t xml:space="preserve"> </w:t>
      </w:r>
    </w:p>
    <w:p w14:paraId="3D54B4E2" w14:textId="77777777" w:rsidR="00D560F1" w:rsidRPr="00286764" w:rsidRDefault="00D560F1" w:rsidP="00664955">
      <w:pPr>
        <w:spacing w:after="0" w:line="276" w:lineRule="auto"/>
        <w:ind w:firstLine="720"/>
        <w:contextualSpacing/>
        <w:jc w:val="both"/>
        <w:rPr>
          <w:rFonts w:ascii="Arial" w:hAnsi="Arial" w:cs="Arial"/>
          <w:lang w:val="mn-MN"/>
        </w:rPr>
      </w:pPr>
      <w:r w:rsidRPr="00286764">
        <w:rPr>
          <w:rFonts w:ascii="Arial" w:hAnsi="Arial" w:cs="Arial"/>
          <w:lang w:val="mn-MN"/>
        </w:rPr>
        <w:t xml:space="preserve"> Нийгмийн сүлжээнд 16 насанд хүрээгүй хүүхдийг бүртгэхийг хязгаарлах нь Монгол улсад анхны тохиолдол учир Нийгмийн сүлжээнд хүүхдийн оролцоог зохицуулах тухай хуулийн төсөл анхдагч хуулийн төсөл байх бөгөөд нийт 5 бүлгээс бүрдсэн.</w:t>
      </w:r>
    </w:p>
    <w:p w14:paraId="75AC22C2" w14:textId="77777777" w:rsidR="00D560F1" w:rsidRDefault="00D560F1" w:rsidP="00664955">
      <w:pPr>
        <w:spacing w:after="0" w:line="276" w:lineRule="auto"/>
        <w:ind w:firstLine="720"/>
        <w:contextualSpacing/>
        <w:jc w:val="both"/>
        <w:rPr>
          <w:rFonts w:ascii="Arial" w:hAnsi="Arial" w:cs="Arial"/>
          <w:lang w:val="mn-MN"/>
        </w:rPr>
      </w:pPr>
      <w:r w:rsidRPr="00286764">
        <w:rPr>
          <w:rFonts w:ascii="Arial" w:hAnsi="Arial" w:cs="Arial"/>
          <w:lang w:val="mn-MN"/>
        </w:rPr>
        <w:t>Хуулийн төслийн</w:t>
      </w:r>
      <w:r>
        <w:rPr>
          <w:rFonts w:ascii="Arial" w:hAnsi="Arial" w:cs="Arial"/>
          <w:lang w:val="mn-MN"/>
        </w:rPr>
        <w:t>:</w:t>
      </w:r>
    </w:p>
    <w:p w14:paraId="67BE5274" w14:textId="77777777" w:rsidR="00D560F1" w:rsidRDefault="00D560F1" w:rsidP="00664955">
      <w:pPr>
        <w:spacing w:after="0" w:line="276" w:lineRule="auto"/>
        <w:ind w:firstLine="720"/>
        <w:contextualSpacing/>
        <w:jc w:val="both"/>
        <w:rPr>
          <w:rFonts w:ascii="Arial" w:hAnsi="Arial" w:cs="Arial"/>
          <w:lang w:val="mn-MN"/>
        </w:rPr>
      </w:pPr>
      <w:r>
        <w:rPr>
          <w:rFonts w:ascii="Arial" w:hAnsi="Arial" w:cs="Arial"/>
          <w:lang w:val="mn-MN"/>
        </w:rPr>
        <w:t>-</w:t>
      </w:r>
      <w:r w:rsidRPr="00286764">
        <w:rPr>
          <w:rFonts w:ascii="Arial" w:hAnsi="Arial" w:cs="Arial"/>
          <w:lang w:val="mn-MN"/>
        </w:rPr>
        <w:t xml:space="preserve"> </w:t>
      </w:r>
      <w:r>
        <w:rPr>
          <w:rFonts w:ascii="Arial" w:hAnsi="Arial" w:cs="Arial"/>
          <w:lang w:val="mn-MN"/>
        </w:rPr>
        <w:t>Н</w:t>
      </w:r>
      <w:r w:rsidRPr="00286764">
        <w:rPr>
          <w:rFonts w:ascii="Arial" w:hAnsi="Arial" w:cs="Arial"/>
          <w:lang w:val="mn-MN"/>
        </w:rPr>
        <w:t>эгдүгээр бүлэгт хуулийн зорилт, үйлчлэх хүрээ, мөн нэр томьёоны тодорхойлолтыг</w:t>
      </w:r>
      <w:r>
        <w:rPr>
          <w:rFonts w:ascii="Arial" w:hAnsi="Arial" w:cs="Arial"/>
          <w:lang w:val="mn-MN"/>
        </w:rPr>
        <w:t xml:space="preserve"> томьёолж</w:t>
      </w:r>
    </w:p>
    <w:p w14:paraId="0B6E0E3A" w14:textId="77777777" w:rsidR="00D560F1" w:rsidRPr="00286764" w:rsidRDefault="00D560F1" w:rsidP="00664955">
      <w:pPr>
        <w:spacing w:after="0" w:line="276" w:lineRule="auto"/>
        <w:ind w:firstLine="720"/>
        <w:contextualSpacing/>
        <w:jc w:val="both"/>
        <w:rPr>
          <w:rFonts w:ascii="Arial" w:hAnsi="Arial" w:cs="Arial"/>
          <w:lang w:val="mn-MN"/>
        </w:rPr>
      </w:pPr>
      <w:r>
        <w:rPr>
          <w:rFonts w:ascii="Arial" w:hAnsi="Arial" w:cs="Arial"/>
          <w:lang w:val="mn-MN"/>
        </w:rPr>
        <w:t>- Х</w:t>
      </w:r>
      <w:r w:rsidRPr="00286764">
        <w:rPr>
          <w:rFonts w:ascii="Arial" w:hAnsi="Arial" w:cs="Arial"/>
          <w:lang w:val="mn-MN"/>
        </w:rPr>
        <w:t xml:space="preserve">оёрдугаар бүлэгт насны хязгаарлалтай нийгмийн сүлжээ, </w:t>
      </w:r>
      <w:r>
        <w:rPr>
          <w:rFonts w:ascii="Arial" w:hAnsi="Arial" w:cs="Arial"/>
          <w:lang w:val="mn-MN"/>
        </w:rPr>
        <w:t xml:space="preserve">нийгмийн сүлжээ </w:t>
      </w:r>
      <w:r w:rsidRPr="00286764">
        <w:rPr>
          <w:rFonts w:ascii="Arial" w:hAnsi="Arial" w:cs="Arial"/>
          <w:lang w:val="mn-MN"/>
        </w:rPr>
        <w:t>эрхлэгчийн чиг үүр</w:t>
      </w:r>
      <w:r>
        <w:rPr>
          <w:rFonts w:ascii="Arial" w:hAnsi="Arial" w:cs="Arial"/>
          <w:lang w:val="mn-MN"/>
        </w:rPr>
        <w:t>гийг тодорхойлж</w:t>
      </w:r>
      <w:r w:rsidRPr="00286764">
        <w:rPr>
          <w:rFonts w:ascii="Arial" w:hAnsi="Arial" w:cs="Arial"/>
          <w:lang w:val="mn-MN"/>
        </w:rPr>
        <w:t xml:space="preserve"> нийгмийн сүлжээний үйлчилгээ үзүүлэгч хэрэглэгчийг таньж мэдэх, түүний дагуу насны хязгаартай хэрэглэгчийг өөрийн үйлчилгээ үзүүлж буй нийгмийн сүлжээнд нэвтрүүлэхгүй байх, мөн хүүхдийн эмзэг мэдээлэл болон хүүхэдтэй холбоотой мэдээ, мэдээллийг цуглуулахгүй байх, гуравдагч этгээдэд дамжуулахгүй байх үүргийг тус тус хүлээлгэсэн.</w:t>
      </w:r>
    </w:p>
    <w:p w14:paraId="182471A2" w14:textId="77777777" w:rsidR="00D560F1" w:rsidRPr="00286764" w:rsidRDefault="00D560F1" w:rsidP="00664955">
      <w:pPr>
        <w:spacing w:after="0" w:line="276" w:lineRule="auto"/>
        <w:ind w:firstLine="720"/>
        <w:contextualSpacing/>
        <w:jc w:val="both"/>
        <w:rPr>
          <w:rFonts w:ascii="Arial" w:hAnsi="Arial" w:cs="Arial"/>
          <w:lang w:val="mn-MN"/>
        </w:rPr>
      </w:pPr>
      <w:r>
        <w:rPr>
          <w:rFonts w:ascii="Arial" w:hAnsi="Arial" w:cs="Arial"/>
          <w:lang w:val="mn-MN"/>
        </w:rPr>
        <w:t xml:space="preserve">- </w:t>
      </w:r>
      <w:r w:rsidRPr="00286764">
        <w:rPr>
          <w:rFonts w:ascii="Arial" w:hAnsi="Arial" w:cs="Arial"/>
          <w:lang w:val="mn-MN"/>
        </w:rPr>
        <w:t>Гуравдугаар бүлэгт төрийн байгууллага, албан тушаалтны чиг үүр</w:t>
      </w:r>
      <w:r>
        <w:rPr>
          <w:rFonts w:ascii="Arial" w:hAnsi="Arial" w:cs="Arial"/>
          <w:lang w:val="mn-MN"/>
        </w:rPr>
        <w:t>гийг</w:t>
      </w:r>
      <w:r w:rsidRPr="00286764">
        <w:rPr>
          <w:rFonts w:ascii="Arial" w:hAnsi="Arial" w:cs="Arial"/>
          <w:lang w:val="mn-MN"/>
        </w:rPr>
        <w:t xml:space="preserve"> </w:t>
      </w:r>
      <w:r>
        <w:rPr>
          <w:rFonts w:ascii="Arial" w:hAnsi="Arial" w:cs="Arial"/>
          <w:lang w:val="mn-MN"/>
        </w:rPr>
        <w:t>тодорхойлж өгсөн</w:t>
      </w:r>
      <w:r w:rsidRPr="00286764">
        <w:rPr>
          <w:rFonts w:ascii="Arial" w:hAnsi="Arial" w:cs="Arial"/>
          <w:lang w:val="mn-MN"/>
        </w:rPr>
        <w:t xml:space="preserve">. Тухайлбал </w:t>
      </w:r>
      <w:r w:rsidRPr="00286764">
        <w:rPr>
          <w:rFonts w:ascii="Arial" w:eastAsia="Arial" w:hAnsi="Arial" w:cs="Arial"/>
          <w:color w:val="000000"/>
          <w:lang w:val="mn-MN"/>
        </w:rPr>
        <w:t xml:space="preserve">Цахим хөгжил, харилцаа холбооны асуудал эрхэлсэн төрийн захиргааны төв байгууллага нь төрөөс баримтлах бодлого, хууль тогтоомжийн хэрэгжилтийг хангах, нийгмийн сүлжээний үйлчилгээ эрхлэгчийг үүргээ биелүүлэхэд хамтран ажиллах бөгөөд нийгмийн сүлжээний үйлчилгээ эрхлэгчийн жагсаалтыг батлахаар зохицуулсан. Харилцаа холбооны зохицуулах хороо нь хууль тогтоомжийг олон нийтэд таниулах, хэрэгжилтэд хяналт тавих, ингэхдээ нийгмийн сүлжээний үйлчилгээ үзүүлэгч нь хуульд заасан үүргээ биелүүлж буйг хянах, хуульд заасан гомдол, хүсэлтийг өөрийн эрх хэмжээний хүрээнд шийдвэрлэх, нийгмийн сүлжээ дэх хүүхдийн эрхийн зөрчлийн судалгааг </w:t>
      </w:r>
      <w:r>
        <w:rPr>
          <w:rFonts w:ascii="Arial" w:eastAsia="Arial" w:hAnsi="Arial" w:cs="Arial"/>
          <w:color w:val="000000"/>
          <w:lang w:val="mn-MN"/>
        </w:rPr>
        <w:t>гаргаж</w:t>
      </w:r>
      <w:r w:rsidRPr="00286764">
        <w:rPr>
          <w:rFonts w:ascii="Arial" w:eastAsia="Arial" w:hAnsi="Arial" w:cs="Arial"/>
          <w:color w:val="000000"/>
          <w:lang w:val="mn-MN"/>
        </w:rPr>
        <w:t xml:space="preserve"> түүний дагуу эрх зүйн орчныг боловсронгуй болгох талаар арга хэмжээ авах талаар тусгасан.</w:t>
      </w:r>
    </w:p>
    <w:p w14:paraId="49280DEC" w14:textId="77777777" w:rsidR="00D560F1" w:rsidRDefault="00D560F1" w:rsidP="00664955">
      <w:pPr>
        <w:spacing w:after="0" w:line="276" w:lineRule="auto"/>
        <w:ind w:firstLine="720"/>
        <w:contextualSpacing/>
        <w:jc w:val="both"/>
        <w:rPr>
          <w:rFonts w:ascii="Arial" w:eastAsia="Arial" w:hAnsi="Arial" w:cs="Arial"/>
          <w:color w:val="000000"/>
          <w:lang w:val="mn-MN"/>
        </w:rPr>
      </w:pPr>
      <w:r>
        <w:rPr>
          <w:rFonts w:ascii="Arial" w:hAnsi="Arial" w:cs="Arial"/>
          <w:lang w:val="mn-MN"/>
        </w:rPr>
        <w:t xml:space="preserve">- </w:t>
      </w:r>
      <w:r w:rsidRPr="00286764">
        <w:rPr>
          <w:rFonts w:ascii="Arial" w:hAnsi="Arial" w:cs="Arial"/>
          <w:lang w:val="mn-MN"/>
        </w:rPr>
        <w:t xml:space="preserve">Дөрөвдүгээр бүлэгт </w:t>
      </w:r>
      <w:r>
        <w:rPr>
          <w:rFonts w:ascii="Arial" w:hAnsi="Arial" w:cs="Arial"/>
          <w:lang w:val="mn-MN"/>
        </w:rPr>
        <w:t xml:space="preserve">энэхүү хуулийг зөрчсөн үйлдэлтэй холбоотой </w:t>
      </w:r>
      <w:r w:rsidRPr="00286764">
        <w:rPr>
          <w:rFonts w:ascii="Arial" w:hAnsi="Arial" w:cs="Arial"/>
          <w:lang w:val="mn-MN"/>
        </w:rPr>
        <w:t xml:space="preserve">гомдол мэдээлэл гаргах, түүнийг хянан шийдвэрлэх </w:t>
      </w:r>
      <w:r>
        <w:rPr>
          <w:rFonts w:ascii="Arial" w:hAnsi="Arial" w:cs="Arial"/>
          <w:lang w:val="mn-MN"/>
        </w:rPr>
        <w:t>арга замыг тодорхойлж өгсөн. Г</w:t>
      </w:r>
      <w:r w:rsidRPr="00286764">
        <w:rPr>
          <w:rFonts w:ascii="Arial" w:eastAsia="Arial" w:hAnsi="Arial" w:cs="Arial"/>
          <w:color w:val="000000"/>
          <w:lang w:val="mn-MN"/>
        </w:rPr>
        <w:t xml:space="preserve">омдол мэдээллийг нийгмийн сүлжээ эрхлэгч </w:t>
      </w:r>
      <w:r>
        <w:rPr>
          <w:rFonts w:ascii="Arial" w:eastAsia="Arial" w:hAnsi="Arial" w:cs="Arial"/>
          <w:color w:val="000000"/>
          <w:lang w:val="mn-MN"/>
        </w:rPr>
        <w:t xml:space="preserve">мөн </w:t>
      </w:r>
      <w:r w:rsidRPr="00286764">
        <w:rPr>
          <w:rFonts w:ascii="Arial" w:eastAsia="Arial" w:hAnsi="Arial" w:cs="Arial"/>
          <w:color w:val="000000"/>
          <w:lang w:val="mn-MN"/>
        </w:rPr>
        <w:t xml:space="preserve">харилцаа холбооны зохицуулах хороо хүлээн авч шийдвэрлэх бөгөөд эрүүгийн хууль болон бусад хуульд </w:t>
      </w:r>
      <w:r>
        <w:rPr>
          <w:rFonts w:ascii="Arial" w:eastAsia="Arial" w:hAnsi="Arial" w:cs="Arial"/>
          <w:color w:val="000000"/>
          <w:lang w:val="mn-MN"/>
        </w:rPr>
        <w:t>үндэслэн</w:t>
      </w:r>
      <w:r w:rsidRPr="00286764">
        <w:rPr>
          <w:rFonts w:ascii="Arial" w:eastAsia="Arial" w:hAnsi="Arial" w:cs="Arial"/>
          <w:color w:val="000000"/>
          <w:lang w:val="mn-MN"/>
        </w:rPr>
        <w:t xml:space="preserve"> холбогдох байгууллагад шилжүүлэх</w:t>
      </w:r>
      <w:r>
        <w:rPr>
          <w:rFonts w:ascii="Arial" w:eastAsia="Arial" w:hAnsi="Arial" w:cs="Arial"/>
          <w:color w:val="000000"/>
          <w:lang w:val="mn-MN"/>
        </w:rPr>
        <w:t xml:space="preserve"> эсвэл</w:t>
      </w:r>
      <w:r w:rsidRPr="00286764">
        <w:rPr>
          <w:rFonts w:ascii="Arial" w:eastAsia="Arial" w:hAnsi="Arial" w:cs="Arial"/>
          <w:color w:val="000000"/>
          <w:lang w:val="mn-MN"/>
        </w:rPr>
        <w:t xml:space="preserve"> өөрийн эрх мэдлийн хүрээнд шийдвэрлэх</w:t>
      </w:r>
      <w:r>
        <w:rPr>
          <w:rFonts w:ascii="Arial" w:eastAsia="Arial" w:hAnsi="Arial" w:cs="Arial"/>
          <w:color w:val="000000"/>
          <w:lang w:val="mn-MN"/>
        </w:rPr>
        <w:t xml:space="preserve"> сонголттойгоор</w:t>
      </w:r>
      <w:r w:rsidRPr="00286764">
        <w:rPr>
          <w:lang w:val="mn-MN"/>
        </w:rPr>
        <w:t xml:space="preserve"> </w:t>
      </w:r>
      <w:r>
        <w:rPr>
          <w:rFonts w:ascii="Arial" w:eastAsia="Arial" w:hAnsi="Arial" w:cs="Arial"/>
          <w:color w:val="000000"/>
          <w:lang w:val="mn-MN"/>
        </w:rPr>
        <w:t>тусгасан</w:t>
      </w:r>
    </w:p>
    <w:p w14:paraId="20AAE7CF" w14:textId="77777777" w:rsidR="00D560F1" w:rsidRDefault="00D560F1" w:rsidP="00664955">
      <w:pPr>
        <w:spacing w:after="0" w:line="276" w:lineRule="auto"/>
        <w:ind w:firstLine="720"/>
        <w:contextualSpacing/>
        <w:jc w:val="both"/>
        <w:rPr>
          <w:rFonts w:ascii="Arial" w:eastAsia="Arial" w:hAnsi="Arial" w:cs="Arial"/>
          <w:color w:val="000000"/>
          <w:lang w:val="mn-MN"/>
        </w:rPr>
      </w:pPr>
      <w:r>
        <w:rPr>
          <w:rFonts w:ascii="Arial" w:eastAsia="Arial" w:hAnsi="Arial" w:cs="Arial"/>
          <w:color w:val="000000"/>
          <w:lang w:val="mn-MN"/>
        </w:rPr>
        <w:t>-Т</w:t>
      </w:r>
      <w:r w:rsidRPr="00286764">
        <w:rPr>
          <w:rFonts w:ascii="Arial" w:eastAsia="Arial" w:hAnsi="Arial" w:cs="Arial"/>
          <w:color w:val="000000"/>
          <w:lang w:val="mn-MN"/>
        </w:rPr>
        <w:t>авдугаар бүлэгт, хууль зөрчигчид хүлээлгэх хариуцлагатай холбоотой зохицуулалтыг тусга</w:t>
      </w:r>
      <w:r>
        <w:rPr>
          <w:rFonts w:ascii="Arial" w:eastAsia="Arial" w:hAnsi="Arial" w:cs="Arial"/>
          <w:color w:val="000000"/>
          <w:lang w:val="mn-MN"/>
        </w:rPr>
        <w:t>ж өгсөн</w:t>
      </w:r>
      <w:r w:rsidRPr="00286764">
        <w:rPr>
          <w:rFonts w:ascii="Arial" w:eastAsia="Arial" w:hAnsi="Arial" w:cs="Arial"/>
          <w:color w:val="000000"/>
          <w:lang w:val="mn-MN"/>
        </w:rPr>
        <w:t>.</w:t>
      </w:r>
      <w:r>
        <w:rPr>
          <w:rFonts w:ascii="Arial" w:eastAsia="Arial" w:hAnsi="Arial" w:cs="Arial"/>
          <w:color w:val="000000"/>
          <w:lang w:val="mn-MN"/>
        </w:rPr>
        <w:t xml:space="preserve"> </w:t>
      </w:r>
    </w:p>
    <w:p w14:paraId="578BB834" w14:textId="77777777" w:rsidR="00D560F1" w:rsidRPr="00286764" w:rsidRDefault="00D560F1" w:rsidP="00664955">
      <w:pPr>
        <w:spacing w:after="0" w:line="276" w:lineRule="auto"/>
        <w:ind w:firstLine="720"/>
        <w:contextualSpacing/>
        <w:jc w:val="both"/>
        <w:rPr>
          <w:rFonts w:ascii="Arial" w:hAnsi="Arial" w:cs="Arial"/>
          <w:lang w:val="mn-MN"/>
        </w:rPr>
      </w:pPr>
    </w:p>
    <w:p w14:paraId="26269216" w14:textId="77777777" w:rsidR="00D560F1" w:rsidRPr="00286764" w:rsidRDefault="00D560F1" w:rsidP="00664955">
      <w:pPr>
        <w:spacing w:after="0" w:line="276" w:lineRule="auto"/>
        <w:ind w:firstLine="720"/>
        <w:jc w:val="both"/>
        <w:rPr>
          <w:rFonts w:ascii="Arial" w:hAnsi="Arial" w:cs="Arial"/>
          <w:lang w:val="mn-MN"/>
        </w:rPr>
      </w:pPr>
    </w:p>
    <w:p w14:paraId="30BF1EC0" w14:textId="77777777" w:rsidR="00D560F1" w:rsidRDefault="00D560F1" w:rsidP="00664955">
      <w:pPr>
        <w:spacing w:line="276" w:lineRule="auto"/>
      </w:pPr>
    </w:p>
    <w:p w14:paraId="2F0B6D8A" w14:textId="77777777" w:rsidR="00D560F1" w:rsidRDefault="00D560F1" w:rsidP="00664955">
      <w:pPr>
        <w:spacing w:line="276" w:lineRule="auto"/>
      </w:pPr>
    </w:p>
    <w:p w14:paraId="64760D0A" w14:textId="77777777" w:rsidR="00D560F1" w:rsidRDefault="00D560F1" w:rsidP="00664955">
      <w:pPr>
        <w:spacing w:line="276" w:lineRule="auto"/>
      </w:pPr>
    </w:p>
    <w:p w14:paraId="0EA16CC0" w14:textId="77777777" w:rsidR="004712CD" w:rsidRDefault="004712CD" w:rsidP="00664955">
      <w:pPr>
        <w:spacing w:line="276" w:lineRule="auto"/>
      </w:pPr>
    </w:p>
    <w:p w14:paraId="4BF5CBF4" w14:textId="77777777" w:rsidR="00664955" w:rsidRDefault="00664955">
      <w:pPr>
        <w:spacing w:line="276" w:lineRule="auto"/>
      </w:pPr>
    </w:p>
    <w:sectPr w:rsidR="00664955" w:rsidSect="00364C97">
      <w:pgSz w:w="11906" w:h="16838"/>
      <w:pgMar w:top="1440" w:right="85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CD"/>
    <w:rsid w:val="00232213"/>
    <w:rsid w:val="002F44D0"/>
    <w:rsid w:val="00364C97"/>
    <w:rsid w:val="004712CD"/>
    <w:rsid w:val="00664955"/>
    <w:rsid w:val="006D3810"/>
    <w:rsid w:val="008F6A8C"/>
    <w:rsid w:val="00972121"/>
    <w:rsid w:val="009E2A12"/>
    <w:rsid w:val="00B25B1F"/>
    <w:rsid w:val="00D5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8674"/>
  <w15:chartTrackingRefBased/>
  <w15:docId w15:val="{9822391C-2C7C-481D-896D-0C6BB06E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0F1"/>
  </w:style>
  <w:style w:type="paragraph" w:styleId="Heading1">
    <w:name w:val="heading 1"/>
    <w:basedOn w:val="Normal"/>
    <w:next w:val="Normal"/>
    <w:link w:val="Heading1Char"/>
    <w:uiPriority w:val="9"/>
    <w:qFormat/>
    <w:rsid w:val="00471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2CD"/>
    <w:rPr>
      <w:rFonts w:eastAsiaTheme="majorEastAsia" w:cstheme="majorBidi"/>
      <w:color w:val="272727" w:themeColor="text1" w:themeTint="D8"/>
    </w:rPr>
  </w:style>
  <w:style w:type="paragraph" w:styleId="Title">
    <w:name w:val="Title"/>
    <w:basedOn w:val="Normal"/>
    <w:next w:val="Normal"/>
    <w:link w:val="TitleChar"/>
    <w:uiPriority w:val="10"/>
    <w:qFormat/>
    <w:rsid w:val="00471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2CD"/>
    <w:pPr>
      <w:spacing w:before="160"/>
      <w:jc w:val="center"/>
    </w:pPr>
    <w:rPr>
      <w:i/>
      <w:iCs/>
      <w:color w:val="404040" w:themeColor="text1" w:themeTint="BF"/>
    </w:rPr>
  </w:style>
  <w:style w:type="character" w:customStyle="1" w:styleId="QuoteChar">
    <w:name w:val="Quote Char"/>
    <w:basedOn w:val="DefaultParagraphFont"/>
    <w:link w:val="Quote"/>
    <w:uiPriority w:val="29"/>
    <w:rsid w:val="004712CD"/>
    <w:rPr>
      <w:i/>
      <w:iCs/>
      <w:color w:val="404040" w:themeColor="text1" w:themeTint="BF"/>
    </w:rPr>
  </w:style>
  <w:style w:type="paragraph" w:styleId="ListParagraph">
    <w:name w:val="List Paragraph"/>
    <w:basedOn w:val="Normal"/>
    <w:uiPriority w:val="34"/>
    <w:qFormat/>
    <w:rsid w:val="004712CD"/>
    <w:pPr>
      <w:ind w:left="720"/>
      <w:contextualSpacing/>
    </w:pPr>
  </w:style>
  <w:style w:type="character" w:styleId="IntenseEmphasis">
    <w:name w:val="Intense Emphasis"/>
    <w:basedOn w:val="DefaultParagraphFont"/>
    <w:uiPriority w:val="21"/>
    <w:qFormat/>
    <w:rsid w:val="004712CD"/>
    <w:rPr>
      <w:i/>
      <w:iCs/>
      <w:color w:val="0F4761" w:themeColor="accent1" w:themeShade="BF"/>
    </w:rPr>
  </w:style>
  <w:style w:type="paragraph" w:styleId="IntenseQuote">
    <w:name w:val="Intense Quote"/>
    <w:basedOn w:val="Normal"/>
    <w:next w:val="Normal"/>
    <w:link w:val="IntenseQuoteChar"/>
    <w:uiPriority w:val="30"/>
    <w:qFormat/>
    <w:rsid w:val="00471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2CD"/>
    <w:rPr>
      <w:i/>
      <w:iCs/>
      <w:color w:val="0F4761" w:themeColor="accent1" w:themeShade="BF"/>
    </w:rPr>
  </w:style>
  <w:style w:type="character" w:styleId="IntenseReference">
    <w:name w:val="Intense Reference"/>
    <w:basedOn w:val="DefaultParagraphFont"/>
    <w:uiPriority w:val="32"/>
    <w:qFormat/>
    <w:rsid w:val="00471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Ариунболд Төмөр</dc:creator>
  <cp:keywords/>
  <dc:description/>
  <cp:lastModifiedBy>Naranbayar</cp:lastModifiedBy>
  <cp:revision>7</cp:revision>
  <cp:lastPrinted>2026-04-30T08:15:00Z</cp:lastPrinted>
  <dcterms:created xsi:type="dcterms:W3CDTF">2026-03-10T23:17:00Z</dcterms:created>
  <dcterms:modified xsi:type="dcterms:W3CDTF">2026-04-30T08:16:00Z</dcterms:modified>
</cp:coreProperties>
</file>