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D9280" w14:textId="1EAC20C7" w:rsidR="00670A01" w:rsidRPr="00BA6FC0" w:rsidRDefault="492D5C89" w:rsidP="00826DB7">
      <w:pPr>
        <w:spacing w:before="120" w:after="120" w:line="240" w:lineRule="auto"/>
        <w:jc w:val="center"/>
        <w:rPr>
          <w:rFonts w:ascii="Arial" w:hAnsi="Arial" w:cs="Arial"/>
        </w:rPr>
      </w:pPr>
      <w:r w:rsidRPr="00D30BBD">
        <w:rPr>
          <w:rFonts w:ascii="Arial" w:eastAsia="Arial" w:hAnsi="Arial" w:cs="Arial"/>
          <w:b/>
          <w:bCs/>
          <w:lang w:val="mn"/>
        </w:rPr>
        <w:t>ТОВЧ ТАНИЛЦУУЛГА</w:t>
      </w:r>
    </w:p>
    <w:p w14:paraId="0FAE1197" w14:textId="4BDF06C9" w:rsidR="00670A01" w:rsidRPr="00BA6FC0" w:rsidRDefault="492D5C89" w:rsidP="00826DB7">
      <w:pPr>
        <w:spacing w:before="120" w:after="120" w:line="240" w:lineRule="auto"/>
        <w:jc w:val="center"/>
        <w:rPr>
          <w:rFonts w:ascii="Arial" w:hAnsi="Arial" w:cs="Arial"/>
        </w:rPr>
      </w:pPr>
      <w:r w:rsidRPr="00D30BBD">
        <w:rPr>
          <w:rFonts w:ascii="Arial" w:eastAsia="Arial" w:hAnsi="Arial" w:cs="Arial"/>
          <w:lang w:val="mn"/>
        </w:rPr>
        <w:t xml:space="preserve"> </w:t>
      </w:r>
      <w:r w:rsidRPr="00D30BBD">
        <w:rPr>
          <w:rFonts w:ascii="Arial" w:eastAsia="Arial" w:hAnsi="Arial" w:cs="Arial"/>
          <w:i/>
          <w:iCs/>
          <w:lang w:val="mn"/>
        </w:rPr>
        <w:t xml:space="preserve"> </w:t>
      </w:r>
    </w:p>
    <w:p w14:paraId="364A34E2" w14:textId="50EE1B41" w:rsidR="00670A01" w:rsidRPr="00BA6FC0" w:rsidRDefault="32109A55" w:rsidP="00826DB7">
      <w:pPr>
        <w:spacing w:after="0" w:line="240" w:lineRule="auto"/>
        <w:jc w:val="right"/>
        <w:rPr>
          <w:rFonts w:ascii="Arial" w:hAnsi="Arial" w:cs="Arial"/>
        </w:rPr>
      </w:pPr>
      <w:r w:rsidRPr="00D30BBD">
        <w:rPr>
          <w:rFonts w:ascii="Arial" w:eastAsia="Arial" w:hAnsi="Arial" w:cs="Arial"/>
          <w:i/>
          <w:iCs/>
          <w:lang w:val="mn-MN"/>
        </w:rPr>
        <w:t>Хөрөнгө оруулалтын сангийн тухай</w:t>
      </w:r>
      <w:r w:rsidR="492D5C89" w:rsidRPr="00D30BBD">
        <w:rPr>
          <w:rFonts w:ascii="Arial" w:eastAsia="Arial" w:hAnsi="Arial" w:cs="Arial"/>
          <w:i/>
          <w:iCs/>
          <w:lang w:val="mn"/>
        </w:rPr>
        <w:t xml:space="preserve"> хуульд</w:t>
      </w:r>
    </w:p>
    <w:p w14:paraId="55ADB3AC" w14:textId="3A2CB386" w:rsidR="00670A01" w:rsidRPr="00BA6FC0" w:rsidRDefault="492D5C89" w:rsidP="00826DB7">
      <w:pPr>
        <w:spacing w:after="0" w:line="240" w:lineRule="auto"/>
        <w:jc w:val="right"/>
        <w:rPr>
          <w:rFonts w:ascii="Arial" w:hAnsi="Arial" w:cs="Arial"/>
        </w:rPr>
      </w:pPr>
      <w:r w:rsidRPr="00D30BBD">
        <w:rPr>
          <w:rFonts w:ascii="Arial" w:eastAsia="Arial" w:hAnsi="Arial" w:cs="Arial"/>
          <w:i/>
          <w:iCs/>
          <w:lang w:val="mn"/>
        </w:rPr>
        <w:t xml:space="preserve"> нэмэлт, өөрчлөлт оруулах тухай</w:t>
      </w:r>
    </w:p>
    <w:p w14:paraId="5392C8DD" w14:textId="5F67E7B2" w:rsidR="00670A01" w:rsidRPr="00BA6FC0" w:rsidRDefault="492D5C89" w:rsidP="00826DB7">
      <w:pPr>
        <w:spacing w:after="0" w:line="240" w:lineRule="auto"/>
        <w:jc w:val="right"/>
        <w:rPr>
          <w:rFonts w:ascii="Arial" w:hAnsi="Arial" w:cs="Arial"/>
        </w:rPr>
      </w:pPr>
      <w:r w:rsidRPr="00D30BBD">
        <w:rPr>
          <w:rFonts w:ascii="Arial" w:eastAsia="Arial" w:hAnsi="Arial" w:cs="Arial"/>
          <w:i/>
          <w:iCs/>
          <w:lang w:val="mn"/>
        </w:rPr>
        <w:t>хуулийн төслийн т</w:t>
      </w:r>
      <w:r w:rsidR="508801F7" w:rsidRPr="00D30BBD">
        <w:rPr>
          <w:rFonts w:ascii="Arial" w:eastAsia="Arial" w:hAnsi="Arial" w:cs="Arial"/>
          <w:i/>
          <w:iCs/>
          <w:lang w:val="mn"/>
        </w:rPr>
        <w:t>овч танилцуулга</w:t>
      </w:r>
    </w:p>
    <w:p w14:paraId="0B496AF5" w14:textId="77777777" w:rsidR="0081739A" w:rsidRDefault="1F9A090E" w:rsidP="00826DB7">
      <w:pPr>
        <w:spacing w:before="120" w:after="120" w:line="240" w:lineRule="auto"/>
        <w:ind w:firstLine="720"/>
        <w:jc w:val="both"/>
        <w:rPr>
          <w:rFonts w:ascii="Arial" w:eastAsia="Arial" w:hAnsi="Arial" w:cs="Arial"/>
          <w:lang w:val="mn-MN"/>
        </w:rPr>
      </w:pPr>
      <w:r w:rsidRPr="00D30BBD">
        <w:rPr>
          <w:rFonts w:ascii="Arial" w:eastAsia="Arial" w:hAnsi="Arial" w:cs="Arial"/>
          <w:lang w:val="mn"/>
        </w:rPr>
        <w:t xml:space="preserve"> </w:t>
      </w:r>
    </w:p>
    <w:p w14:paraId="33320DBD" w14:textId="3DDABB1F" w:rsidR="003C2350" w:rsidRPr="00BA6FC0" w:rsidRDefault="13C0D387" w:rsidP="00826DB7">
      <w:pPr>
        <w:spacing w:before="120" w:after="120" w:line="240" w:lineRule="auto"/>
        <w:ind w:firstLine="720"/>
        <w:jc w:val="both"/>
        <w:rPr>
          <w:rFonts w:ascii="Arial" w:hAnsi="Arial" w:cs="Arial"/>
        </w:rPr>
      </w:pPr>
      <w:r w:rsidRPr="00D30BBD">
        <w:rPr>
          <w:rFonts w:ascii="Arial" w:eastAsia="Times New Roman" w:hAnsi="Arial" w:cs="Arial"/>
          <w:color w:val="000000" w:themeColor="text1"/>
        </w:rPr>
        <w:t>Монгол Улсын Их Хурлын 2020 оны 52 дугаар тогтоолоор батлагдсан “Алсын хараа-2050” Монгол Улсын урт хугацааны хөгжлийн бодлогын баримт бичгийн 4.3-т “Олон улсын санхүүгийн зах зээлтэй холбогдсон олон тулгуурт, хүртээмжтэй санхүүгийн системийг хөгжүүлнэ” гэж заасан.</w:t>
      </w:r>
    </w:p>
    <w:p w14:paraId="2FD80BC6" w14:textId="43F7EDE0" w:rsidR="003C2350" w:rsidRPr="00BA6FC0" w:rsidRDefault="13C0D387" w:rsidP="00826DB7">
      <w:pPr>
        <w:spacing w:before="120" w:after="120" w:line="240" w:lineRule="auto"/>
        <w:ind w:firstLine="720"/>
        <w:jc w:val="both"/>
        <w:rPr>
          <w:rFonts w:ascii="Arial" w:hAnsi="Arial" w:cs="Arial"/>
        </w:rPr>
      </w:pPr>
      <w:r w:rsidRPr="00D30BBD">
        <w:rPr>
          <w:rFonts w:ascii="Arial" w:eastAsia="Times New Roman" w:hAnsi="Arial" w:cs="Arial"/>
          <w:color w:val="000000" w:themeColor="text1"/>
        </w:rPr>
        <w:t>Түүнчлэн Монгол Улсын Засгийн газрын 2024-2028 оны үйл ажиллагааны хөтөлбөрийн 2.4.2.7-д “Үл хөдлөх салбарын хамтын хөрөнгө оруулалтын сангийн эрх зүйн орчныг бүрдүүлнэ” гэж, 3.1.3.1-т “Санхүү, даатгал, хөрөнгийн зах зээлийн хууль, эрх зүйн орчныг олон улсын жишигт нийцүүлэн шинэчилнэ” гэж тус тус заасан.</w:t>
      </w:r>
    </w:p>
    <w:p w14:paraId="517CA3E3" w14:textId="7306C075" w:rsidR="003C2350" w:rsidRPr="00BA6FC0" w:rsidRDefault="13C0D387" w:rsidP="00826DB7">
      <w:pPr>
        <w:spacing w:before="120" w:after="120" w:line="240" w:lineRule="auto"/>
        <w:ind w:firstLine="720"/>
        <w:jc w:val="both"/>
        <w:rPr>
          <w:rFonts w:ascii="Arial" w:hAnsi="Arial" w:cs="Arial"/>
        </w:rPr>
      </w:pPr>
      <w:r w:rsidRPr="00D30BBD">
        <w:rPr>
          <w:rFonts w:ascii="Arial" w:eastAsia="Times New Roman" w:hAnsi="Arial" w:cs="Arial"/>
          <w:color w:val="000000" w:themeColor="text1"/>
        </w:rPr>
        <w:t>Эдгээр бодлогын баримт бичигт тусгагдсан зорилт, арга хэмжээг хэрэгжүүлэх хүрээнд хөрөнгийн зах зээлийг хөгжүүлэх, иргэд, аж ахуйн нэгжид хөрөнгө оруулалтын олон талт боломжийг бүрдүүлэх, үл хөдлөх хөрөнгийн салбарын санхүүжилтийн эх үүсвэрийг төрөлжүүлэх, эдийн засгийн урт хугацааны тогтвортой хөгжлийг дэмжих шаардлага үүсэж байна.</w:t>
      </w:r>
    </w:p>
    <w:p w14:paraId="5A220AD3" w14:textId="3F41640B" w:rsidR="003C2350" w:rsidRPr="00BA6FC0" w:rsidRDefault="13C0D387" w:rsidP="00826DB7">
      <w:pPr>
        <w:spacing w:before="120" w:after="120" w:line="240" w:lineRule="auto"/>
        <w:ind w:firstLine="720"/>
        <w:jc w:val="both"/>
        <w:rPr>
          <w:rFonts w:ascii="Arial" w:hAnsi="Arial" w:cs="Arial"/>
        </w:rPr>
      </w:pPr>
      <w:r w:rsidRPr="00D30BBD">
        <w:rPr>
          <w:rFonts w:ascii="Arial" w:eastAsia="Times New Roman" w:hAnsi="Arial" w:cs="Arial"/>
          <w:color w:val="000000" w:themeColor="text1"/>
        </w:rPr>
        <w:t xml:space="preserve">Энэхүү хэрэгцээ, шаардлагад үндэслэн Хөрөнгө оруулалтын сангийн тухай хуульд нэмэлт, өөрчлөлт оруулах тухай хуулийн төслөөр </w:t>
      </w:r>
      <w:r w:rsidR="01F93EC6" w:rsidRPr="00D30BBD">
        <w:rPr>
          <w:rFonts w:ascii="Arial" w:hAnsi="Arial" w:cs="Arial"/>
        </w:rPr>
        <w:t xml:space="preserve">Монгол Улсад үл хөдлөх хөрөнгийн хөрөнгө оруулалтын сан буюу REIT-ийн эрх зүйн үндсийг бүрдүүлэх, түүний үйл ажиллагаа, хөрөнгө оруулалтын бүтэц, удирдлага, хөрөнгө оруулагчийн эрх ашгийг хамгаалах, эрсдэлийн төвлөрлийг хязгаарлах болон хяналт, зохицуулалтын харилцааг </w:t>
      </w:r>
      <w:r w:rsidR="3D13AD87" w:rsidRPr="00D30BBD">
        <w:rPr>
          <w:rFonts w:ascii="Arial" w:eastAsia="Times New Roman" w:hAnsi="Arial" w:cs="Arial"/>
          <w:color w:val="000000" w:themeColor="text1"/>
        </w:rPr>
        <w:t>тусгайлан зохицуулахаар тусгасан.</w:t>
      </w:r>
    </w:p>
    <w:p w14:paraId="67061A57" w14:textId="4E8CEC1D" w:rsidR="003C2350" w:rsidRPr="00BA6FC0" w:rsidRDefault="6C118173" w:rsidP="00826DB7">
      <w:pPr>
        <w:spacing w:before="120" w:after="120" w:line="240" w:lineRule="auto"/>
        <w:ind w:firstLine="720"/>
        <w:jc w:val="both"/>
        <w:rPr>
          <w:rFonts w:ascii="Arial" w:hAnsi="Arial" w:cs="Arial"/>
        </w:rPr>
      </w:pPr>
      <w:proofErr w:type="gramStart"/>
      <w:r w:rsidRPr="00D30BBD">
        <w:rPr>
          <w:rFonts w:ascii="Arial" w:hAnsi="Arial" w:cs="Arial"/>
        </w:rPr>
        <w:t>Тухайлбал, хуулийн т</w:t>
      </w:r>
      <w:r w:rsidR="2B6A1BF2" w:rsidRPr="00D30BBD">
        <w:rPr>
          <w:rFonts w:ascii="Arial" w:hAnsi="Arial" w:cs="Arial"/>
        </w:rPr>
        <w:t>өсөлд үл хөдлөх хөрөнгийн санг үл хөдлөх хөрөнгө болон бусад зөвшөөрөгдсөн хөрөнгө оруулалтын хэрэгсэлд хөрөнгө оруулж, үл хөдлөх хөрөнгийг түрээслүүлэх, хөлслүүлэх, ашиглуулах, худалдан борлуулах замаар орлого олж, ногдол ашиг хуваарилдаг сан байхаар тодорхойлсон.</w:t>
      </w:r>
      <w:proofErr w:type="gramEnd"/>
      <w:r w:rsidR="2B6A1BF2" w:rsidRPr="00D30BBD">
        <w:rPr>
          <w:rFonts w:ascii="Arial" w:hAnsi="Arial" w:cs="Arial"/>
        </w:rPr>
        <w:t xml:space="preserve"> </w:t>
      </w:r>
    </w:p>
    <w:p w14:paraId="702D65B4" w14:textId="77777777" w:rsidR="003C2350" w:rsidRPr="00BA6FC0" w:rsidRDefault="2B6A1BF2" w:rsidP="00826DB7">
      <w:pPr>
        <w:spacing w:before="120" w:after="120" w:line="240" w:lineRule="auto"/>
        <w:ind w:firstLine="720"/>
        <w:jc w:val="both"/>
        <w:rPr>
          <w:rFonts w:ascii="Arial" w:hAnsi="Arial" w:cs="Arial"/>
        </w:rPr>
      </w:pPr>
      <w:r w:rsidRPr="00D30BBD">
        <w:rPr>
          <w:rFonts w:ascii="Arial" w:hAnsi="Arial" w:cs="Arial"/>
        </w:rPr>
        <w:t>Зарчмын шинжтэй гол зохицуулалтад дараах асуудлыг хамруулсан. Үүнд:</w:t>
      </w:r>
    </w:p>
    <w:p w14:paraId="18A38C06" w14:textId="77777777" w:rsidR="003C2350" w:rsidRPr="00BA6FC0" w:rsidRDefault="2B6A1BF2" w:rsidP="00826DB7">
      <w:pPr>
        <w:numPr>
          <w:ilvl w:val="0"/>
          <w:numId w:val="3"/>
        </w:numPr>
        <w:spacing w:before="120" w:after="120" w:line="240" w:lineRule="auto"/>
        <w:jc w:val="both"/>
        <w:rPr>
          <w:rFonts w:ascii="Arial" w:hAnsi="Arial" w:cs="Arial"/>
        </w:rPr>
      </w:pPr>
      <w:r w:rsidRPr="00D30BBD">
        <w:rPr>
          <w:rFonts w:ascii="Arial" w:hAnsi="Arial" w:cs="Arial"/>
          <w:lang w:val="mn-MN"/>
        </w:rPr>
        <w:t>Ү</w:t>
      </w:r>
      <w:r w:rsidRPr="00D30BBD">
        <w:rPr>
          <w:rFonts w:ascii="Arial" w:hAnsi="Arial" w:cs="Arial"/>
        </w:rPr>
        <w:t>л хөдлөх хөрөнгийн санг хамтын хаалттай хөрөнгө оруулалтын сангийн хэлбэрээр байгуулах;</w:t>
      </w:r>
    </w:p>
    <w:p w14:paraId="66F0C8AB" w14:textId="77777777" w:rsidR="001B17A1" w:rsidRPr="00BA6FC0" w:rsidRDefault="03038ED0" w:rsidP="00826DB7">
      <w:pPr>
        <w:numPr>
          <w:ilvl w:val="0"/>
          <w:numId w:val="3"/>
        </w:numPr>
        <w:spacing w:before="120" w:after="120" w:line="240" w:lineRule="auto"/>
        <w:jc w:val="both"/>
        <w:rPr>
          <w:rFonts w:ascii="Arial" w:hAnsi="Arial" w:cs="Arial"/>
        </w:rPr>
      </w:pPr>
      <w:r w:rsidRPr="00D30BBD">
        <w:rPr>
          <w:rFonts w:ascii="Arial" w:hAnsi="Arial" w:cs="Arial"/>
        </w:rPr>
        <w:t>Хөрөнгө оруулалтын менежментийн компани нь сангийн активын удирдлага, хөрөнгө оруулалтын бодлогын шийдвэрийг хэрэгжүүлэх;</w:t>
      </w:r>
    </w:p>
    <w:p w14:paraId="3E4F48A0" w14:textId="77777777" w:rsidR="001B17A1" w:rsidRPr="00BA6FC0" w:rsidRDefault="03038ED0" w:rsidP="00826DB7">
      <w:pPr>
        <w:numPr>
          <w:ilvl w:val="0"/>
          <w:numId w:val="3"/>
        </w:numPr>
        <w:spacing w:before="120" w:after="120" w:line="240" w:lineRule="auto"/>
        <w:jc w:val="both"/>
        <w:rPr>
          <w:rFonts w:ascii="Arial" w:hAnsi="Arial" w:cs="Arial"/>
        </w:rPr>
      </w:pPr>
      <w:r w:rsidRPr="00D30BBD">
        <w:rPr>
          <w:rFonts w:ascii="Arial" w:hAnsi="Arial" w:cs="Arial"/>
        </w:rPr>
        <w:t>Кастодиан нь сангийн хөрөнгийн хадгалалт, нэгж эрх эзэмшигчийн бүртгэл болон холбогдох хяналтын чиг үүргийг хэрэгжүүлэх;</w:t>
      </w:r>
    </w:p>
    <w:p w14:paraId="553F8FBB" w14:textId="7303B9F9" w:rsidR="003C2350" w:rsidRPr="00BA6FC0" w:rsidRDefault="2B6A1BF2" w:rsidP="00826DB7">
      <w:pPr>
        <w:numPr>
          <w:ilvl w:val="0"/>
          <w:numId w:val="3"/>
        </w:numPr>
        <w:spacing w:before="120" w:after="120" w:line="240" w:lineRule="auto"/>
        <w:jc w:val="both"/>
        <w:rPr>
          <w:rFonts w:ascii="Arial" w:hAnsi="Arial" w:cs="Arial"/>
        </w:rPr>
      </w:pPr>
      <w:r w:rsidRPr="00D30BBD">
        <w:rPr>
          <w:rFonts w:ascii="Arial" w:hAnsi="Arial" w:cs="Arial"/>
          <w:lang w:val="mn-MN"/>
        </w:rPr>
        <w:t>Ү</w:t>
      </w:r>
      <w:r w:rsidRPr="00D30BBD">
        <w:rPr>
          <w:rFonts w:ascii="Arial" w:hAnsi="Arial" w:cs="Arial"/>
        </w:rPr>
        <w:t>л хөдлөх хөрөнгийн сангийн үйл ажиллагаа эрхлэх хугацааг 50 хүртэл жил</w:t>
      </w:r>
      <w:r w:rsidR="1EFF6FB8" w:rsidRPr="00D30BBD">
        <w:rPr>
          <w:rFonts w:ascii="Arial" w:hAnsi="Arial" w:cs="Arial"/>
        </w:rPr>
        <w:t>, нэг удаа сунгах боломжтой</w:t>
      </w:r>
      <w:r w:rsidRPr="00D30BBD">
        <w:rPr>
          <w:rFonts w:ascii="Arial" w:hAnsi="Arial" w:cs="Arial"/>
        </w:rPr>
        <w:t xml:space="preserve"> байхаар;</w:t>
      </w:r>
    </w:p>
    <w:p w14:paraId="698ACE72" w14:textId="77777777" w:rsidR="003C2350" w:rsidRPr="00BA6FC0" w:rsidRDefault="2B6A1BF2" w:rsidP="00826DB7">
      <w:pPr>
        <w:numPr>
          <w:ilvl w:val="0"/>
          <w:numId w:val="3"/>
        </w:numPr>
        <w:spacing w:before="120" w:after="120" w:line="240" w:lineRule="auto"/>
        <w:jc w:val="both"/>
        <w:rPr>
          <w:rFonts w:ascii="Arial" w:hAnsi="Arial" w:cs="Arial"/>
        </w:rPr>
      </w:pPr>
      <w:r w:rsidRPr="00D30BBD">
        <w:rPr>
          <w:rFonts w:ascii="Arial" w:hAnsi="Arial" w:cs="Arial"/>
        </w:rPr>
        <w:t>Сангийн цэвэр ашгийн 90-ээс доошгүй хувийг ногдол ашиг хэлбэрээр хуваарилах;</w:t>
      </w:r>
    </w:p>
    <w:p w14:paraId="263FCDBA" w14:textId="3484CB3E" w:rsidR="002514E0" w:rsidRPr="00BA6FC0" w:rsidRDefault="0F00A50E" w:rsidP="00826DB7">
      <w:pPr>
        <w:numPr>
          <w:ilvl w:val="0"/>
          <w:numId w:val="3"/>
        </w:numPr>
        <w:spacing w:before="120" w:after="120" w:line="240" w:lineRule="auto"/>
        <w:jc w:val="both"/>
        <w:rPr>
          <w:rFonts w:ascii="Arial" w:hAnsi="Arial" w:cs="Arial"/>
        </w:rPr>
      </w:pPr>
      <w:r w:rsidRPr="00D30BBD">
        <w:rPr>
          <w:rFonts w:ascii="Arial" w:hAnsi="Arial" w:cs="Arial"/>
        </w:rPr>
        <w:t>Сангийн орлогын 75 ба түүнээс дээш хувийг үл хөдлөх хөрөнгийг түрээслүүлэх, хөлслүүлэх болон бусад хэлбэрээр ашиглуулснаас</w:t>
      </w:r>
      <w:r w:rsidR="0D1CEC8D" w:rsidRPr="00D30BBD">
        <w:rPr>
          <w:rFonts w:ascii="Arial" w:hAnsi="Arial" w:cs="Arial"/>
        </w:rPr>
        <w:t xml:space="preserve"> олсон орлогоор</w:t>
      </w:r>
      <w:r w:rsidRPr="00D30BBD">
        <w:rPr>
          <w:rFonts w:ascii="Arial" w:hAnsi="Arial" w:cs="Arial"/>
        </w:rPr>
        <w:t xml:space="preserve"> бүрдүүлэх;</w:t>
      </w:r>
    </w:p>
    <w:p w14:paraId="0D1ED045" w14:textId="77777777" w:rsidR="003C2350" w:rsidRPr="00BA6FC0" w:rsidRDefault="2B6A1BF2" w:rsidP="00826DB7">
      <w:pPr>
        <w:numPr>
          <w:ilvl w:val="0"/>
          <w:numId w:val="3"/>
        </w:numPr>
        <w:spacing w:before="120" w:after="120" w:line="240" w:lineRule="auto"/>
        <w:jc w:val="both"/>
        <w:rPr>
          <w:rFonts w:ascii="Arial" w:hAnsi="Arial" w:cs="Arial"/>
        </w:rPr>
      </w:pPr>
      <w:r w:rsidRPr="00D30BBD">
        <w:rPr>
          <w:rFonts w:ascii="Arial" w:hAnsi="Arial" w:cs="Arial"/>
        </w:rPr>
        <w:t>Сангийн зээлээр бүрдүүлэх санхүүжилтийн хэмжээг нийт активын 50 хувиас хэтрүүлэхгүй байх;</w:t>
      </w:r>
    </w:p>
    <w:p w14:paraId="1D8C37D7" w14:textId="77777777" w:rsidR="003C2350" w:rsidRPr="00BA6FC0" w:rsidRDefault="2B6A1BF2" w:rsidP="00826DB7">
      <w:pPr>
        <w:numPr>
          <w:ilvl w:val="0"/>
          <w:numId w:val="3"/>
        </w:numPr>
        <w:spacing w:before="120" w:after="120" w:line="240" w:lineRule="auto"/>
        <w:jc w:val="both"/>
        <w:rPr>
          <w:rFonts w:ascii="Arial" w:hAnsi="Arial" w:cs="Arial"/>
        </w:rPr>
      </w:pPr>
      <w:r w:rsidRPr="00D30BBD">
        <w:rPr>
          <w:rFonts w:ascii="Arial" w:hAnsi="Arial" w:cs="Arial"/>
        </w:rPr>
        <w:lastRenderedPageBreak/>
        <w:t xml:space="preserve">Нэгж эрхийн өмчлөлийн хэт төвлөрлөөс сэргийлэх зорилгоор тав болон түүнээс доош нэгж эрх эзэмшигч дангаар, </w:t>
      </w:r>
      <w:r w:rsidRPr="00D30BBD">
        <w:rPr>
          <w:rFonts w:ascii="Arial" w:hAnsi="Arial" w:cs="Arial"/>
          <w:lang w:val="mn-MN"/>
        </w:rPr>
        <w:t>эсхүл</w:t>
      </w:r>
      <w:r w:rsidRPr="00D30BBD">
        <w:rPr>
          <w:rFonts w:ascii="Arial" w:hAnsi="Arial" w:cs="Arial"/>
        </w:rPr>
        <w:t xml:space="preserve"> нэгдмэл сонирхолтой этгээдтэй хамтран нийт нэгж эрхийн 50-аас дээш хувийг эзэмшихийг хориглох;</w:t>
      </w:r>
    </w:p>
    <w:p w14:paraId="2746EBAE" w14:textId="77777777" w:rsidR="003C2350" w:rsidRPr="00BA6FC0" w:rsidRDefault="2B6A1BF2" w:rsidP="00826DB7">
      <w:pPr>
        <w:numPr>
          <w:ilvl w:val="0"/>
          <w:numId w:val="3"/>
        </w:numPr>
        <w:spacing w:before="120" w:after="120" w:line="240" w:lineRule="auto"/>
        <w:jc w:val="both"/>
        <w:rPr>
          <w:rFonts w:ascii="Arial" w:hAnsi="Arial" w:cs="Arial"/>
        </w:rPr>
      </w:pPr>
      <w:r w:rsidRPr="00D30BBD">
        <w:rPr>
          <w:rFonts w:ascii="Arial" w:hAnsi="Arial" w:cs="Arial"/>
        </w:rPr>
        <w:t>Дуусаагүй барилга болон газар эзэмших, ашиглах эрхэд хөрөнгө оруулахад тодорхой хориг, хязгаарлалт тогтоох зохицуулалт болно.</w:t>
      </w:r>
    </w:p>
    <w:p w14:paraId="66CC2B01" w14:textId="77777777" w:rsidR="003C2350" w:rsidRPr="00BA6FC0" w:rsidRDefault="2B6A1BF2" w:rsidP="00826DB7">
      <w:pPr>
        <w:spacing w:before="120" w:after="120" w:line="240" w:lineRule="auto"/>
        <w:ind w:firstLine="720"/>
        <w:jc w:val="both"/>
        <w:rPr>
          <w:rFonts w:ascii="Arial" w:hAnsi="Arial" w:cs="Arial"/>
        </w:rPr>
      </w:pPr>
      <w:r w:rsidRPr="00D30BBD">
        <w:rPr>
          <w:rFonts w:ascii="Arial" w:hAnsi="Arial" w:cs="Arial"/>
        </w:rPr>
        <w:t>Эдгээр зохицуулалт нь үл хөдлөх хөрөнгийн зах зээл болон хөрөнгийн зах зээлийг холбох, үл хөдлөх хөрөнгөд суурилсан хөрөнгө оруулалтын шинэ бүтээгдэхүүн бий болгох, жижиг хөрөнгө оруулагчдыг мэргэжлийн удирдлагатай үл хөдлөх хөрөнгийн хөрөнгө оруулалтад оролцох боломжийг нэмэгдүүлэх, мөн хөрөнгө оруулагчийн эрх ашгийг хамгаалах зорилготой.</w:t>
      </w:r>
    </w:p>
    <w:p w14:paraId="67C8724C" w14:textId="30FF2370" w:rsidR="003C2350" w:rsidRPr="00BA6FC0" w:rsidRDefault="2B6A1BF2" w:rsidP="00826DB7">
      <w:pPr>
        <w:spacing w:before="120" w:after="120" w:line="240" w:lineRule="auto"/>
        <w:ind w:firstLine="720"/>
        <w:jc w:val="both"/>
        <w:rPr>
          <w:rFonts w:ascii="Arial" w:hAnsi="Arial" w:cs="Arial"/>
        </w:rPr>
      </w:pPr>
      <w:r w:rsidRPr="00D30BBD">
        <w:rPr>
          <w:rFonts w:ascii="Arial" w:hAnsi="Arial" w:cs="Arial"/>
        </w:rPr>
        <w:t>Одоо</w:t>
      </w:r>
      <w:r w:rsidR="2FD3C92D" w:rsidRPr="00D30BBD">
        <w:rPr>
          <w:rFonts w:ascii="Arial" w:hAnsi="Arial" w:cs="Arial"/>
        </w:rPr>
        <w:t xml:space="preserve"> хүчин төгөлдөр мөрдөгдөж буй </w:t>
      </w:r>
      <w:r w:rsidRPr="00D30BBD">
        <w:rPr>
          <w:rFonts w:ascii="Arial" w:hAnsi="Arial" w:cs="Arial"/>
        </w:rPr>
        <w:t>Хөрөнгө оруулалтын сангийн тухай хуулиар хөрөнгө оруулалтын санг хамтын болон хувийн хөрөнгө оруулалтын сангийн хэлбэрээр зохицуулж, санг үүсгэн байгуулах, хөрөнгө төвлөрүүлэх, хөрөнгө оруулалтын менежментийн компаниар удирдуулах, кастодианаар хөрөнгийг хадгалуулах, хөрөнгө оруулагчид мэдээлэл өгөх зэрэг нийтлэг харилцааг зохицуулж байна.</w:t>
      </w:r>
    </w:p>
    <w:p w14:paraId="14C49E96" w14:textId="35B538A9" w:rsidR="003C2350" w:rsidRPr="00BA6FC0" w:rsidRDefault="2B6A1BF2" w:rsidP="00A3250A">
      <w:pPr>
        <w:spacing w:before="120" w:after="120" w:line="240" w:lineRule="auto"/>
        <w:ind w:firstLine="720"/>
        <w:jc w:val="both"/>
        <w:rPr>
          <w:rFonts w:ascii="Arial" w:hAnsi="Arial" w:cs="Arial"/>
        </w:rPr>
      </w:pPr>
      <w:r w:rsidRPr="00D30BBD">
        <w:rPr>
          <w:rFonts w:ascii="Arial" w:hAnsi="Arial" w:cs="Arial"/>
        </w:rPr>
        <w:t xml:space="preserve">Гэвч үл хөдлөх хөрөнгийн хөрөнгө оруулалтын сангийн онцлог буюу үл хөдлөх хөрөнгөд шууд хөрөнгө оруулах, үл хөдлөх хөрөнгийг түрээслүүлэх, ашиглуулах, худалдан борлуулах замаар тогтмол орлого бий болгох, уг орлогоос ногдол ашиг хуваарилах, үл хөдлөх хөрөнгийн үнэлгээ, активын бүтэц, зээлийн хязгаар, өмчлөлийн төвлөрөлтэй холбоотой тусгай зохицуулалт одоогийн </w:t>
      </w:r>
      <w:proofErr w:type="spellStart"/>
      <w:r w:rsidRPr="00D30BBD">
        <w:rPr>
          <w:rFonts w:ascii="Arial" w:hAnsi="Arial" w:cs="Arial"/>
        </w:rPr>
        <w:t>хууль</w:t>
      </w:r>
      <w:proofErr w:type="spellEnd"/>
      <w:r w:rsidRPr="00D30BBD">
        <w:rPr>
          <w:rFonts w:ascii="Arial" w:hAnsi="Arial" w:cs="Arial"/>
        </w:rPr>
        <w:t xml:space="preserve"> </w:t>
      </w:r>
      <w:proofErr w:type="spellStart"/>
      <w:r w:rsidRPr="00D30BBD">
        <w:rPr>
          <w:rFonts w:ascii="Arial" w:hAnsi="Arial" w:cs="Arial"/>
        </w:rPr>
        <w:t>тогтоомжид</w:t>
      </w:r>
      <w:proofErr w:type="spellEnd"/>
      <w:r w:rsidRPr="00D30BBD">
        <w:rPr>
          <w:rFonts w:ascii="Arial" w:hAnsi="Arial" w:cs="Arial"/>
        </w:rPr>
        <w:t xml:space="preserve"> </w:t>
      </w:r>
      <w:proofErr w:type="spellStart"/>
      <w:r w:rsidRPr="00D30BBD">
        <w:rPr>
          <w:rFonts w:ascii="Arial" w:hAnsi="Arial" w:cs="Arial"/>
        </w:rPr>
        <w:t>тусгагдаагүй</w:t>
      </w:r>
      <w:proofErr w:type="spellEnd"/>
      <w:r w:rsidRPr="00D30BBD">
        <w:rPr>
          <w:rFonts w:ascii="Arial" w:hAnsi="Arial" w:cs="Arial"/>
        </w:rPr>
        <w:t xml:space="preserve"> </w:t>
      </w:r>
      <w:proofErr w:type="spellStart"/>
      <w:r w:rsidRPr="00D30BBD">
        <w:rPr>
          <w:rFonts w:ascii="Arial" w:hAnsi="Arial" w:cs="Arial"/>
        </w:rPr>
        <w:t>байна.Иймд</w:t>
      </w:r>
      <w:proofErr w:type="spellEnd"/>
      <w:r w:rsidRPr="00D30BBD">
        <w:rPr>
          <w:rFonts w:ascii="Arial" w:hAnsi="Arial" w:cs="Arial"/>
        </w:rPr>
        <w:t xml:space="preserve"> </w:t>
      </w:r>
      <w:proofErr w:type="spellStart"/>
      <w:r w:rsidRPr="00D30BBD">
        <w:rPr>
          <w:rFonts w:ascii="Arial" w:hAnsi="Arial" w:cs="Arial"/>
        </w:rPr>
        <w:t>үл</w:t>
      </w:r>
      <w:proofErr w:type="spellEnd"/>
      <w:r w:rsidRPr="00D30BBD">
        <w:rPr>
          <w:rFonts w:ascii="Arial" w:hAnsi="Arial" w:cs="Arial"/>
        </w:rPr>
        <w:t xml:space="preserve"> </w:t>
      </w:r>
      <w:proofErr w:type="spellStart"/>
      <w:r w:rsidRPr="00D30BBD">
        <w:rPr>
          <w:rFonts w:ascii="Arial" w:hAnsi="Arial" w:cs="Arial"/>
        </w:rPr>
        <w:t>хөдлөх</w:t>
      </w:r>
      <w:proofErr w:type="spellEnd"/>
      <w:r w:rsidRPr="00D30BBD">
        <w:rPr>
          <w:rFonts w:ascii="Arial" w:hAnsi="Arial" w:cs="Arial"/>
        </w:rPr>
        <w:t xml:space="preserve"> </w:t>
      </w:r>
      <w:proofErr w:type="spellStart"/>
      <w:r w:rsidRPr="00D30BBD">
        <w:rPr>
          <w:rFonts w:ascii="Arial" w:hAnsi="Arial" w:cs="Arial"/>
        </w:rPr>
        <w:t>хөрөнгийн</w:t>
      </w:r>
      <w:proofErr w:type="spellEnd"/>
      <w:r w:rsidRPr="00D30BBD">
        <w:rPr>
          <w:rFonts w:ascii="Arial" w:hAnsi="Arial" w:cs="Arial"/>
        </w:rPr>
        <w:t xml:space="preserve"> хөрөнгө оруулалтын сангийн онцлогт нийцсэн тусгайлсан зохицуулалтыг Хөрөнгө оруулалтын сангийн тухай хуульд нэмэлт, өөрчлөлтөөр тусгах шаардлага үүссэн.</w:t>
      </w:r>
    </w:p>
    <w:p w14:paraId="0B930167" w14:textId="77777777" w:rsidR="003C2350" w:rsidRPr="00BA6FC0" w:rsidRDefault="2B6A1BF2" w:rsidP="00826DB7">
      <w:pPr>
        <w:spacing w:before="120" w:after="120" w:line="240" w:lineRule="auto"/>
        <w:ind w:firstLine="720"/>
        <w:jc w:val="both"/>
        <w:rPr>
          <w:rFonts w:ascii="Arial" w:hAnsi="Arial" w:cs="Arial"/>
        </w:rPr>
      </w:pPr>
      <w:r w:rsidRPr="00D30BBD">
        <w:rPr>
          <w:rFonts w:ascii="Arial" w:hAnsi="Arial" w:cs="Arial"/>
        </w:rPr>
        <w:t>Хуулийн төслийг боловсруулах хүрээнд үл хөдлөх хөрөнгийн хөрөнгө оруулалтын сангийн эрх зүйн орчныг бий болгох хэрэгцээ, шаардлагыг урьдчилан тандан судалж, Монгол Улсын хөрөнгийн зах зээл, хөрөнгө оруулалтын сангийн өнөөгийн зохицуулалт, үл хөдлөх хөрөнгийн санхүүжилтийн боломж, жижиг болон мэргэжлийн хөрөнгө оруулагчдын оролцоог нэмэгдүүлэх нөхцөлийг харгалзан үзсэн.</w:t>
      </w:r>
    </w:p>
    <w:p w14:paraId="21A98A63" w14:textId="04072E88" w:rsidR="003C2350" w:rsidRPr="00BA6FC0" w:rsidRDefault="2B6A1BF2" w:rsidP="00826DB7">
      <w:pPr>
        <w:spacing w:before="120" w:after="120" w:line="240" w:lineRule="auto"/>
        <w:ind w:firstLine="720"/>
        <w:jc w:val="both"/>
        <w:rPr>
          <w:rFonts w:ascii="Arial" w:hAnsi="Arial" w:cs="Arial"/>
        </w:rPr>
      </w:pPr>
      <w:r w:rsidRPr="00D30BBD">
        <w:rPr>
          <w:rFonts w:ascii="Arial" w:hAnsi="Arial" w:cs="Arial"/>
        </w:rPr>
        <w:t>Мөн үл хөдлөх хөрөнгийн хөрөнгө оруулалтын сангийн олон улсын нийтлэг зохицуулалт, түүний дотор сангийн бүтэц, хөрөнгө оруулалтын активын шаардлага, орлогын эх үүсвэр, ногдол ашиг хуваарилалт, зээ</w:t>
      </w:r>
      <w:r w:rsidR="7010CBC3" w:rsidRPr="00D30BBD">
        <w:rPr>
          <w:rFonts w:ascii="Arial" w:hAnsi="Arial" w:cs="Arial"/>
        </w:rPr>
        <w:t>л</w:t>
      </w:r>
      <w:r w:rsidRPr="00D30BBD">
        <w:rPr>
          <w:rFonts w:ascii="Arial" w:hAnsi="Arial" w:cs="Arial"/>
        </w:rPr>
        <w:t>ийн хязгаар</w:t>
      </w:r>
      <w:r w:rsidR="6FC4AEDB" w:rsidRPr="00D30BBD">
        <w:rPr>
          <w:rFonts w:ascii="Arial" w:hAnsi="Arial" w:cs="Arial"/>
        </w:rPr>
        <w:t>лалт</w:t>
      </w:r>
      <w:r w:rsidRPr="00D30BBD">
        <w:rPr>
          <w:rFonts w:ascii="Arial" w:hAnsi="Arial" w:cs="Arial"/>
        </w:rPr>
        <w:t>, хөрөнгө оруулагчийн өмчлөлийн төвлөрлийн хязгаарлалт, хөрөнгийн үнэлгээний шаардлагыг харьцуулан судалсан.</w:t>
      </w:r>
    </w:p>
    <w:p w14:paraId="1AB2F15F" w14:textId="77777777" w:rsidR="003C2350" w:rsidRPr="00BA6FC0" w:rsidRDefault="2B6A1BF2" w:rsidP="00826DB7">
      <w:pPr>
        <w:spacing w:before="120" w:after="120" w:line="240" w:lineRule="auto"/>
        <w:ind w:firstLine="720"/>
        <w:jc w:val="both"/>
        <w:rPr>
          <w:rFonts w:ascii="Arial" w:hAnsi="Arial" w:cs="Arial"/>
        </w:rPr>
      </w:pPr>
      <w:r w:rsidRPr="00D30BBD">
        <w:rPr>
          <w:rFonts w:ascii="Arial" w:hAnsi="Arial" w:cs="Arial"/>
        </w:rPr>
        <w:t>Хуулийн төслийг олон нийтээр хэлэлцүүлэх ажиллагааг Хууль тогтоомжийн тухай хуульд заасан журмын дагуу зохион байгуулахаар төлөвлөж байгаа бөгөөд хэлэлцүүлгийн дүнг нэгтгэн хуулийн төсөлд тусгах болно.</w:t>
      </w:r>
    </w:p>
    <w:p w14:paraId="5540B1B3" w14:textId="131BE944" w:rsidR="003C2350" w:rsidRPr="00BA6FC0" w:rsidRDefault="2B6A1BF2" w:rsidP="00826DB7">
      <w:pPr>
        <w:spacing w:before="120" w:after="120" w:line="240" w:lineRule="auto"/>
        <w:ind w:firstLine="720"/>
        <w:jc w:val="both"/>
        <w:rPr>
          <w:rFonts w:ascii="Arial" w:hAnsi="Arial" w:cs="Arial"/>
        </w:rPr>
      </w:pPr>
      <w:r w:rsidRPr="00D30BBD">
        <w:rPr>
          <w:rFonts w:ascii="Arial" w:hAnsi="Arial" w:cs="Arial"/>
        </w:rPr>
        <w:t>Үл хөдлөх хөрөнгийн оруулалтын сан нь олон улсын хөрөнгийн зах зээлд өргөн ашиглагддаг бүтээгдэхүүн бөгөөд үл хөдлөх хөрөнгийн салбарын санхүүжилтийг хөрөнгийн зах зээлээр дамжуулан татах, хөрөнгө оруулагчдад тогтмол орлоготой хөрөнгө оруулалтын боломж олгох, үл хөдлөх хөрөнгийн хөрөнгө оруулалтыг мэргэжлийн удирдлага, ил тод засаглалын хүрээнд хэрэгжүүлэхэд чиглэдэг нийтлэг зохицуулалттай байна.</w:t>
      </w:r>
    </w:p>
    <w:p w14:paraId="2DEE0615" w14:textId="494CB002" w:rsidR="003C2350" w:rsidRPr="00BA6FC0" w:rsidRDefault="4ED2170E" w:rsidP="00826DB7">
      <w:pPr>
        <w:spacing w:before="120" w:after="120" w:line="240" w:lineRule="auto"/>
        <w:ind w:firstLine="720"/>
        <w:jc w:val="both"/>
        <w:rPr>
          <w:rFonts w:ascii="Arial" w:hAnsi="Arial" w:cs="Arial"/>
        </w:rPr>
      </w:pPr>
      <w:r w:rsidRPr="00D30BBD">
        <w:rPr>
          <w:rFonts w:ascii="Arial" w:hAnsi="Arial" w:cs="Arial"/>
          <w:lang w:val="mn-MN"/>
        </w:rPr>
        <w:t>Олон</w:t>
      </w:r>
      <w:r w:rsidR="2B6A1BF2" w:rsidRPr="00D30BBD">
        <w:rPr>
          <w:rFonts w:ascii="Arial" w:hAnsi="Arial" w:cs="Arial"/>
        </w:rPr>
        <w:t xml:space="preserve"> улсын туршлагаас үзэхэд үл хөдлөх хөрөнгийн сангийн эрх зүйн орчинд дараах нийтлэг зарчим тусгагддаг. Үүнд:</w:t>
      </w:r>
    </w:p>
    <w:p w14:paraId="1F6C163E" w14:textId="767F721E" w:rsidR="003C2350" w:rsidRPr="00BA6FC0" w:rsidRDefault="2CB7D11E" w:rsidP="00826DB7">
      <w:pPr>
        <w:numPr>
          <w:ilvl w:val="0"/>
          <w:numId w:val="2"/>
        </w:numPr>
        <w:spacing w:before="120" w:after="120" w:line="240" w:lineRule="auto"/>
        <w:jc w:val="both"/>
        <w:rPr>
          <w:rFonts w:ascii="Arial" w:hAnsi="Arial" w:cs="Arial"/>
        </w:rPr>
      </w:pPr>
      <w:r w:rsidRPr="00D30BBD">
        <w:rPr>
          <w:rFonts w:ascii="Arial" w:hAnsi="Arial" w:cs="Arial"/>
        </w:rPr>
        <w:t>С</w:t>
      </w:r>
      <w:r w:rsidR="2B6A1BF2" w:rsidRPr="00D30BBD">
        <w:rPr>
          <w:rFonts w:ascii="Arial" w:hAnsi="Arial" w:cs="Arial"/>
        </w:rPr>
        <w:t>ангийн хөрөнгийн дийлэнх хэсгийг үл хөдлөх хөрөнгө болон түүнээс үүсэх орлогод суурилсан активт төвлөрүүлэх;</w:t>
      </w:r>
    </w:p>
    <w:p w14:paraId="109E0E5C" w14:textId="3932942D" w:rsidR="003C2350" w:rsidRPr="00BA6FC0" w:rsidRDefault="2CB7D11E" w:rsidP="00826DB7">
      <w:pPr>
        <w:numPr>
          <w:ilvl w:val="0"/>
          <w:numId w:val="2"/>
        </w:numPr>
        <w:spacing w:before="120" w:after="120" w:line="240" w:lineRule="auto"/>
        <w:jc w:val="both"/>
        <w:rPr>
          <w:rFonts w:ascii="Arial" w:hAnsi="Arial" w:cs="Arial"/>
        </w:rPr>
      </w:pPr>
      <w:r w:rsidRPr="00D30BBD">
        <w:rPr>
          <w:rFonts w:ascii="Arial" w:hAnsi="Arial" w:cs="Arial"/>
        </w:rPr>
        <w:lastRenderedPageBreak/>
        <w:t>О</w:t>
      </w:r>
      <w:r w:rsidR="2B6A1BF2" w:rsidRPr="00D30BBD">
        <w:rPr>
          <w:rFonts w:ascii="Arial" w:hAnsi="Arial" w:cs="Arial"/>
        </w:rPr>
        <w:t>рлогын тодорхой хувийг түрээс, ашиглалт болон үл хөдлөх хөрөнгөтэй холбоотой үйл ажиллагаанаас бүрдүүлэх;</w:t>
      </w:r>
    </w:p>
    <w:p w14:paraId="1A999DFD" w14:textId="02EAEF93" w:rsidR="003C2350" w:rsidRPr="00BA6FC0" w:rsidRDefault="2CB7D11E" w:rsidP="00826DB7">
      <w:pPr>
        <w:numPr>
          <w:ilvl w:val="0"/>
          <w:numId w:val="2"/>
        </w:numPr>
        <w:spacing w:before="120" w:after="120" w:line="240" w:lineRule="auto"/>
        <w:jc w:val="both"/>
        <w:rPr>
          <w:rFonts w:ascii="Arial" w:hAnsi="Arial" w:cs="Arial"/>
        </w:rPr>
      </w:pPr>
      <w:r w:rsidRPr="00D30BBD">
        <w:rPr>
          <w:rFonts w:ascii="Arial" w:hAnsi="Arial" w:cs="Arial"/>
        </w:rPr>
        <w:t>Ц</w:t>
      </w:r>
      <w:r w:rsidR="2B6A1BF2" w:rsidRPr="00D30BBD">
        <w:rPr>
          <w:rFonts w:ascii="Arial" w:hAnsi="Arial" w:cs="Arial"/>
        </w:rPr>
        <w:t>эвэр ашгийн тодорхой өндөр хувийг хөрөнгө оруулагчдад ногдол ашиг хэлбэрээр хуваарилах;</w:t>
      </w:r>
    </w:p>
    <w:p w14:paraId="124EC017" w14:textId="3B24300E" w:rsidR="003C2350" w:rsidRPr="00BA6FC0" w:rsidRDefault="2CB7D11E" w:rsidP="00826DB7">
      <w:pPr>
        <w:numPr>
          <w:ilvl w:val="0"/>
          <w:numId w:val="2"/>
        </w:numPr>
        <w:spacing w:before="120" w:after="120" w:line="240" w:lineRule="auto"/>
        <w:jc w:val="both"/>
        <w:rPr>
          <w:rFonts w:ascii="Arial" w:hAnsi="Arial" w:cs="Arial"/>
        </w:rPr>
      </w:pPr>
      <w:r w:rsidRPr="00D30BBD">
        <w:rPr>
          <w:rFonts w:ascii="Arial" w:hAnsi="Arial" w:cs="Arial"/>
        </w:rPr>
        <w:t>С</w:t>
      </w:r>
      <w:r w:rsidR="2B6A1BF2" w:rsidRPr="00D30BBD">
        <w:rPr>
          <w:rFonts w:ascii="Arial" w:hAnsi="Arial" w:cs="Arial"/>
        </w:rPr>
        <w:t>ангийн зээлжилт, хөрөнгө оруулалтын төвлөрөл</w:t>
      </w:r>
      <w:r w:rsidR="16FA9877" w:rsidRPr="00D30BBD">
        <w:rPr>
          <w:rFonts w:ascii="Arial" w:hAnsi="Arial" w:cs="Arial"/>
        </w:rPr>
        <w:t xml:space="preserve">д </w:t>
      </w:r>
      <w:r w:rsidR="2B6A1BF2" w:rsidRPr="00D30BBD">
        <w:rPr>
          <w:rFonts w:ascii="Arial" w:hAnsi="Arial" w:cs="Arial"/>
        </w:rPr>
        <w:t>хязгаарлалт тогтоох;</w:t>
      </w:r>
    </w:p>
    <w:p w14:paraId="722BE946" w14:textId="4B121290" w:rsidR="003C2350" w:rsidRPr="00BA6FC0" w:rsidRDefault="2CB7D11E" w:rsidP="00826DB7">
      <w:pPr>
        <w:numPr>
          <w:ilvl w:val="0"/>
          <w:numId w:val="2"/>
        </w:numPr>
        <w:spacing w:before="120" w:after="120" w:line="240" w:lineRule="auto"/>
        <w:jc w:val="both"/>
        <w:rPr>
          <w:rFonts w:ascii="Arial" w:hAnsi="Arial" w:cs="Arial"/>
        </w:rPr>
      </w:pPr>
      <w:r w:rsidRPr="00D30BBD">
        <w:rPr>
          <w:rFonts w:ascii="Arial" w:hAnsi="Arial" w:cs="Arial"/>
        </w:rPr>
        <w:t>Х</w:t>
      </w:r>
      <w:r w:rsidR="2B6A1BF2" w:rsidRPr="00D30BBD">
        <w:rPr>
          <w:rFonts w:ascii="Arial" w:hAnsi="Arial" w:cs="Arial"/>
        </w:rPr>
        <w:t>өрөнгийн үнэлгээ, мэдээллийн ил тод байдал, хөрөнгө оруулагчийн эрх ашгийг хамгаалах шаардлагыг тусгайлан зохицуулах;</w:t>
      </w:r>
    </w:p>
    <w:p w14:paraId="19A1281B" w14:textId="663163EC" w:rsidR="003C2350" w:rsidRPr="00BA6FC0" w:rsidRDefault="2CB7D11E" w:rsidP="00826DB7">
      <w:pPr>
        <w:numPr>
          <w:ilvl w:val="0"/>
          <w:numId w:val="2"/>
        </w:numPr>
        <w:spacing w:before="120" w:after="120" w:line="240" w:lineRule="auto"/>
        <w:jc w:val="both"/>
        <w:rPr>
          <w:rFonts w:ascii="Arial" w:hAnsi="Arial" w:cs="Arial"/>
        </w:rPr>
      </w:pPr>
      <w:r w:rsidRPr="00D30BBD">
        <w:rPr>
          <w:rFonts w:ascii="Arial" w:hAnsi="Arial" w:cs="Arial"/>
        </w:rPr>
        <w:t>С</w:t>
      </w:r>
      <w:r w:rsidR="2B6A1BF2" w:rsidRPr="00D30BBD">
        <w:rPr>
          <w:rFonts w:ascii="Arial" w:hAnsi="Arial" w:cs="Arial"/>
        </w:rPr>
        <w:t>ангийн нэгж эрхийг хөрөнгийн биржээр арилжаалах замаар хөрвөх чадварыг нэмэгдүүлэх.</w:t>
      </w:r>
    </w:p>
    <w:p w14:paraId="568C4915" w14:textId="77777777" w:rsidR="003C2350" w:rsidRPr="00BA6FC0" w:rsidRDefault="2B6A1BF2" w:rsidP="00826DB7">
      <w:pPr>
        <w:spacing w:before="120" w:after="120" w:line="240" w:lineRule="auto"/>
        <w:ind w:firstLine="720"/>
        <w:jc w:val="both"/>
        <w:rPr>
          <w:rFonts w:ascii="Arial" w:hAnsi="Arial" w:cs="Arial"/>
        </w:rPr>
      </w:pPr>
      <w:r w:rsidRPr="00D30BBD">
        <w:rPr>
          <w:rFonts w:ascii="Arial" w:hAnsi="Arial" w:cs="Arial"/>
        </w:rPr>
        <w:t>Хуулийн төсөлд эдгээр нийтлэг зарчимд нийцүүлэн үл хөдлөх хөрөнгийн сангийн актив, орлого, ногдол ашиг, зээлжилт, нэгж эрхийн эзэмшлийн төвлөрөл, кастодианы хяналт, хөрөнгө оруулалтын менежментийн компанийн чиг үүрэг, хөрөнгө оруулагчийн эрх ашгийг хамгаалах зохицуулалтыг тусгасан болно.</w:t>
      </w:r>
    </w:p>
    <w:p w14:paraId="4DAA5791" w14:textId="3E9489FD" w:rsidR="003C2350" w:rsidRPr="00BA6FC0" w:rsidRDefault="00826DB7" w:rsidP="00826DB7">
      <w:pPr>
        <w:spacing w:before="120" w:after="120" w:line="240" w:lineRule="auto"/>
        <w:ind w:firstLine="720"/>
        <w:jc w:val="both"/>
      </w:pPr>
      <w:proofErr w:type="spellStart"/>
      <w:r>
        <w:rPr>
          <w:rFonts w:ascii="Arial" w:hAnsi="Arial" w:cs="Arial"/>
        </w:rPr>
        <w:t>Энэхүү</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төслийг</w:t>
      </w:r>
      <w:proofErr w:type="spellEnd"/>
      <w:r>
        <w:rPr>
          <w:rFonts w:ascii="Arial" w:hAnsi="Arial" w:cs="Arial"/>
        </w:rPr>
        <w:t xml:space="preserve"> </w:t>
      </w:r>
      <w:proofErr w:type="spellStart"/>
      <w:r>
        <w:rPr>
          <w:rFonts w:ascii="Arial" w:hAnsi="Arial" w:cs="Arial"/>
        </w:rPr>
        <w:t>баталснаар</w:t>
      </w:r>
      <w:proofErr w:type="spellEnd"/>
      <w:r w:rsidR="2B6A1BF2" w:rsidRPr="00D30BBD">
        <w:rPr>
          <w:rFonts w:ascii="Arial" w:hAnsi="Arial" w:cs="Arial"/>
        </w:rPr>
        <w:t xml:space="preserve"> Монгол Улсад үл хөдлөх хөрөнгийн хөрөнгө оруулалтын сангийн эрх зүйн орчин бүрдэж, хөрөнгийн зах зээлийн бүтээгдэхүүний төрөл нэмэгдэх, үл хөдлөх хөрөнгийн салбарын санхүүжилтийн эх үүсвэр төрөлжих, хөрөнгө оруулагчдын оролцоо өргөжих, мэргэжлийн удирдлагатай, ил тод хөрөнгө оруулалтын шинэ бүтэц бий болох ач холбогдолтой юм.</w:t>
      </w:r>
    </w:p>
    <w:p w14:paraId="76017AD3" w14:textId="214B91FF" w:rsidR="00D30BBD" w:rsidRDefault="00D30BBD" w:rsidP="00826DB7">
      <w:pPr>
        <w:spacing w:before="120" w:after="120" w:line="240" w:lineRule="auto"/>
        <w:ind w:firstLine="720"/>
        <w:jc w:val="both"/>
        <w:rPr>
          <w:rFonts w:ascii="Arial" w:hAnsi="Arial" w:cs="Arial"/>
        </w:rPr>
      </w:pPr>
    </w:p>
    <w:p w14:paraId="2C078E63" w14:textId="31DF249E" w:rsidR="00670A01" w:rsidRPr="00BA6FC0" w:rsidRDefault="14CC24DF" w:rsidP="00826DB7">
      <w:pPr>
        <w:spacing w:before="120" w:after="120" w:line="240" w:lineRule="auto"/>
        <w:jc w:val="center"/>
        <w:rPr>
          <w:rFonts w:ascii="Arial" w:hAnsi="Arial" w:cs="Arial"/>
        </w:rPr>
      </w:pPr>
      <w:r w:rsidRPr="00D30BBD">
        <w:rPr>
          <w:rFonts w:ascii="Arial" w:eastAsia="Arial" w:hAnsi="Arial" w:cs="Arial"/>
          <w:lang w:val="mn"/>
        </w:rPr>
        <w:t>---о0о---</w:t>
      </w:r>
    </w:p>
    <w:sectPr w:rsidR="00670A01" w:rsidRPr="00BA6FC0" w:rsidSect="00826DB7">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148E1"/>
    <w:multiLevelType w:val="multilevel"/>
    <w:tmpl w:val="242E6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D923BF"/>
    <w:multiLevelType w:val="multilevel"/>
    <w:tmpl w:val="19BC9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DB5EF6"/>
    <w:multiLevelType w:val="multilevel"/>
    <w:tmpl w:val="95C659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5673303">
    <w:abstractNumId w:val="2"/>
  </w:num>
  <w:num w:numId="2" w16cid:durableId="163056196">
    <w:abstractNumId w:val="1"/>
  </w:num>
  <w:num w:numId="3" w16cid:durableId="638612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AE9789"/>
    <w:rsid w:val="000305B7"/>
    <w:rsid w:val="00061B74"/>
    <w:rsid w:val="0007129A"/>
    <w:rsid w:val="000F7DED"/>
    <w:rsid w:val="001B17A1"/>
    <w:rsid w:val="001D07A5"/>
    <w:rsid w:val="001E181B"/>
    <w:rsid w:val="001F414A"/>
    <w:rsid w:val="002514E0"/>
    <w:rsid w:val="002B42FE"/>
    <w:rsid w:val="003159F8"/>
    <w:rsid w:val="00323A74"/>
    <w:rsid w:val="003C2350"/>
    <w:rsid w:val="003C317F"/>
    <w:rsid w:val="004058FC"/>
    <w:rsid w:val="004F476E"/>
    <w:rsid w:val="00523E06"/>
    <w:rsid w:val="005C13B2"/>
    <w:rsid w:val="005F0A29"/>
    <w:rsid w:val="00670A01"/>
    <w:rsid w:val="006B0823"/>
    <w:rsid w:val="007C0DDC"/>
    <w:rsid w:val="0081739A"/>
    <w:rsid w:val="00826DB7"/>
    <w:rsid w:val="00871D69"/>
    <w:rsid w:val="00A3250A"/>
    <w:rsid w:val="00A35551"/>
    <w:rsid w:val="00B8114C"/>
    <w:rsid w:val="00BA6FC0"/>
    <w:rsid w:val="00CC3946"/>
    <w:rsid w:val="00D24F5D"/>
    <w:rsid w:val="00D30BBD"/>
    <w:rsid w:val="00D43883"/>
    <w:rsid w:val="00E55C63"/>
    <w:rsid w:val="00ED1D80"/>
    <w:rsid w:val="00F46B9A"/>
    <w:rsid w:val="00FC2325"/>
    <w:rsid w:val="01AE9789"/>
    <w:rsid w:val="01F93EC6"/>
    <w:rsid w:val="03038ED0"/>
    <w:rsid w:val="04F9073A"/>
    <w:rsid w:val="05520C8C"/>
    <w:rsid w:val="0648B69D"/>
    <w:rsid w:val="0A3DDED6"/>
    <w:rsid w:val="0D1CEC8D"/>
    <w:rsid w:val="0D309E0F"/>
    <w:rsid w:val="0E07AD07"/>
    <w:rsid w:val="0F00A50E"/>
    <w:rsid w:val="124917E3"/>
    <w:rsid w:val="13C0D387"/>
    <w:rsid w:val="14CC24DF"/>
    <w:rsid w:val="16FA9877"/>
    <w:rsid w:val="18C2B1F6"/>
    <w:rsid w:val="1C0AB1CB"/>
    <w:rsid w:val="1EFF6FB8"/>
    <w:rsid w:val="1F9A090E"/>
    <w:rsid w:val="239DCCB6"/>
    <w:rsid w:val="2B6A1BF2"/>
    <w:rsid w:val="2CB7D11E"/>
    <w:rsid w:val="2DF5F37D"/>
    <w:rsid w:val="2FD3C92D"/>
    <w:rsid w:val="32109A55"/>
    <w:rsid w:val="35738041"/>
    <w:rsid w:val="3D13AD87"/>
    <w:rsid w:val="492D5C89"/>
    <w:rsid w:val="4B1C7B6E"/>
    <w:rsid w:val="4E469A80"/>
    <w:rsid w:val="4ED2170E"/>
    <w:rsid w:val="508801F7"/>
    <w:rsid w:val="53A28143"/>
    <w:rsid w:val="5A8CB761"/>
    <w:rsid w:val="5DDDB677"/>
    <w:rsid w:val="5FB7AA5C"/>
    <w:rsid w:val="61312961"/>
    <w:rsid w:val="68A30BCD"/>
    <w:rsid w:val="6C118173"/>
    <w:rsid w:val="6FC4AEDB"/>
    <w:rsid w:val="7010CBC3"/>
    <w:rsid w:val="735339B1"/>
    <w:rsid w:val="7B4B7340"/>
    <w:rsid w:val="7DAA6A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E9789"/>
  <w15:chartTrackingRefBased/>
  <w15:docId w15:val="{8931250E-0F32-45A8-8A16-E0FC41477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rmalWeb">
    <w:name w:val="Normal (Web)"/>
    <w:basedOn w:val="Normal"/>
    <w:uiPriority w:val="99"/>
    <w:semiHidden/>
    <w:unhideWhenUsed/>
    <w:rsid w:val="005C13B2"/>
    <w:pPr>
      <w:spacing w:before="100" w:beforeAutospacing="1" w:after="100" w:afterAutospacing="1" w:line="240" w:lineRule="auto"/>
    </w:pPr>
    <w:rPr>
      <w:rFonts w:ascii="Times New Roman" w:eastAsia="Times New Roman" w:hAnsi="Times New Roman" w:cs="Times New Roman"/>
      <w:lang w:eastAsia="en-US"/>
    </w:rPr>
  </w:style>
  <w:style w:type="character" w:styleId="Strong">
    <w:name w:val="Strong"/>
    <w:basedOn w:val="DefaultParagraphFont"/>
    <w:uiPriority w:val="22"/>
    <w:qFormat/>
    <w:rsid w:val="005C13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1021</Words>
  <Characters>5826</Characters>
  <Application>Microsoft Office Word</Application>
  <DocSecurity>0</DocSecurity>
  <Lines>48</Lines>
  <Paragraphs>13</Paragraphs>
  <ScaleCrop>false</ScaleCrop>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Enkhtuul Bayarsaikhan</dc:creator>
  <cp:keywords/>
  <dc:description/>
  <cp:lastModifiedBy>Enkhtuul Bayarsaikhan</cp:lastModifiedBy>
  <cp:revision>3</cp:revision>
  <dcterms:created xsi:type="dcterms:W3CDTF">2026-05-18T11:49:00Z</dcterms:created>
  <dcterms:modified xsi:type="dcterms:W3CDTF">2026-05-18T11:50:00Z</dcterms:modified>
</cp:coreProperties>
</file>