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E9959" w14:textId="77777777" w:rsidR="00CA3AF8" w:rsidRPr="00601B43" w:rsidRDefault="00CA3AF8" w:rsidP="00CA3AF8">
      <w:pPr>
        <w:jc w:val="both"/>
        <w:rPr>
          <w:rFonts w:ascii="Arial" w:hAnsi="Arial" w:cs="Arial"/>
          <w:lang w:val="mn-MN"/>
        </w:rPr>
      </w:pPr>
    </w:p>
    <w:p w14:paraId="536DAA59" w14:textId="77777777" w:rsidR="00CA3AF8" w:rsidRDefault="00CA3AF8" w:rsidP="00CA3AF8">
      <w:pPr>
        <w:pStyle w:val="p1"/>
        <w:spacing w:before="0" w:beforeAutospacing="0" w:after="120" w:afterAutospacing="0"/>
        <w:ind w:firstLine="567"/>
        <w:jc w:val="center"/>
        <w:rPr>
          <w:rFonts w:ascii="Arial" w:hAnsi="Arial" w:cs="Arial"/>
          <w:b/>
          <w:bCs/>
        </w:rPr>
      </w:pPr>
      <w:r w:rsidRPr="002C39C7">
        <w:rPr>
          <w:rFonts w:ascii="Arial" w:hAnsi="Arial" w:cs="Arial"/>
          <w:b/>
          <w:bCs/>
        </w:rPr>
        <w:t>“БАНКНЫ ТУХАЙ ХУУЛЬД НЭМЭЛТ, ӨӨРЧЛӨЛТ ОРУУЛАХ ТУХАЙ”</w:t>
      </w:r>
      <w:r w:rsidRPr="002C39C7">
        <w:rPr>
          <w:rFonts w:ascii="Arial" w:hAnsi="Arial" w:cs="Arial"/>
          <w:b/>
          <w:bCs/>
          <w:lang w:val="mn-MN"/>
        </w:rPr>
        <w:t xml:space="preserve"> </w:t>
      </w:r>
      <w:r w:rsidRPr="002C39C7">
        <w:rPr>
          <w:rFonts w:ascii="Arial" w:hAnsi="Arial" w:cs="Arial"/>
          <w:b/>
          <w:bCs/>
        </w:rPr>
        <w:t>ХУУЛИЙН ТӨСЛИЙН ҮР НӨЛӨӨГ ҮНЭЛСЭН ТАЙЛАН</w:t>
      </w:r>
    </w:p>
    <w:p w14:paraId="312CE8F5" w14:textId="77777777" w:rsidR="00CA3AF8" w:rsidRDefault="00CA3AF8" w:rsidP="00CA3AF8">
      <w:pPr>
        <w:ind w:firstLine="567"/>
      </w:pPr>
    </w:p>
    <w:p w14:paraId="22F1C391" w14:textId="77777777" w:rsidR="00CA3AF8" w:rsidRPr="0054758B" w:rsidRDefault="00CA3AF8" w:rsidP="00CA3AF8">
      <w:pPr>
        <w:pStyle w:val="Heading3"/>
        <w:spacing w:before="0"/>
        <w:ind w:firstLine="567"/>
        <w:jc w:val="center"/>
        <w:rPr>
          <w:rStyle w:val="s1"/>
          <w:rFonts w:ascii="Arial" w:hAnsi="Arial" w:cs="Arial"/>
          <w:b/>
          <w:bCs/>
          <w:color w:val="000000" w:themeColor="text1"/>
        </w:rPr>
      </w:pPr>
      <w:r w:rsidRPr="0054758B">
        <w:rPr>
          <w:rStyle w:val="s1"/>
          <w:rFonts w:ascii="Arial" w:hAnsi="Arial" w:cs="Arial"/>
          <w:b/>
          <w:bCs/>
          <w:color w:val="000000" w:themeColor="text1"/>
        </w:rPr>
        <w:t>НЭГ. ЕРӨНХИЙ МЭДЭЭЛЭЛ</w:t>
      </w:r>
    </w:p>
    <w:p w14:paraId="2FE84CDF" w14:textId="77777777" w:rsidR="00CA3AF8" w:rsidRPr="0054758B" w:rsidRDefault="00CA3AF8" w:rsidP="00CA3AF8">
      <w:pPr>
        <w:ind w:firstLine="567"/>
      </w:pPr>
    </w:p>
    <w:p w14:paraId="7DD9CD84" w14:textId="77777777" w:rsidR="00CA3AF8" w:rsidRPr="0054758B" w:rsidRDefault="00CA3AF8" w:rsidP="00CA3AF8">
      <w:pPr>
        <w:pStyle w:val="p2"/>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Монгол Улсын санхүүгийн тогтолцоо банк төвтэй хэвээр байгаа бөгөөд иргэн, аж ахуйн нэгжийн санхүүжилтийн үндсэн эх үүсвэрийг арилжааны банкны зээл бүрдүүлж байна. Гэвч санхүүгийн зах зээлийн бүтэц банкны зээлд хэт төвлөрсөн, урт хугацааны санхүүгийн хэрэгсэл, ялангуяа бондын зах зээл сул хөгжсөн нь эдийн засгийн урт хугацааны санхүүжилтийн эх үүсвэрийг хязгаарлаж байна.</w:t>
      </w:r>
    </w:p>
    <w:p w14:paraId="27AE3E3C" w14:textId="77777777" w:rsidR="00CA3AF8" w:rsidRPr="0054758B" w:rsidRDefault="00CA3AF8" w:rsidP="00CA3AF8">
      <w:pPr>
        <w:pStyle w:val="p2"/>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Орон нутгийн түвшинд бондын зах зээл бодитоор бүрэлдээгүй, аймаг, орон нутгууд дотоодын зах зээлээс санхүүжилт татах боломж хязгаарлагдмал хэвээр байна. Аж ахуйн нэгжийн орлогын албан татварын тухай хуулийн 21.17-д заасан татварын дэмжлэг бий болсон боловч уг бодлогын хэрэгжилт нь хөрөнгө оруулагч талын эрэлтээс шууд хамаарах нөхцөлтэй байна.</w:t>
      </w:r>
    </w:p>
    <w:p w14:paraId="6296523F" w14:textId="77777777" w:rsidR="00CA3AF8" w:rsidRPr="0054758B" w:rsidRDefault="00CA3AF8" w:rsidP="00CA3AF8">
      <w:pPr>
        <w:pStyle w:val="p2"/>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Гэвч Банкны тухай хуульд заасан үнэт цаас эзэмших зохицуулалт нь арилжааны банкуудын хөрөнгө оруулалтын боломжийг тодорхой хэмжээнд хязгаарлаж, орон нутгийн бондын зах зээлийн анхны эрэлтийг бүрдүүлэхэд саад болж байна. Үүний улмаас санхүүгийн зах зээлийн гүнзгийрэл саарч, банкны актив богино болон дунд хугацааны зээлд төвлөрсөн хэвээр байна.</w:t>
      </w:r>
    </w:p>
    <w:p w14:paraId="3BDE1B8B" w14:textId="77777777" w:rsidR="00CA3AF8" w:rsidRPr="0054758B" w:rsidRDefault="00CA3AF8" w:rsidP="00CA3AF8">
      <w:pPr>
        <w:pStyle w:val="p2"/>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Иймд “Банкны тухай хуульд нэмэлт, өөрчлөлт оруулах тухай” хуулийн төслөөр Аж ахуйн нэгжийн орлогын албан татварын тухай хуулийн 21.17-д заасан орон нутгийн үнэт цаасыг банкны хөрөнгө оруулалтын зохицуулалтад тодорхой нөхцөлтэйгээр тусгах, арилжааны банкуудын оролцоог нэмэгдүүлэх, орон нутгийн бондын зах зээлийн анхны эрэлтийг бий болгох шаардлага үүсэж байна.</w:t>
      </w:r>
    </w:p>
    <w:p w14:paraId="52D38979" w14:textId="77777777" w:rsidR="00CA3AF8" w:rsidRPr="0054758B" w:rsidRDefault="00CA3AF8" w:rsidP="00CA3AF8">
      <w:pPr>
        <w:pStyle w:val="p3"/>
        <w:spacing w:before="0" w:beforeAutospacing="0" w:after="120" w:afterAutospacing="0"/>
        <w:ind w:firstLine="567"/>
        <w:jc w:val="both"/>
        <w:rPr>
          <w:rFonts w:ascii="Arial" w:hAnsi="Arial" w:cs="Arial"/>
          <w:color w:val="000000" w:themeColor="text1"/>
        </w:rPr>
      </w:pPr>
      <w:r w:rsidRPr="0054758B">
        <w:rPr>
          <w:rFonts w:ascii="Arial" w:hAnsi="Arial" w:cs="Arial"/>
          <w:color w:val="000000" w:themeColor="text1"/>
        </w:rPr>
        <w:t>Энэхүү үнэлгээг Засгийн газрын 2016 оны 59 дүгээр тогтоолын 3 дугаар хавсралтаар батлагдсан “Хуулийн төслийн үр нөлөө тооцох аргачлал”-ын дагуу хийж гүйцэтгэлээ.</w:t>
      </w:r>
    </w:p>
    <w:p w14:paraId="184DC8F7" w14:textId="77777777" w:rsidR="00CA3AF8" w:rsidRPr="0054758B" w:rsidRDefault="00CA3AF8" w:rsidP="00CA3AF8">
      <w:pPr>
        <w:pStyle w:val="Heading3"/>
        <w:spacing w:before="0" w:after="120"/>
        <w:ind w:firstLine="567"/>
        <w:jc w:val="center"/>
        <w:rPr>
          <w:rFonts w:ascii="Arial" w:hAnsi="Arial" w:cs="Arial"/>
          <w:b/>
          <w:bCs/>
          <w:color w:val="000000" w:themeColor="text1"/>
        </w:rPr>
      </w:pPr>
      <w:r w:rsidRPr="0054758B">
        <w:rPr>
          <w:rStyle w:val="s1"/>
          <w:rFonts w:ascii="Arial" w:hAnsi="Arial" w:cs="Arial"/>
          <w:b/>
          <w:bCs/>
          <w:color w:val="000000" w:themeColor="text1"/>
        </w:rPr>
        <w:t>ХОЁР. ХУУЛИЙН ТӨСЛИЙН ҮР НӨЛӨӨГ ҮНЭЛЭХ ШАЛГУУР, ҮЗҮҮЛЭЛТИЙН СОНГОЛТ БА ҮНДЭСЛЭЛ</w:t>
      </w:r>
    </w:p>
    <w:p w14:paraId="7B2375AE" w14:textId="77777777" w:rsidR="00CA3AF8" w:rsidRPr="0054758B" w:rsidRDefault="00CA3AF8" w:rsidP="00CA3AF8">
      <w:pPr>
        <w:pStyle w:val="p4"/>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Хуулийн төслийн зорилго, хамрах хүрээ, зохицуулалтын шинж чанарт нийцүүлэн аргачлалд заасан шалгуур үзүүлэлтээс дараах 3 шалгуурыг сонгон үнэлэв.</w:t>
      </w:r>
    </w:p>
    <w:p w14:paraId="1A669F21" w14:textId="77777777" w:rsidR="00CA3AF8" w:rsidRDefault="00CA3AF8" w:rsidP="00CA3AF8">
      <w:pPr>
        <w:pStyle w:val="ListParagraph"/>
        <w:numPr>
          <w:ilvl w:val="0"/>
          <w:numId w:val="1"/>
        </w:numPr>
        <w:jc w:val="both"/>
        <w:rPr>
          <w:rFonts w:ascii="Arial" w:hAnsi="Arial" w:cs="Arial"/>
          <w:color w:val="000000" w:themeColor="text1"/>
        </w:rPr>
      </w:pPr>
      <w:r w:rsidRPr="0054758B">
        <w:rPr>
          <w:rStyle w:val="s1"/>
          <w:rFonts w:ascii="Arial" w:eastAsiaTheme="majorEastAsia" w:hAnsi="Arial" w:cs="Arial"/>
          <w:b/>
          <w:bCs/>
          <w:color w:val="000000" w:themeColor="text1"/>
        </w:rPr>
        <w:t>Зорилгод хүрэх байдал:</w:t>
      </w:r>
      <w:r w:rsidRPr="0054758B">
        <w:rPr>
          <w:rStyle w:val="s1"/>
          <w:rFonts w:ascii="Arial" w:eastAsiaTheme="majorEastAsia" w:hAnsi="Arial" w:cs="Arial"/>
          <w:b/>
          <w:bCs/>
          <w:color w:val="000000" w:themeColor="text1"/>
          <w:lang w:val="mn-MN"/>
        </w:rPr>
        <w:t xml:space="preserve"> </w:t>
      </w:r>
      <w:r w:rsidRPr="0054758B">
        <w:rPr>
          <w:rFonts w:ascii="Arial" w:hAnsi="Arial" w:cs="Arial"/>
          <w:color w:val="000000" w:themeColor="text1"/>
        </w:rPr>
        <w:t>Хуулийн төслийн зохицуулалт нь орон нутгийн бондын зах зээлийн анхны эрэлтийг бий болгох, арилжааны банкуудын хөрөнгө оруулалтын боломжийг өргөжүүлэх, санхүүгийн зах зээлийн гүнзгийрлийг нэмэгдүүлэх зорилгод нийцэж байгаа эсэхийг үнэлсэн.</w:t>
      </w:r>
    </w:p>
    <w:p w14:paraId="6DF385AF" w14:textId="77777777" w:rsidR="00CA3AF8" w:rsidRDefault="00CA3AF8" w:rsidP="00CA3AF8">
      <w:pPr>
        <w:pStyle w:val="ListParagraph"/>
        <w:numPr>
          <w:ilvl w:val="0"/>
          <w:numId w:val="1"/>
        </w:numPr>
        <w:jc w:val="both"/>
        <w:rPr>
          <w:rFonts w:ascii="Arial" w:hAnsi="Arial" w:cs="Arial"/>
          <w:color w:val="000000" w:themeColor="text1"/>
        </w:rPr>
      </w:pPr>
      <w:r w:rsidRPr="0054758B">
        <w:rPr>
          <w:rStyle w:val="s1"/>
          <w:rFonts w:ascii="Arial" w:eastAsiaTheme="majorEastAsia" w:hAnsi="Arial" w:cs="Arial"/>
          <w:b/>
          <w:bCs/>
          <w:color w:val="000000" w:themeColor="text1"/>
        </w:rPr>
        <w:t>Практикт хэрэгжих боломж:</w:t>
      </w:r>
      <w:r w:rsidRPr="0054758B">
        <w:rPr>
          <w:rStyle w:val="s1"/>
          <w:rFonts w:ascii="Arial" w:eastAsiaTheme="majorEastAsia" w:hAnsi="Arial" w:cs="Arial"/>
          <w:b/>
          <w:bCs/>
          <w:color w:val="000000" w:themeColor="text1"/>
          <w:lang w:val="mn-MN"/>
        </w:rPr>
        <w:t xml:space="preserve"> </w:t>
      </w:r>
      <w:r w:rsidRPr="0054758B">
        <w:rPr>
          <w:rFonts w:ascii="Arial" w:hAnsi="Arial" w:cs="Arial"/>
          <w:color w:val="000000" w:themeColor="text1"/>
        </w:rPr>
        <w:t>Банк, Монголбанк болон бусад зохицуулагч байгууллагын түвшинд уг зохицуулалтыг хэрэгжүүлэх боломж, үүсэх зохицуулалтын шаардлага, хяналтын чадавхыг авч үзсэн.</w:t>
      </w:r>
    </w:p>
    <w:p w14:paraId="325C7C77" w14:textId="77777777" w:rsidR="00CA3AF8" w:rsidRPr="0054758B" w:rsidRDefault="00CA3AF8" w:rsidP="00CA3AF8">
      <w:pPr>
        <w:pStyle w:val="ListParagraph"/>
        <w:numPr>
          <w:ilvl w:val="0"/>
          <w:numId w:val="1"/>
        </w:numPr>
        <w:jc w:val="both"/>
        <w:rPr>
          <w:rFonts w:ascii="Arial" w:hAnsi="Arial" w:cs="Arial"/>
          <w:color w:val="000000" w:themeColor="text1"/>
        </w:rPr>
      </w:pPr>
      <w:r w:rsidRPr="0054758B">
        <w:rPr>
          <w:rStyle w:val="s1"/>
          <w:rFonts w:ascii="Arial" w:eastAsiaTheme="majorEastAsia" w:hAnsi="Arial" w:cs="Arial"/>
          <w:b/>
          <w:bCs/>
          <w:color w:val="000000" w:themeColor="text1"/>
        </w:rPr>
        <w:t xml:space="preserve">Ойлгомжтой </w:t>
      </w:r>
      <w:proofErr w:type="gramStart"/>
      <w:r w:rsidRPr="0054758B">
        <w:rPr>
          <w:rStyle w:val="s1"/>
          <w:rFonts w:ascii="Arial" w:eastAsiaTheme="majorEastAsia" w:hAnsi="Arial" w:cs="Arial"/>
          <w:b/>
          <w:bCs/>
          <w:color w:val="000000" w:themeColor="text1"/>
        </w:rPr>
        <w:t>байдал:</w:t>
      </w:r>
      <w:r w:rsidRPr="0054758B">
        <w:rPr>
          <w:rFonts w:ascii="Arial" w:hAnsi="Arial" w:cs="Arial"/>
          <w:color w:val="000000" w:themeColor="text1"/>
        </w:rPr>
        <w:t>Хуулийн</w:t>
      </w:r>
      <w:proofErr w:type="gramEnd"/>
      <w:r w:rsidRPr="0054758B">
        <w:rPr>
          <w:rFonts w:ascii="Arial" w:hAnsi="Arial" w:cs="Arial"/>
          <w:color w:val="000000" w:themeColor="text1"/>
        </w:rPr>
        <w:t xml:space="preserve"> төслийн зохицуулалт, нэр томьёо, банкны хөрөнгө оруулалтын хүрээ, хязгаарлалтын нөхцөл нь тодорхой, хэрэгжүүлэхэд ойлгомжтой эсэхийг шалгасан.</w:t>
      </w:r>
    </w:p>
    <w:p w14:paraId="211FBEAB" w14:textId="77777777" w:rsidR="00CA3AF8" w:rsidRPr="0054758B" w:rsidRDefault="00CA3AF8" w:rsidP="00CA3AF8">
      <w:pPr>
        <w:pStyle w:val="Heading3"/>
        <w:spacing w:before="0" w:after="120"/>
        <w:ind w:firstLine="567"/>
        <w:jc w:val="both"/>
        <w:rPr>
          <w:rFonts w:ascii="Arial" w:hAnsi="Arial" w:cs="Arial"/>
          <w:b/>
          <w:bCs/>
          <w:color w:val="000000" w:themeColor="text1"/>
        </w:rPr>
      </w:pPr>
      <w:r w:rsidRPr="0054758B">
        <w:rPr>
          <w:rStyle w:val="s1"/>
          <w:rFonts w:ascii="Arial" w:hAnsi="Arial" w:cs="Arial"/>
          <w:b/>
          <w:bCs/>
          <w:color w:val="000000" w:themeColor="text1"/>
        </w:rPr>
        <w:lastRenderedPageBreak/>
        <w:t>ГУРАВ. ХУУЛИЙН ТӨСЛИЙН ҮР НӨЛӨӨГ ҮНЭЛСЭН ҮР ДҮН</w:t>
      </w:r>
    </w:p>
    <w:p w14:paraId="59E26D01" w14:textId="77777777" w:rsidR="00CA3AF8" w:rsidRPr="0054758B" w:rsidRDefault="00CA3AF8" w:rsidP="00CA3AF8">
      <w:pPr>
        <w:pStyle w:val="p2"/>
        <w:spacing w:before="0" w:beforeAutospacing="0" w:after="0" w:afterAutospacing="0"/>
        <w:ind w:firstLine="567"/>
        <w:jc w:val="both"/>
        <w:rPr>
          <w:rFonts w:ascii="Arial" w:hAnsi="Arial" w:cs="Arial"/>
          <w:b/>
          <w:bCs/>
          <w:color w:val="000000" w:themeColor="text1"/>
        </w:rPr>
      </w:pPr>
      <w:r w:rsidRPr="0054758B">
        <w:rPr>
          <w:rFonts w:ascii="Arial" w:hAnsi="Arial" w:cs="Arial"/>
          <w:b/>
          <w:bCs/>
          <w:color w:val="000000" w:themeColor="text1"/>
        </w:rPr>
        <w:t>Зорилгод хүрэх байдал:</w:t>
      </w:r>
      <w:r>
        <w:rPr>
          <w:rFonts w:ascii="Arial" w:hAnsi="Arial" w:cs="Arial"/>
          <w:color w:val="000000" w:themeColor="text1"/>
          <w:lang w:val="mn-MN"/>
        </w:rPr>
        <w:t xml:space="preserve"> </w:t>
      </w:r>
      <w:r w:rsidRPr="0054758B">
        <w:rPr>
          <w:rFonts w:ascii="Arial" w:hAnsi="Arial" w:cs="Arial"/>
          <w:color w:val="000000" w:themeColor="text1"/>
        </w:rPr>
        <w:t>Хуулийн төслийн зохицуулалт нь орон нутгийн бондын зах зээлийн эрэлтийг бий болгох, банкны хөрөнгө оруулалтын хэрэгслийг төрөлжүүлэх, санхүүгийн зах зээлийн гүнзгийрлийг нэмэгдүүлэх зорилготой нийцэж байна. Аж ахуйн нэгжийн орлогын албан татварын тухай хуулийн 21.17-д заасан татварын дэмжлэгийг бодит санхүүгийн урсгалд холбох нөхцөл бүрдэж байна.</w:t>
      </w:r>
    </w:p>
    <w:p w14:paraId="5E7C92C2" w14:textId="77777777" w:rsidR="00CA3AF8" w:rsidRPr="0054758B" w:rsidRDefault="00CA3AF8" w:rsidP="00CA3AF8">
      <w:pPr>
        <w:pStyle w:val="p2"/>
        <w:spacing w:before="0" w:beforeAutospacing="0" w:after="0" w:afterAutospacing="0"/>
        <w:ind w:firstLine="567"/>
        <w:jc w:val="both"/>
        <w:rPr>
          <w:rFonts w:ascii="Arial" w:hAnsi="Arial" w:cs="Arial"/>
          <w:color w:val="000000" w:themeColor="text1"/>
        </w:rPr>
      </w:pPr>
      <w:r w:rsidRPr="0054758B">
        <w:rPr>
          <w:rFonts w:ascii="Arial" w:hAnsi="Arial" w:cs="Arial"/>
          <w:b/>
          <w:bCs/>
          <w:color w:val="000000" w:themeColor="text1"/>
        </w:rPr>
        <w:t>Практикт хэрэгжих боломж:</w:t>
      </w:r>
      <w:r>
        <w:rPr>
          <w:rFonts w:ascii="Arial" w:hAnsi="Arial" w:cs="Arial"/>
          <w:color w:val="000000" w:themeColor="text1"/>
          <w:lang w:val="mn-MN"/>
        </w:rPr>
        <w:t xml:space="preserve"> </w:t>
      </w:r>
      <w:r w:rsidRPr="0054758B">
        <w:rPr>
          <w:rFonts w:ascii="Arial" w:hAnsi="Arial" w:cs="Arial"/>
          <w:color w:val="000000" w:themeColor="text1"/>
        </w:rPr>
        <w:t>Хуулийн төсөл хэрэгжих боломжтой. Арилжааны банкууд үнэт цаасанд хөрөнгө оруулах үйл ажиллагаа эрхэлдэг тул орон нутгийн үнэт цаасыг тодорхой шалгуурын хүрээнд хөрөнгө оруулалтын хэрэгсэлд хамруулах боломжтой. Харин Монголбанкнаас эрсдэлийн төвлөрөл, зохистой харьцаа, хяналтын журам тодорхойлох шаардлага үүснэ.</w:t>
      </w:r>
    </w:p>
    <w:p w14:paraId="6C16FCAF" w14:textId="77777777" w:rsidR="00CA3AF8" w:rsidRPr="0054758B" w:rsidRDefault="00CA3AF8" w:rsidP="00CA3AF8">
      <w:pPr>
        <w:pStyle w:val="p3"/>
        <w:spacing w:before="0" w:beforeAutospacing="0" w:after="120" w:afterAutospacing="0"/>
        <w:ind w:firstLine="567"/>
        <w:jc w:val="both"/>
        <w:rPr>
          <w:rFonts w:ascii="Arial" w:hAnsi="Arial" w:cs="Arial"/>
          <w:color w:val="000000" w:themeColor="text1"/>
        </w:rPr>
      </w:pPr>
      <w:r w:rsidRPr="0054758B">
        <w:rPr>
          <w:rFonts w:ascii="Arial" w:hAnsi="Arial" w:cs="Arial"/>
          <w:b/>
          <w:bCs/>
          <w:color w:val="000000" w:themeColor="text1"/>
        </w:rPr>
        <w:t>Ойлгомжтой байдал:</w:t>
      </w:r>
      <w:r>
        <w:rPr>
          <w:rFonts w:ascii="Arial" w:hAnsi="Arial" w:cs="Arial"/>
          <w:color w:val="000000" w:themeColor="text1"/>
          <w:lang w:val="mn-MN"/>
        </w:rPr>
        <w:t xml:space="preserve"> </w:t>
      </w:r>
      <w:r w:rsidRPr="0054758B">
        <w:rPr>
          <w:rFonts w:ascii="Arial" w:hAnsi="Arial" w:cs="Arial"/>
          <w:color w:val="000000" w:themeColor="text1"/>
        </w:rPr>
        <w:t>Хуулийн төсөлд “Аж ахуйн нэгжийн орлогын албан татварын тухай хуулийн 21.17-д заасан аймаг” гэсэн ойлголтыг тодорхой тусгаснаар хэрэгжилтийн хүрээ тодорхой байна. Банкны хөрөнгө оруулалтын хязгаарлалтад хамаарах эсэхийг хууль зүйн хувьд тодорхой болгосноор тайлбарын зөрүү багасна.</w:t>
      </w:r>
    </w:p>
    <w:p w14:paraId="48E8A81B" w14:textId="77777777" w:rsidR="00CA3AF8" w:rsidRPr="0054758B" w:rsidRDefault="00CA3AF8" w:rsidP="00CA3AF8">
      <w:pPr>
        <w:pStyle w:val="Heading3"/>
        <w:spacing w:before="0" w:after="120"/>
        <w:ind w:firstLine="567"/>
        <w:jc w:val="both"/>
        <w:rPr>
          <w:rFonts w:ascii="Arial" w:hAnsi="Arial" w:cs="Arial"/>
          <w:b/>
          <w:bCs/>
          <w:color w:val="000000" w:themeColor="text1"/>
        </w:rPr>
      </w:pPr>
      <w:r w:rsidRPr="0054758B">
        <w:rPr>
          <w:rStyle w:val="s1"/>
          <w:rFonts w:ascii="Arial" w:hAnsi="Arial" w:cs="Arial"/>
          <w:b/>
          <w:bCs/>
          <w:color w:val="000000" w:themeColor="text1"/>
        </w:rPr>
        <w:t>ДӨРӨВ. ҮР НӨЛӨӨНИЙ НАРИЙВЧИЛСАН ҮНЭЛГЭЭ</w:t>
      </w:r>
    </w:p>
    <w:p w14:paraId="2085E841" w14:textId="77777777" w:rsidR="00CA3AF8" w:rsidRPr="0054758B" w:rsidRDefault="00CA3AF8" w:rsidP="00CA3AF8">
      <w:pPr>
        <w:pStyle w:val="p2"/>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Зорилгод хүрэх байдлын хувьд хуулийн төсөл нь орон нутгийн бондын зах зээлийн анхны эрэлтийг бий болгох, банкны салбарын хөрөнгө оруулалтын бүтцийг сайжруулахад чиглэж байгаа бөгөөд санхүүгийн зах зээлийн гүнзгийрлийг нэмэгдүүлэх бодлоготой нийцэж байна.</w:t>
      </w:r>
    </w:p>
    <w:p w14:paraId="4C2BD44A" w14:textId="77777777" w:rsidR="00CA3AF8" w:rsidRPr="0054758B" w:rsidRDefault="00CA3AF8" w:rsidP="00CA3AF8">
      <w:pPr>
        <w:pStyle w:val="p2"/>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Практикт хэрэгжих боломжийн хувьд шинээр байгууллага байгуулах шаардлагагүй бөгөөд Монголбанк болон одоо байгаа зохицуулалтын хүрээнд хэрэгжих боломжтой. Гэвч эрсдэлийн удирдлага, төвлөрлийн хязгаар, шалгуур тогтоох зохицуулалт шаардлагатай.</w:t>
      </w:r>
    </w:p>
    <w:p w14:paraId="487BEA15" w14:textId="77777777" w:rsidR="00CA3AF8" w:rsidRPr="0054758B" w:rsidRDefault="00CA3AF8" w:rsidP="00CA3AF8">
      <w:pPr>
        <w:pStyle w:val="p3"/>
        <w:spacing w:before="0" w:beforeAutospacing="0" w:after="120" w:afterAutospacing="0"/>
        <w:ind w:firstLine="567"/>
        <w:jc w:val="both"/>
        <w:rPr>
          <w:rFonts w:ascii="Arial" w:hAnsi="Arial" w:cs="Arial"/>
          <w:color w:val="000000" w:themeColor="text1"/>
        </w:rPr>
      </w:pPr>
      <w:r w:rsidRPr="0054758B">
        <w:rPr>
          <w:rFonts w:ascii="Arial" w:hAnsi="Arial" w:cs="Arial"/>
          <w:color w:val="000000" w:themeColor="text1"/>
        </w:rPr>
        <w:t>Ойлгомжтой байдлын хувьд хуулийн төсөл нь татварын хуультай уялдсан тодорхой шалгуур ашиглаж байгаа нь хэрэгжилтийн хүрээг тодорхой болгож байна.</w:t>
      </w:r>
    </w:p>
    <w:p w14:paraId="54D0013E" w14:textId="77777777" w:rsidR="00CA3AF8" w:rsidRPr="0054758B" w:rsidRDefault="00CA3AF8" w:rsidP="00CA3AF8">
      <w:pPr>
        <w:pStyle w:val="Heading3"/>
        <w:spacing w:before="0" w:after="120"/>
        <w:ind w:firstLine="567"/>
        <w:jc w:val="both"/>
        <w:rPr>
          <w:rFonts w:ascii="Arial" w:hAnsi="Arial" w:cs="Arial"/>
          <w:b/>
          <w:bCs/>
          <w:color w:val="000000" w:themeColor="text1"/>
        </w:rPr>
      </w:pPr>
      <w:r w:rsidRPr="0054758B">
        <w:rPr>
          <w:rStyle w:val="s1"/>
          <w:rFonts w:ascii="Arial" w:hAnsi="Arial" w:cs="Arial"/>
          <w:b/>
          <w:bCs/>
          <w:color w:val="000000" w:themeColor="text1"/>
        </w:rPr>
        <w:t>ДҮГНЭЛТ</w:t>
      </w:r>
    </w:p>
    <w:p w14:paraId="4ACC8AA7" w14:textId="77777777" w:rsidR="00CA3AF8" w:rsidRPr="0054758B" w:rsidRDefault="00CA3AF8" w:rsidP="00CA3AF8">
      <w:pPr>
        <w:pStyle w:val="p3"/>
        <w:spacing w:before="0" w:beforeAutospacing="0" w:after="120" w:afterAutospacing="0"/>
        <w:ind w:firstLine="567"/>
        <w:jc w:val="both"/>
        <w:rPr>
          <w:rFonts w:ascii="Arial" w:hAnsi="Arial" w:cs="Arial"/>
          <w:color w:val="000000" w:themeColor="text1"/>
        </w:rPr>
      </w:pPr>
      <w:r w:rsidRPr="0054758B">
        <w:rPr>
          <w:rFonts w:ascii="Arial" w:hAnsi="Arial" w:cs="Arial"/>
          <w:color w:val="000000" w:themeColor="text1"/>
        </w:rPr>
        <w:t>Дүгнэж үзвэл, “Банкны тухай хуульд нэмэлт, өөрчлөлт оруулах тухай” хуулийн төсөл нь орон нутгийн бондын зах зээлийг хөгжүүлэх, арилжааны банкуудын хөрөнгө оруулалтын боломжийг нэмэгдүүлэх, санхүүгийн зах зээлийн гүнзгийрлийг дэмжих зорилгод нийцсэн, практикт хэрэгжих боломжтой төсөл байна.</w:t>
      </w:r>
    </w:p>
    <w:p w14:paraId="23F00E6C" w14:textId="77777777" w:rsidR="00CA3AF8" w:rsidRDefault="00CA3AF8" w:rsidP="00CA3AF8">
      <w:pPr>
        <w:ind w:firstLine="567"/>
        <w:jc w:val="both"/>
        <w:rPr>
          <w:rFonts w:ascii="Arial" w:hAnsi="Arial" w:cs="Arial"/>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3433"/>
        <w:gridCol w:w="3156"/>
      </w:tblGrid>
      <w:tr w:rsidR="00CA3AF8" w:rsidRPr="002417D5" w14:paraId="12454D7C" w14:textId="77777777" w:rsidTr="00BE5E3C">
        <w:trPr>
          <w:trHeight w:val="469"/>
        </w:trPr>
        <w:tc>
          <w:tcPr>
            <w:tcW w:w="675" w:type="dxa"/>
            <w:vAlign w:val="center"/>
          </w:tcPr>
          <w:p w14:paraId="4B661256" w14:textId="77777777" w:rsidR="00CA3AF8" w:rsidRPr="002417D5" w:rsidRDefault="00CA3AF8" w:rsidP="00BE5E3C">
            <w:pPr>
              <w:jc w:val="center"/>
              <w:rPr>
                <w:rFonts w:ascii="Arial" w:hAnsi="Arial" w:cs="Arial"/>
                <w:b/>
                <w:lang w:val="mn-MN"/>
              </w:rPr>
            </w:pPr>
            <w:r w:rsidRPr="002417D5">
              <w:rPr>
                <w:rFonts w:ascii="Arial" w:hAnsi="Arial" w:cs="Arial"/>
                <w:b/>
                <w:u w:val="wave"/>
                <w:lang w:val="mn-MN"/>
              </w:rPr>
              <w:t>Д</w:t>
            </w:r>
            <w:r w:rsidRPr="002417D5">
              <w:rPr>
                <w:rFonts w:ascii="Arial" w:hAnsi="Arial" w:cs="Arial"/>
                <w:b/>
                <w:lang w:val="mn-MN"/>
              </w:rPr>
              <w:t>/</w:t>
            </w:r>
            <w:r w:rsidRPr="002417D5">
              <w:rPr>
                <w:rFonts w:ascii="Arial" w:hAnsi="Arial" w:cs="Arial"/>
                <w:b/>
                <w:u w:val="wave"/>
                <w:lang w:val="mn-MN"/>
              </w:rPr>
              <w:t>д</w:t>
            </w:r>
          </w:p>
        </w:tc>
        <w:tc>
          <w:tcPr>
            <w:tcW w:w="2097" w:type="dxa"/>
            <w:vAlign w:val="center"/>
          </w:tcPr>
          <w:p w14:paraId="25DA4390" w14:textId="77777777" w:rsidR="00CA3AF8" w:rsidRPr="002417D5" w:rsidRDefault="00CA3AF8" w:rsidP="00BE5E3C">
            <w:pPr>
              <w:jc w:val="center"/>
              <w:rPr>
                <w:rFonts w:ascii="Arial" w:hAnsi="Arial" w:cs="Arial"/>
                <w:b/>
                <w:lang w:val="mn-MN"/>
              </w:rPr>
            </w:pPr>
            <w:r w:rsidRPr="002417D5">
              <w:rPr>
                <w:rFonts w:ascii="Arial" w:hAnsi="Arial" w:cs="Arial"/>
                <w:b/>
                <w:lang w:val="mn-MN"/>
              </w:rPr>
              <w:t>Шалгуур үзүүлэлт</w:t>
            </w:r>
          </w:p>
        </w:tc>
        <w:tc>
          <w:tcPr>
            <w:tcW w:w="3433" w:type="dxa"/>
            <w:vAlign w:val="center"/>
          </w:tcPr>
          <w:p w14:paraId="415EA861" w14:textId="77777777" w:rsidR="00CA3AF8" w:rsidRPr="002417D5" w:rsidRDefault="00CA3AF8" w:rsidP="00BE5E3C">
            <w:pPr>
              <w:jc w:val="center"/>
              <w:rPr>
                <w:rFonts w:ascii="Arial" w:hAnsi="Arial" w:cs="Arial"/>
                <w:b/>
                <w:lang w:val="mn-MN"/>
              </w:rPr>
            </w:pPr>
            <w:r w:rsidRPr="002417D5">
              <w:rPr>
                <w:rFonts w:ascii="Arial" w:hAnsi="Arial" w:cs="Arial"/>
                <w:b/>
                <w:lang w:val="mn-MN"/>
              </w:rPr>
              <w:t>Үр нөлөөг үнэлэх хэсэг</w:t>
            </w:r>
          </w:p>
        </w:tc>
        <w:tc>
          <w:tcPr>
            <w:tcW w:w="3156" w:type="dxa"/>
            <w:vAlign w:val="center"/>
          </w:tcPr>
          <w:p w14:paraId="676E6C80" w14:textId="77777777" w:rsidR="00CA3AF8" w:rsidRPr="002417D5" w:rsidRDefault="00CA3AF8" w:rsidP="00BE5E3C">
            <w:pPr>
              <w:jc w:val="center"/>
              <w:rPr>
                <w:rFonts w:ascii="Arial" w:hAnsi="Arial" w:cs="Arial"/>
                <w:b/>
                <w:lang w:val="mn-MN"/>
              </w:rPr>
            </w:pPr>
            <w:r w:rsidRPr="002417D5">
              <w:rPr>
                <w:rFonts w:ascii="Arial" w:hAnsi="Arial" w:cs="Arial"/>
                <w:b/>
                <w:lang w:val="mn-MN"/>
              </w:rPr>
              <w:t>Тохирох шалгах хэрэгсэл</w:t>
            </w:r>
          </w:p>
        </w:tc>
      </w:tr>
      <w:tr w:rsidR="00CA3AF8" w:rsidRPr="00601B43" w14:paraId="308A0022" w14:textId="77777777" w:rsidTr="00BE5E3C">
        <w:trPr>
          <w:trHeight w:val="953"/>
        </w:trPr>
        <w:tc>
          <w:tcPr>
            <w:tcW w:w="675" w:type="dxa"/>
          </w:tcPr>
          <w:p w14:paraId="07BA3F81" w14:textId="77777777" w:rsidR="00CA3AF8" w:rsidRPr="002417D5" w:rsidRDefault="00CA3AF8" w:rsidP="00BE5E3C">
            <w:pPr>
              <w:jc w:val="both"/>
              <w:rPr>
                <w:rFonts w:ascii="Arial" w:hAnsi="Arial" w:cs="Arial"/>
                <w:lang w:val="mn-MN"/>
              </w:rPr>
            </w:pPr>
            <w:r w:rsidRPr="002417D5">
              <w:rPr>
                <w:rFonts w:ascii="Arial" w:hAnsi="Arial" w:cs="Arial"/>
                <w:lang w:val="mn-MN"/>
              </w:rPr>
              <w:t>1</w:t>
            </w:r>
          </w:p>
        </w:tc>
        <w:tc>
          <w:tcPr>
            <w:tcW w:w="2097" w:type="dxa"/>
          </w:tcPr>
          <w:p w14:paraId="0F22E6D9" w14:textId="77777777" w:rsidR="00CA3AF8" w:rsidRPr="002417D5" w:rsidRDefault="00CA3AF8" w:rsidP="00BE5E3C">
            <w:pPr>
              <w:jc w:val="center"/>
              <w:rPr>
                <w:rFonts w:ascii="Arial" w:hAnsi="Arial" w:cs="Arial"/>
                <w:lang w:val="mn-MN"/>
              </w:rPr>
            </w:pPr>
            <w:r w:rsidRPr="002417D5">
              <w:rPr>
                <w:rFonts w:ascii="Arial" w:hAnsi="Arial" w:cs="Arial"/>
                <w:lang w:val="mn-MN"/>
              </w:rPr>
              <w:t>Зорилгод хүрэх байдал</w:t>
            </w:r>
          </w:p>
        </w:tc>
        <w:tc>
          <w:tcPr>
            <w:tcW w:w="3433" w:type="dxa"/>
          </w:tcPr>
          <w:p w14:paraId="48FEC209" w14:textId="77777777" w:rsidR="00CA3AF8" w:rsidRPr="002417D5" w:rsidRDefault="00CA3AF8" w:rsidP="00BE5E3C">
            <w:pPr>
              <w:jc w:val="center"/>
              <w:rPr>
                <w:rFonts w:ascii="Arial" w:hAnsi="Arial" w:cs="Arial"/>
                <w:lang w:val="mn-MN"/>
              </w:rPr>
            </w:pPr>
            <w:r w:rsidRPr="002417D5">
              <w:rPr>
                <w:rFonts w:ascii="Arial" w:hAnsi="Arial" w:cs="Arial"/>
                <w:lang w:val="mn-MN"/>
              </w:rPr>
              <w:t>Хуулийн төсөл бүхэлдээ</w:t>
            </w:r>
          </w:p>
        </w:tc>
        <w:tc>
          <w:tcPr>
            <w:tcW w:w="3156" w:type="dxa"/>
          </w:tcPr>
          <w:p w14:paraId="7066BDBD" w14:textId="77777777" w:rsidR="00CA3AF8" w:rsidRPr="00601B43" w:rsidRDefault="00CA3AF8" w:rsidP="00BE5E3C">
            <w:pPr>
              <w:pStyle w:val="p1"/>
              <w:rPr>
                <w:rFonts w:ascii="Arial" w:hAnsi="Arial" w:cs="Arial"/>
                <w:lang w:val="mn-MN"/>
              </w:rPr>
            </w:pPr>
            <w:r w:rsidRPr="00601B43">
              <w:rPr>
                <w:rFonts w:ascii="Arial" w:hAnsi="Arial" w:cs="Arial"/>
                <w:lang w:val="mn-MN"/>
              </w:rPr>
              <w:t xml:space="preserve">Аж ахуйн нэгжийн орлогын албан татварын тухай хуулийн 21.17-д заасан орон нутгийн үнэт цаасыг банкны хөрөнгө оруулалтын зохицуулалтад тусгах замаар орон нутгийн бондын зах зээлийн </w:t>
            </w:r>
            <w:r w:rsidRPr="00601B43">
              <w:rPr>
                <w:rFonts w:ascii="Arial" w:hAnsi="Arial" w:cs="Arial"/>
                <w:lang w:val="mn-MN"/>
              </w:rPr>
              <w:lastRenderedPageBreak/>
              <w:t>эрэлтийг бий болгох, санхүүгийн зах зээлийн гүнзгийрлийг нэмэгдүүлэх зорилготой уялдуулан дүн шинжилгээ хийх.</w:t>
            </w:r>
          </w:p>
        </w:tc>
      </w:tr>
      <w:tr w:rsidR="00CA3AF8" w:rsidRPr="00601B43" w14:paraId="0E0B5246" w14:textId="77777777" w:rsidTr="00BE5E3C">
        <w:trPr>
          <w:trHeight w:val="412"/>
        </w:trPr>
        <w:tc>
          <w:tcPr>
            <w:tcW w:w="675" w:type="dxa"/>
          </w:tcPr>
          <w:p w14:paraId="3933F796" w14:textId="77777777" w:rsidR="00CA3AF8" w:rsidRPr="002417D5" w:rsidRDefault="00CA3AF8" w:rsidP="00BE5E3C">
            <w:pPr>
              <w:jc w:val="both"/>
              <w:rPr>
                <w:rFonts w:ascii="Arial" w:hAnsi="Arial" w:cs="Arial"/>
                <w:lang w:val="mn-MN"/>
              </w:rPr>
            </w:pPr>
            <w:r w:rsidRPr="002417D5">
              <w:rPr>
                <w:rFonts w:ascii="Arial" w:hAnsi="Arial" w:cs="Arial"/>
                <w:lang w:val="mn-MN"/>
              </w:rPr>
              <w:lastRenderedPageBreak/>
              <w:t>2</w:t>
            </w:r>
          </w:p>
        </w:tc>
        <w:tc>
          <w:tcPr>
            <w:tcW w:w="2097" w:type="dxa"/>
          </w:tcPr>
          <w:p w14:paraId="19AE0A2A" w14:textId="77777777" w:rsidR="00CA3AF8" w:rsidRPr="002417D5" w:rsidRDefault="00CA3AF8" w:rsidP="00BE5E3C">
            <w:pPr>
              <w:jc w:val="center"/>
              <w:rPr>
                <w:rFonts w:ascii="Arial" w:hAnsi="Arial" w:cs="Arial"/>
                <w:lang w:val="mn-MN"/>
              </w:rPr>
            </w:pPr>
            <w:r w:rsidRPr="002417D5">
              <w:rPr>
                <w:rFonts w:ascii="Arial" w:hAnsi="Arial" w:cs="Arial"/>
                <w:lang w:val="mn-MN"/>
              </w:rPr>
              <w:t>Практикт хэрэгжих боломж</w:t>
            </w:r>
          </w:p>
        </w:tc>
        <w:tc>
          <w:tcPr>
            <w:tcW w:w="3433" w:type="dxa"/>
          </w:tcPr>
          <w:p w14:paraId="44C8AA79" w14:textId="77777777" w:rsidR="00CA3AF8" w:rsidRPr="002417D5" w:rsidRDefault="00CA3AF8" w:rsidP="00BE5E3C">
            <w:pPr>
              <w:jc w:val="center"/>
              <w:rPr>
                <w:rFonts w:ascii="Arial" w:hAnsi="Arial" w:cs="Arial"/>
                <w:lang w:val="mn-MN"/>
              </w:rPr>
            </w:pPr>
            <w:r w:rsidRPr="002417D5">
              <w:rPr>
                <w:rFonts w:ascii="Arial" w:hAnsi="Arial" w:cs="Arial"/>
                <w:lang w:val="mn-MN"/>
              </w:rPr>
              <w:t>Хуулийн төсөл бүхэлдээ</w:t>
            </w:r>
          </w:p>
        </w:tc>
        <w:tc>
          <w:tcPr>
            <w:tcW w:w="3156" w:type="dxa"/>
          </w:tcPr>
          <w:p w14:paraId="6140CD28" w14:textId="77777777" w:rsidR="00CA3AF8" w:rsidRPr="00601B43" w:rsidRDefault="00CA3AF8" w:rsidP="00BE5E3C">
            <w:pPr>
              <w:pStyle w:val="p1"/>
              <w:rPr>
                <w:rFonts w:ascii="Arial" w:hAnsi="Arial" w:cs="Arial"/>
                <w:lang w:val="mn-MN"/>
              </w:rPr>
            </w:pPr>
            <w:r w:rsidRPr="00601B43">
              <w:rPr>
                <w:rFonts w:ascii="Arial" w:hAnsi="Arial" w:cs="Arial"/>
                <w:lang w:val="mn-MN"/>
              </w:rPr>
              <w:t>Банкны салбарын хөрөнгө оруулалтын одоогийн бүтэц, зохицуулагч байгууллагын хяналтын чадавхыг харгалзан орон нутгийн үнэт цаасыг банкны хөрөнгө оруулалтын хэрэгсэлд хамруулах боломжийг олон улсын орон нутгийн бондын зах зээлийн туршлагатай харьцуулан судлах.</w:t>
            </w:r>
          </w:p>
        </w:tc>
      </w:tr>
      <w:tr w:rsidR="00CA3AF8" w:rsidRPr="00601B43" w14:paraId="7FF530D4" w14:textId="77777777" w:rsidTr="00BE5E3C">
        <w:tc>
          <w:tcPr>
            <w:tcW w:w="675" w:type="dxa"/>
          </w:tcPr>
          <w:p w14:paraId="635FF9A1" w14:textId="77777777" w:rsidR="00CA3AF8" w:rsidRPr="002417D5" w:rsidRDefault="00CA3AF8" w:rsidP="00BE5E3C">
            <w:pPr>
              <w:jc w:val="both"/>
              <w:rPr>
                <w:rFonts w:ascii="Arial" w:hAnsi="Arial" w:cs="Arial"/>
                <w:lang w:val="mn-MN"/>
              </w:rPr>
            </w:pPr>
            <w:r w:rsidRPr="002417D5">
              <w:rPr>
                <w:rFonts w:ascii="Arial" w:hAnsi="Arial" w:cs="Arial"/>
                <w:lang w:val="mn-MN"/>
              </w:rPr>
              <w:t>3</w:t>
            </w:r>
          </w:p>
        </w:tc>
        <w:tc>
          <w:tcPr>
            <w:tcW w:w="2097" w:type="dxa"/>
          </w:tcPr>
          <w:p w14:paraId="73F88A26" w14:textId="77777777" w:rsidR="00CA3AF8" w:rsidRPr="002417D5" w:rsidRDefault="00CA3AF8" w:rsidP="00BE5E3C">
            <w:pPr>
              <w:jc w:val="center"/>
              <w:rPr>
                <w:rFonts w:ascii="Arial" w:hAnsi="Arial" w:cs="Arial"/>
                <w:lang w:val="mn-MN"/>
              </w:rPr>
            </w:pPr>
            <w:r w:rsidRPr="002417D5">
              <w:rPr>
                <w:rFonts w:ascii="Arial" w:hAnsi="Arial" w:cs="Arial"/>
                <w:lang w:val="mn-MN"/>
              </w:rPr>
              <w:t>Ойлгомжтой байдал</w:t>
            </w:r>
          </w:p>
        </w:tc>
        <w:tc>
          <w:tcPr>
            <w:tcW w:w="3433" w:type="dxa"/>
          </w:tcPr>
          <w:p w14:paraId="20D8CCE4" w14:textId="77777777" w:rsidR="00CA3AF8" w:rsidRPr="002417D5" w:rsidRDefault="00CA3AF8" w:rsidP="00BE5E3C">
            <w:pPr>
              <w:jc w:val="center"/>
              <w:rPr>
                <w:rFonts w:ascii="Arial" w:hAnsi="Arial" w:cs="Arial"/>
                <w:lang w:val="mn-MN"/>
              </w:rPr>
            </w:pPr>
            <w:r w:rsidRPr="002417D5">
              <w:rPr>
                <w:rFonts w:ascii="Arial" w:hAnsi="Arial" w:cs="Arial"/>
                <w:lang w:val="mn-MN"/>
              </w:rPr>
              <w:t>Хуулийн төсөл бүхэлдээ</w:t>
            </w:r>
          </w:p>
        </w:tc>
        <w:tc>
          <w:tcPr>
            <w:tcW w:w="3156" w:type="dxa"/>
          </w:tcPr>
          <w:p w14:paraId="38390EAF" w14:textId="77777777" w:rsidR="00CA3AF8" w:rsidRPr="00601B43" w:rsidRDefault="00CA3AF8" w:rsidP="00BE5E3C">
            <w:pPr>
              <w:pStyle w:val="p1"/>
              <w:rPr>
                <w:rFonts w:ascii="Arial" w:hAnsi="Arial" w:cs="Arial"/>
                <w:lang w:val="mn-MN"/>
              </w:rPr>
            </w:pPr>
            <w:r w:rsidRPr="00601B43">
              <w:rPr>
                <w:rFonts w:ascii="Arial" w:hAnsi="Arial" w:cs="Arial"/>
                <w:lang w:val="mn-MN"/>
              </w:rPr>
              <w:t>Хууль тогтоомжийн тухай хуулийн 29, 30 дугаар зүйл болон Хууль тогтоомжийн төсөл боловсруулах аргачлалын шаардлагыг баримталсан эсэх, “Аж ахуйн нэгжийн орлогын албан татварын тухай хуулийн 21.17-д заасан аймаг”, “орон нутгийн үнэт цаас”, “банкны хөрөнгө оруулалтын хязгаарлалт” зэрэг нэр томьёо тодорхой, давхардалгүй, хэрэгжүүлэхэд ойлгомжтой эсэхийг шалгах.</w:t>
            </w:r>
          </w:p>
        </w:tc>
      </w:tr>
    </w:tbl>
    <w:p w14:paraId="7C5F2C5F" w14:textId="77777777" w:rsidR="00CA3AF8" w:rsidRPr="00601B43" w:rsidRDefault="00CA3AF8" w:rsidP="00CA3AF8">
      <w:pPr>
        <w:ind w:firstLine="567"/>
        <w:jc w:val="both"/>
        <w:rPr>
          <w:rFonts w:ascii="Arial" w:hAnsi="Arial" w:cs="Arial"/>
          <w:lang w:val="mn-MN"/>
        </w:rPr>
      </w:pPr>
    </w:p>
    <w:p w14:paraId="6A364659" w14:textId="77777777" w:rsidR="00CA3AF8" w:rsidRPr="00601B43" w:rsidRDefault="00CA3AF8" w:rsidP="00CA3AF8">
      <w:pPr>
        <w:pStyle w:val="p1"/>
        <w:spacing w:before="0" w:beforeAutospacing="0" w:after="0" w:afterAutospacing="0"/>
        <w:ind w:firstLine="567"/>
        <w:jc w:val="both"/>
        <w:rPr>
          <w:rFonts w:ascii="Arial" w:hAnsi="Arial" w:cs="Arial"/>
          <w:lang w:val="mn-MN"/>
        </w:rPr>
      </w:pPr>
      <w:r w:rsidRPr="00601B43">
        <w:rPr>
          <w:rFonts w:ascii="Arial" w:hAnsi="Arial" w:cs="Arial"/>
          <w:lang w:val="mn-MN"/>
        </w:rPr>
        <w:t>Дээрх урьдчилан сонгосон шалгуур үзүүлэлтэд тохирсон шалгах хэрэгслийн дагуу хуулийн төслийн үр нөлөөг дараахь байдлаар үнэллээ.</w:t>
      </w:r>
    </w:p>
    <w:p w14:paraId="3F35BEB1" w14:textId="77777777" w:rsidR="00CA3AF8" w:rsidRPr="00601B43" w:rsidRDefault="00CA3AF8" w:rsidP="00CA3AF8">
      <w:pPr>
        <w:pStyle w:val="p2"/>
        <w:spacing w:before="0" w:beforeAutospacing="0" w:after="0" w:afterAutospacing="0"/>
        <w:ind w:firstLine="567"/>
        <w:jc w:val="both"/>
        <w:rPr>
          <w:rFonts w:ascii="Arial" w:hAnsi="Arial" w:cs="Arial"/>
          <w:lang w:val="mn-MN"/>
        </w:rPr>
      </w:pPr>
    </w:p>
    <w:p w14:paraId="0BE15788" w14:textId="77777777" w:rsidR="00CA3AF8" w:rsidRPr="00601B43" w:rsidRDefault="00CA3AF8" w:rsidP="00CA3AF8">
      <w:pPr>
        <w:pStyle w:val="p2"/>
        <w:spacing w:before="0" w:beforeAutospacing="0" w:after="0" w:afterAutospacing="0"/>
        <w:jc w:val="both"/>
        <w:rPr>
          <w:rFonts w:ascii="Arial" w:hAnsi="Arial" w:cs="Arial"/>
          <w:b/>
          <w:bCs/>
          <w:lang w:val="mn-MN"/>
        </w:rPr>
      </w:pPr>
    </w:p>
    <w:p w14:paraId="5EE7BDF8" w14:textId="77777777" w:rsidR="00CA3AF8" w:rsidRPr="00601B43" w:rsidRDefault="00CA3AF8" w:rsidP="00CA3AF8">
      <w:pPr>
        <w:pStyle w:val="Heading3"/>
        <w:ind w:firstLine="567"/>
        <w:jc w:val="center"/>
        <w:rPr>
          <w:rFonts w:ascii="Arial" w:hAnsi="Arial" w:cs="Arial"/>
          <w:b/>
          <w:bCs/>
          <w:color w:val="000000" w:themeColor="text1"/>
          <w:lang w:val="mn-MN"/>
        </w:rPr>
      </w:pPr>
      <w:r w:rsidRPr="00601B43">
        <w:rPr>
          <w:rStyle w:val="s1"/>
          <w:rFonts w:ascii="Arial" w:hAnsi="Arial" w:cs="Arial"/>
          <w:b/>
          <w:bCs/>
          <w:color w:val="000000" w:themeColor="text1"/>
          <w:lang w:val="mn-MN"/>
        </w:rPr>
        <w:lastRenderedPageBreak/>
        <w:t>“Зорилгод хүрэх байдал” шалгуур үзүүлэлтийн хүрээнд хийсэн үнэлгээ:</w:t>
      </w:r>
    </w:p>
    <w:p w14:paraId="7B6FAA75" w14:textId="77777777" w:rsidR="00CA3AF8" w:rsidRPr="00601B43" w:rsidRDefault="00CA3AF8" w:rsidP="00CA3AF8">
      <w:pPr>
        <w:pStyle w:val="p2"/>
        <w:ind w:firstLine="567"/>
        <w:jc w:val="both"/>
        <w:rPr>
          <w:rFonts w:ascii="Arial" w:hAnsi="Arial" w:cs="Arial"/>
          <w:color w:val="000000" w:themeColor="text1"/>
          <w:lang w:val="mn-MN"/>
        </w:rPr>
      </w:pPr>
      <w:r w:rsidRPr="00601B43">
        <w:rPr>
          <w:rFonts w:ascii="Arial" w:hAnsi="Arial" w:cs="Arial"/>
          <w:color w:val="000000" w:themeColor="text1"/>
          <w:lang w:val="mn-MN"/>
        </w:rPr>
        <w:t>Үнэлгээ хийхээр сонгож авсан зохицуулалтын хувьд хуулийн төслийн үзэл баримтлалд тусгасан хэрэгцээ шаардлагад нийцэж, хуулийн төслийн зорилтыг хангах боломжтой байна. Тодруулбал, Аж ахуйн нэгжийн орлогын албан татварын тухай хуулийн 21.17-д заасан орон нутгийн үнэт цаасыг банкны хөрөнгө оруулалтын зохицуулалтад тодорхой нөхцөлтэйгээр тусгах замаар арилжааны банкуудын оролцоог нэмэгдүүлэх, орон нутгийн бондын зах зээлийн анхны эрэлтийг бий болгох, санхүүгийн зах зээлийн гүнзгийрлийг нэмэгдүүлэх зорилготой зохицуулалт нь өнөөгийн банк төвтэй санхүүгийн бүтцийн сул талыг бууруулахад чиглэж байна.</w:t>
      </w:r>
    </w:p>
    <w:p w14:paraId="05EB42C5" w14:textId="77777777" w:rsidR="00CA3AF8" w:rsidRPr="00601B43" w:rsidRDefault="00CA3AF8" w:rsidP="00CA3AF8">
      <w:pPr>
        <w:pStyle w:val="Heading3"/>
        <w:ind w:firstLine="567"/>
        <w:jc w:val="center"/>
        <w:rPr>
          <w:rFonts w:ascii="Arial" w:hAnsi="Arial" w:cs="Arial"/>
          <w:b/>
          <w:bCs/>
          <w:color w:val="000000" w:themeColor="text1"/>
          <w:lang w:val="mn-MN"/>
        </w:rPr>
      </w:pPr>
      <w:r w:rsidRPr="00601B43">
        <w:rPr>
          <w:rStyle w:val="s1"/>
          <w:rFonts w:ascii="Arial" w:hAnsi="Arial" w:cs="Arial"/>
          <w:b/>
          <w:bCs/>
          <w:color w:val="000000" w:themeColor="text1"/>
          <w:lang w:val="mn-MN"/>
        </w:rPr>
        <w:t>“Практикт хэрэгжих боломж” шалгуур үзүүлэлтийн хүрээнд хийсэн үнэлгээ:</w:t>
      </w:r>
    </w:p>
    <w:p w14:paraId="2D6D2136" w14:textId="77777777" w:rsidR="00CA3AF8" w:rsidRPr="00601B43" w:rsidRDefault="00CA3AF8" w:rsidP="00CA3AF8">
      <w:pPr>
        <w:pStyle w:val="p2"/>
        <w:ind w:firstLine="567"/>
        <w:jc w:val="both"/>
        <w:rPr>
          <w:rFonts w:ascii="Arial" w:hAnsi="Arial" w:cs="Arial"/>
          <w:color w:val="000000" w:themeColor="text1"/>
          <w:lang w:val="mn-MN"/>
        </w:rPr>
      </w:pPr>
      <w:r w:rsidRPr="00601B43">
        <w:rPr>
          <w:rFonts w:ascii="Arial" w:hAnsi="Arial" w:cs="Arial"/>
          <w:color w:val="000000" w:themeColor="text1"/>
          <w:lang w:val="mn-MN"/>
        </w:rPr>
        <w:t>Банкны салбарын өнөөгийн үйл ажиллагаа, хөрөнгө оруулалтын бүтэц, зохицуулагч байгууллагын чиг үүргийг харгалзан үзэхэд уг хуулийн төсөл практикт хэрэгжих боломжтой байна. Арилжааны банкууд үнэт цаасанд хөрөнгө оруулалт хийх үйл ажиллагаа эрхэлдэг тул орон нутгийн үнэт цаасыг тодорхой шалгуур, хязгаарлалтын хүрээнд хөрөнгө оруулалтын хэрэгсэлд хамруулах боломж бүрдэнэ. Олон улсын практикт банк болон институцийн хөрөнгө оруулагчид орон нутгийн бондын зах зээлийн гол оролцогч байдаг нь Монгол Улсад энэ зохицуулалтыг хэрэгжүүлэх суурь нөхцөл байгааг харуулж байна. Хэрэгжилтийн эхний шатанд Монголбанкнаас холбогдох журам, эрсдэлийн төвлөрлийн хязгаар, зохистой харьцааны шаардлагыг тодорхойлох, банкууд дотоод бодлогоо нийцүүлэх шаардлага үүсэх боловч урт хугацаанд санхүүгийн зах зээлийн гүнзгийрэл, хөрөнгө оруулалтын үр ашиг нэмэгдэх нөхцөл бүрдэнэ. Иймд хуулийн төсөл батлагдсанаар практикт хэрэгжих боломжгүй ноцтой хүндрэл үүсэхгүй.</w:t>
      </w:r>
    </w:p>
    <w:p w14:paraId="4E9FDD72" w14:textId="77777777" w:rsidR="00CA3AF8" w:rsidRPr="00601B43" w:rsidRDefault="00CA3AF8" w:rsidP="00CA3AF8">
      <w:pPr>
        <w:pStyle w:val="Heading3"/>
        <w:ind w:firstLine="567"/>
        <w:jc w:val="center"/>
        <w:rPr>
          <w:rFonts w:ascii="Arial" w:hAnsi="Arial" w:cs="Arial"/>
          <w:b/>
          <w:bCs/>
          <w:color w:val="000000" w:themeColor="text1"/>
          <w:lang w:val="mn-MN"/>
        </w:rPr>
      </w:pPr>
      <w:r w:rsidRPr="00601B43">
        <w:rPr>
          <w:rStyle w:val="s1"/>
          <w:rFonts w:ascii="Arial" w:hAnsi="Arial" w:cs="Arial"/>
          <w:b/>
          <w:bCs/>
          <w:color w:val="000000" w:themeColor="text1"/>
          <w:lang w:val="mn-MN"/>
        </w:rPr>
        <w:t>“Ойлгомжтой байдлыг судлах” шалгуур үзүүлэлтийн хүрээнд хийсэн үнэлгээ:</w:t>
      </w:r>
    </w:p>
    <w:p w14:paraId="65FF4D88" w14:textId="77777777" w:rsidR="00CA3AF8" w:rsidRPr="00601B43" w:rsidRDefault="00CA3AF8" w:rsidP="00CA3AF8">
      <w:pPr>
        <w:pStyle w:val="p2"/>
        <w:ind w:firstLine="567"/>
        <w:jc w:val="both"/>
        <w:rPr>
          <w:rFonts w:ascii="Arial" w:hAnsi="Arial" w:cs="Arial"/>
          <w:color w:val="000000" w:themeColor="text1"/>
          <w:lang w:val="mn-MN"/>
        </w:rPr>
      </w:pPr>
      <w:r w:rsidRPr="00601B43">
        <w:rPr>
          <w:rFonts w:ascii="Arial" w:hAnsi="Arial" w:cs="Arial"/>
          <w:color w:val="000000" w:themeColor="text1"/>
          <w:lang w:val="mn-MN"/>
        </w:rPr>
        <w:t>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байдлаар үнэлэв. Хуулийн төсөлд “Аж ахуйн нэгжийн орлогын албан татварын тухай хуулийн 21.17-д заасан аймаг”, “орон нутгийн үнэт цаас”, “банкны хөрөнгө оруулалтын хязгаарлалт” зэрэг ойлголтыг тодорхой, давхардалгүйгээр тусгах шаардлагатай бөгөөд зохицуулалтын заалтуудыг банк, зохицуулагч байгууллагад ойлгомжтой байдлаар томьёолсон тохиолдолд хэрэгжилтийн явцад тайлбарын зөрүү, маргаан үүсэх эрсдэл буурна. Иймд хуулийн төслийг ойлгомжтой, хэрэгжүүлэхэд тодорхой байдлаар боловсруулах боломжтой гэж дүгнэв.</w:t>
      </w:r>
    </w:p>
    <w:p w14:paraId="0E4E428F" w14:textId="77777777" w:rsidR="00CA3AF8" w:rsidRPr="00601B43" w:rsidRDefault="00CA3AF8" w:rsidP="00CA3AF8">
      <w:pPr>
        <w:jc w:val="both"/>
        <w:rPr>
          <w:rFonts w:ascii="Arial" w:hAnsi="Arial" w:cs="Arial"/>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CA3AF8" w:rsidRPr="00601B43" w14:paraId="4A581674" w14:textId="77777777" w:rsidTr="00BE5E3C">
        <w:tc>
          <w:tcPr>
            <w:tcW w:w="9493" w:type="dxa"/>
            <w:gridSpan w:val="2"/>
            <w:shd w:val="clear" w:color="auto" w:fill="auto"/>
          </w:tcPr>
          <w:p w14:paraId="6B5C2DDB" w14:textId="77777777" w:rsidR="00CA3AF8" w:rsidRPr="00601B43" w:rsidRDefault="00CA3AF8" w:rsidP="00BE5E3C">
            <w:pPr>
              <w:jc w:val="center"/>
              <w:rPr>
                <w:rFonts w:ascii="Arial" w:hAnsi="Arial" w:cs="Arial"/>
                <w:b/>
                <w:lang w:val="mn-MN"/>
              </w:rPr>
            </w:pPr>
            <w:r w:rsidRPr="00601B43">
              <w:rPr>
                <w:rFonts w:ascii="Arial" w:hAnsi="Arial" w:cs="Arial"/>
                <w:b/>
                <w:lang w:val="mn-MN"/>
              </w:rPr>
              <w:lastRenderedPageBreak/>
              <w:t>Хууль тогтоомжийн тухай хуулийн 29 дүгээр зүйлд заасан Хуулийн төслийн эх бичвэрийн агуулгад тавих нийтлэг шаардлага</w:t>
            </w:r>
          </w:p>
        </w:tc>
      </w:tr>
      <w:tr w:rsidR="00CA3AF8" w:rsidRPr="00505289" w14:paraId="103E8276" w14:textId="77777777" w:rsidTr="00BE5E3C">
        <w:tc>
          <w:tcPr>
            <w:tcW w:w="5211" w:type="dxa"/>
            <w:shd w:val="clear" w:color="auto" w:fill="auto"/>
          </w:tcPr>
          <w:p w14:paraId="30624F8F" w14:textId="77777777" w:rsidR="00CA3AF8" w:rsidRPr="00601B43" w:rsidRDefault="00CA3AF8" w:rsidP="00BE5E3C">
            <w:pPr>
              <w:jc w:val="center"/>
              <w:rPr>
                <w:rFonts w:ascii="Arial" w:hAnsi="Arial" w:cs="Arial"/>
                <w:i/>
                <w:lang w:val="mn-MN"/>
              </w:rPr>
            </w:pPr>
            <w:r w:rsidRPr="00505289">
              <w:rPr>
                <w:rFonts w:ascii="Arial" w:hAnsi="Arial" w:cs="Arial"/>
                <w:i/>
                <w:lang w:val="mn-MN"/>
              </w:rPr>
              <w:t>Хууль тогтоомжийн тухай хуулийн зохицуулалт</w:t>
            </w:r>
          </w:p>
        </w:tc>
        <w:tc>
          <w:tcPr>
            <w:tcW w:w="4282" w:type="dxa"/>
            <w:shd w:val="clear" w:color="auto" w:fill="auto"/>
          </w:tcPr>
          <w:p w14:paraId="4692FE9C" w14:textId="77777777" w:rsidR="00CA3AF8" w:rsidRPr="00505289" w:rsidRDefault="00CA3AF8" w:rsidP="00BE5E3C">
            <w:pPr>
              <w:jc w:val="center"/>
              <w:rPr>
                <w:rFonts w:ascii="Arial" w:hAnsi="Arial" w:cs="Arial"/>
                <w:i/>
                <w:lang w:val="mn-MN"/>
              </w:rPr>
            </w:pPr>
            <w:r w:rsidRPr="00505289">
              <w:rPr>
                <w:rFonts w:ascii="Arial" w:hAnsi="Arial" w:cs="Arial"/>
                <w:i/>
                <w:lang w:val="mn-MN"/>
              </w:rPr>
              <w:t>Шаардлага хангасан эсэх</w:t>
            </w:r>
          </w:p>
        </w:tc>
      </w:tr>
      <w:tr w:rsidR="00CA3AF8" w:rsidRPr="00505289" w14:paraId="4F45CE3E" w14:textId="77777777" w:rsidTr="00BE5E3C">
        <w:trPr>
          <w:trHeight w:val="1141"/>
        </w:trPr>
        <w:tc>
          <w:tcPr>
            <w:tcW w:w="5211" w:type="dxa"/>
            <w:shd w:val="clear" w:color="auto" w:fill="auto"/>
          </w:tcPr>
          <w:p w14:paraId="491FAFE6" w14:textId="77777777" w:rsidR="00CA3AF8" w:rsidRPr="00505289" w:rsidRDefault="00CA3AF8" w:rsidP="00BE5E3C">
            <w:pPr>
              <w:jc w:val="both"/>
              <w:rPr>
                <w:rFonts w:ascii="Arial" w:hAnsi="Arial" w:cs="Arial"/>
              </w:rPr>
            </w:pPr>
            <w:r w:rsidRPr="00505289">
              <w:rPr>
                <w:rFonts w:ascii="Arial" w:hAnsi="Arial" w:cs="Arial"/>
              </w:rPr>
              <w:t>29.1.</w:t>
            </w:r>
            <w:proofErr w:type="gramStart"/>
            <w:r w:rsidRPr="00505289">
              <w:rPr>
                <w:rFonts w:ascii="Arial" w:hAnsi="Arial" w:cs="Arial"/>
              </w:rPr>
              <w:t>1.Монгол</w:t>
            </w:r>
            <w:proofErr w:type="gramEnd"/>
            <w:r w:rsidRPr="00505289">
              <w:rPr>
                <w:rFonts w:ascii="Arial" w:hAnsi="Arial" w:cs="Arial"/>
              </w:rPr>
              <w:t xml:space="preserve"> Улсын Үндсэн хууль, Монгол Улсын олон улсын гэрээнд нийцсэн, бусад хууль, үндэсний аюулгүй байдлын үзэл баримтлалтай уялдсан байх;</w:t>
            </w:r>
          </w:p>
        </w:tc>
        <w:tc>
          <w:tcPr>
            <w:tcW w:w="4282" w:type="dxa"/>
            <w:shd w:val="clear" w:color="auto" w:fill="auto"/>
          </w:tcPr>
          <w:p w14:paraId="5FABEBE3" w14:textId="77777777" w:rsidR="00CA3AF8" w:rsidRPr="00505289" w:rsidRDefault="00CA3AF8" w:rsidP="00BE5E3C">
            <w:pPr>
              <w:jc w:val="both"/>
              <w:rPr>
                <w:rFonts w:ascii="Arial" w:hAnsi="Arial" w:cs="Arial"/>
                <w:lang w:val="mn-MN"/>
              </w:rPr>
            </w:pPr>
            <w:r w:rsidRPr="00505289">
              <w:rPr>
                <w:rFonts w:ascii="Arial" w:hAnsi="Arial" w:cs="Arial"/>
                <w:lang w:val="mn-MN"/>
              </w:rPr>
              <w:t>Шаардлага хангасан.</w:t>
            </w:r>
          </w:p>
          <w:p w14:paraId="61853B6E" w14:textId="77777777" w:rsidR="00CA3AF8" w:rsidRPr="00505289" w:rsidRDefault="00CA3AF8" w:rsidP="00BE5E3C">
            <w:pPr>
              <w:jc w:val="both"/>
              <w:rPr>
                <w:rFonts w:ascii="Arial" w:hAnsi="Arial" w:cs="Arial"/>
                <w:color w:val="FF0000"/>
                <w:lang w:val="mn-MN"/>
              </w:rPr>
            </w:pPr>
          </w:p>
        </w:tc>
      </w:tr>
      <w:tr w:rsidR="00CA3AF8" w:rsidRPr="00505289" w14:paraId="54D0B527" w14:textId="77777777" w:rsidTr="00BE5E3C">
        <w:trPr>
          <w:trHeight w:val="64"/>
        </w:trPr>
        <w:tc>
          <w:tcPr>
            <w:tcW w:w="5211" w:type="dxa"/>
            <w:shd w:val="clear" w:color="auto" w:fill="auto"/>
          </w:tcPr>
          <w:p w14:paraId="4405EDD9" w14:textId="77777777" w:rsidR="00CA3AF8" w:rsidRPr="00505289" w:rsidRDefault="00CA3AF8" w:rsidP="00BE5E3C">
            <w:pPr>
              <w:jc w:val="both"/>
              <w:rPr>
                <w:rFonts w:ascii="Arial" w:hAnsi="Arial" w:cs="Arial"/>
                <w:lang w:val="mn-MN"/>
              </w:rPr>
            </w:pPr>
            <w:r w:rsidRPr="00505289">
              <w:rPr>
                <w:rFonts w:ascii="Arial"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3282890E" w14:textId="77777777" w:rsidR="00CA3AF8" w:rsidRPr="00505289" w:rsidRDefault="00CA3AF8" w:rsidP="00BE5E3C">
            <w:pPr>
              <w:jc w:val="both"/>
              <w:rPr>
                <w:rFonts w:ascii="Arial" w:hAnsi="Arial" w:cs="Arial"/>
                <w:lang w:val="mn-MN"/>
              </w:rPr>
            </w:pPr>
            <w:r w:rsidRPr="00505289">
              <w:rPr>
                <w:rFonts w:ascii="Arial" w:hAnsi="Arial" w:cs="Arial"/>
                <w:lang w:val="mn-MN"/>
              </w:rPr>
              <w:t>Шаардлага хангасан.</w:t>
            </w:r>
          </w:p>
        </w:tc>
      </w:tr>
      <w:tr w:rsidR="00CA3AF8" w:rsidRPr="00505289" w14:paraId="484163BA" w14:textId="77777777" w:rsidTr="00BE5E3C">
        <w:tc>
          <w:tcPr>
            <w:tcW w:w="5211" w:type="dxa"/>
            <w:shd w:val="clear" w:color="auto" w:fill="auto"/>
          </w:tcPr>
          <w:p w14:paraId="65C2758D" w14:textId="77777777" w:rsidR="00CA3AF8" w:rsidRPr="00505289" w:rsidRDefault="00CA3AF8" w:rsidP="00BE5E3C">
            <w:pPr>
              <w:jc w:val="both"/>
              <w:rPr>
                <w:rFonts w:ascii="Arial" w:hAnsi="Arial" w:cs="Arial"/>
                <w:lang w:val="mn-MN"/>
              </w:rPr>
            </w:pPr>
            <w:r w:rsidRPr="00505289">
              <w:rPr>
                <w:rFonts w:ascii="Arial" w:hAnsi="Arial" w:cs="Arial"/>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7024A100" w14:textId="77777777" w:rsidR="00CA3AF8" w:rsidRPr="00505289" w:rsidRDefault="00CA3AF8" w:rsidP="00BE5E3C">
            <w:pPr>
              <w:jc w:val="both"/>
              <w:rPr>
                <w:rFonts w:ascii="Arial" w:hAnsi="Arial" w:cs="Arial"/>
                <w:lang w:val="mn-MN"/>
              </w:rPr>
            </w:pPr>
            <w:r w:rsidRPr="00505289">
              <w:rPr>
                <w:rFonts w:ascii="Arial" w:hAnsi="Arial" w:cs="Arial"/>
              </w:rPr>
              <w:t>Шаардлага хангасан</w:t>
            </w:r>
            <w:r w:rsidRPr="00505289">
              <w:rPr>
                <w:rFonts w:ascii="Arial" w:hAnsi="Arial" w:cs="Arial"/>
                <w:lang w:val="mn-MN"/>
              </w:rPr>
              <w:t>.</w:t>
            </w:r>
          </w:p>
        </w:tc>
      </w:tr>
      <w:tr w:rsidR="00CA3AF8" w:rsidRPr="00505289" w14:paraId="180D3292" w14:textId="77777777" w:rsidTr="00BE5E3C">
        <w:tc>
          <w:tcPr>
            <w:tcW w:w="5211" w:type="dxa"/>
            <w:shd w:val="clear" w:color="auto" w:fill="auto"/>
          </w:tcPr>
          <w:p w14:paraId="0F9BB19D" w14:textId="77777777" w:rsidR="00CA3AF8" w:rsidRPr="00505289" w:rsidRDefault="00CA3AF8" w:rsidP="00BE5E3C">
            <w:pPr>
              <w:jc w:val="both"/>
              <w:rPr>
                <w:rFonts w:ascii="Arial" w:hAnsi="Arial" w:cs="Arial"/>
                <w:lang w:val="mn-MN"/>
              </w:rPr>
            </w:pPr>
            <w:r w:rsidRPr="00505289">
              <w:rPr>
                <w:rFonts w:ascii="Arial" w:hAnsi="Arial" w:cs="Arial"/>
              </w:rPr>
              <w:t>29.1.</w:t>
            </w:r>
            <w:proofErr w:type="gramStart"/>
            <w:r w:rsidRPr="00505289">
              <w:rPr>
                <w:rFonts w:ascii="Arial" w:hAnsi="Arial" w:cs="Arial"/>
              </w:rPr>
              <w:t>4.тухайн</w:t>
            </w:r>
            <w:proofErr w:type="gramEnd"/>
            <w:r w:rsidRPr="00505289">
              <w:rPr>
                <w:rFonts w:ascii="Arial" w:hAnsi="Arial" w:cs="Arial"/>
              </w:rPr>
              <w:t xml:space="preserve">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282" w:type="dxa"/>
            <w:shd w:val="clear" w:color="auto" w:fill="auto"/>
          </w:tcPr>
          <w:p w14:paraId="62F97BBF" w14:textId="77777777" w:rsidR="00CA3AF8" w:rsidRPr="00505289" w:rsidRDefault="00CA3AF8" w:rsidP="00BE5E3C">
            <w:pPr>
              <w:jc w:val="both"/>
              <w:rPr>
                <w:rFonts w:ascii="Arial" w:hAnsi="Arial" w:cs="Arial"/>
                <w:lang w:val="mn-MN"/>
              </w:rPr>
            </w:pPr>
            <w:r w:rsidRPr="00505289">
              <w:rPr>
                <w:rFonts w:ascii="Arial" w:hAnsi="Arial" w:cs="Arial"/>
                <w:lang w:val="mn-MN"/>
              </w:rPr>
              <w:t>Шаардлага хангасан.</w:t>
            </w:r>
          </w:p>
        </w:tc>
      </w:tr>
      <w:tr w:rsidR="00CA3AF8" w:rsidRPr="00505289" w14:paraId="3CCD90B7" w14:textId="77777777" w:rsidTr="00BE5E3C">
        <w:tc>
          <w:tcPr>
            <w:tcW w:w="5211" w:type="dxa"/>
            <w:shd w:val="clear" w:color="auto" w:fill="auto"/>
          </w:tcPr>
          <w:p w14:paraId="4D59B8E5" w14:textId="77777777" w:rsidR="00CA3AF8" w:rsidRPr="00505289" w:rsidRDefault="00CA3AF8" w:rsidP="00BE5E3C">
            <w:pPr>
              <w:jc w:val="both"/>
              <w:rPr>
                <w:rFonts w:ascii="Arial" w:hAnsi="Arial" w:cs="Arial"/>
              </w:rPr>
            </w:pPr>
            <w:r w:rsidRPr="00505289">
              <w:rPr>
                <w:rFonts w:ascii="Arial" w:hAnsi="Arial" w:cs="Arial"/>
              </w:rPr>
              <w:t>29.1.</w:t>
            </w:r>
            <w:proofErr w:type="gramStart"/>
            <w:r w:rsidRPr="00505289">
              <w:rPr>
                <w:rFonts w:ascii="Arial" w:hAnsi="Arial" w:cs="Arial"/>
              </w:rPr>
              <w:t>5.зүйл</w:t>
            </w:r>
            <w:proofErr w:type="gramEnd"/>
            <w:r w:rsidRPr="00505289">
              <w:rPr>
                <w:rFonts w:ascii="Arial" w:hAnsi="Arial" w:cs="Arial"/>
              </w:rPr>
              <w:t>, хэсэг, заалт нь хоорондоо зөрчилгүй байх;</w:t>
            </w:r>
          </w:p>
        </w:tc>
        <w:tc>
          <w:tcPr>
            <w:tcW w:w="4282" w:type="dxa"/>
            <w:shd w:val="clear" w:color="auto" w:fill="auto"/>
          </w:tcPr>
          <w:p w14:paraId="06170954" w14:textId="77777777" w:rsidR="00CA3AF8" w:rsidRPr="00505289" w:rsidRDefault="00CA3AF8" w:rsidP="00BE5E3C">
            <w:pPr>
              <w:jc w:val="both"/>
              <w:rPr>
                <w:rFonts w:ascii="Arial" w:hAnsi="Arial" w:cs="Arial"/>
                <w:i/>
                <w:lang w:val="mn-MN"/>
              </w:rPr>
            </w:pPr>
            <w:r w:rsidRPr="00505289">
              <w:rPr>
                <w:rFonts w:ascii="Arial" w:hAnsi="Arial" w:cs="Arial"/>
                <w:lang w:val="mn-MN"/>
              </w:rPr>
              <w:t xml:space="preserve">Зөрчилгүй.  </w:t>
            </w:r>
          </w:p>
        </w:tc>
      </w:tr>
      <w:tr w:rsidR="00CA3AF8" w:rsidRPr="00505289" w14:paraId="2D1CAB3A" w14:textId="77777777" w:rsidTr="00BE5E3C">
        <w:tc>
          <w:tcPr>
            <w:tcW w:w="5211" w:type="dxa"/>
            <w:shd w:val="clear" w:color="auto" w:fill="auto"/>
          </w:tcPr>
          <w:p w14:paraId="353594F9" w14:textId="77777777" w:rsidR="00CA3AF8" w:rsidRPr="00505289" w:rsidRDefault="00CA3AF8" w:rsidP="00BE5E3C">
            <w:pPr>
              <w:jc w:val="both"/>
              <w:rPr>
                <w:rFonts w:ascii="Arial" w:hAnsi="Arial" w:cs="Arial"/>
                <w:lang w:val="mn-MN"/>
              </w:rPr>
            </w:pPr>
            <w:r w:rsidRPr="00505289">
              <w:rPr>
                <w:rFonts w:ascii="Arial"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63A0DBC9" w14:textId="77777777" w:rsidR="00CA3AF8" w:rsidRPr="00505289" w:rsidRDefault="00CA3AF8" w:rsidP="00BE5E3C">
            <w:pPr>
              <w:jc w:val="both"/>
              <w:rPr>
                <w:rFonts w:ascii="Arial" w:hAnsi="Arial" w:cs="Arial"/>
              </w:rPr>
            </w:pPr>
            <w:r w:rsidRPr="00505289">
              <w:rPr>
                <w:rFonts w:ascii="Arial" w:hAnsi="Arial" w:cs="Arial"/>
              </w:rPr>
              <w:t>Шаардлага хангасан</w:t>
            </w:r>
            <w:r w:rsidRPr="00505289">
              <w:rPr>
                <w:rFonts w:ascii="Arial" w:hAnsi="Arial" w:cs="Arial"/>
                <w:lang w:val="mn-MN"/>
              </w:rPr>
              <w:t>.</w:t>
            </w:r>
            <w:r w:rsidRPr="00505289">
              <w:rPr>
                <w:rFonts w:ascii="Arial" w:hAnsi="Arial" w:cs="Arial"/>
              </w:rPr>
              <w:t xml:space="preserve"> </w:t>
            </w:r>
          </w:p>
        </w:tc>
      </w:tr>
      <w:tr w:rsidR="00CA3AF8" w:rsidRPr="00505289" w14:paraId="60E7A29A" w14:textId="77777777" w:rsidTr="00BE5E3C">
        <w:tc>
          <w:tcPr>
            <w:tcW w:w="5211" w:type="dxa"/>
            <w:shd w:val="clear" w:color="auto" w:fill="auto"/>
          </w:tcPr>
          <w:p w14:paraId="3FE1978D" w14:textId="77777777" w:rsidR="00CA3AF8" w:rsidRPr="00505289" w:rsidRDefault="00CA3AF8" w:rsidP="00BE5E3C">
            <w:pPr>
              <w:jc w:val="both"/>
              <w:rPr>
                <w:rFonts w:ascii="Arial" w:hAnsi="Arial" w:cs="Arial"/>
              </w:rPr>
            </w:pPr>
            <w:r w:rsidRPr="00505289">
              <w:rPr>
                <w:rFonts w:ascii="Arial" w:hAnsi="Arial" w:cs="Arial"/>
              </w:rPr>
              <w:t>29.1.</w:t>
            </w:r>
            <w:proofErr w:type="gramStart"/>
            <w:r w:rsidRPr="00505289">
              <w:rPr>
                <w:rFonts w:ascii="Arial" w:hAnsi="Arial" w:cs="Arial"/>
              </w:rPr>
              <w:t>7.бусад</w:t>
            </w:r>
            <w:proofErr w:type="gramEnd"/>
            <w:r w:rsidRPr="00505289">
              <w:rPr>
                <w:rFonts w:ascii="Arial" w:hAnsi="Arial" w:cs="Arial"/>
              </w:rPr>
              <w:t xml:space="preserve">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282" w:type="dxa"/>
            <w:shd w:val="clear" w:color="auto" w:fill="auto"/>
          </w:tcPr>
          <w:p w14:paraId="4C7FE100" w14:textId="77777777" w:rsidR="00CA3AF8" w:rsidRPr="00505289" w:rsidRDefault="00CA3AF8" w:rsidP="00BE5E3C">
            <w:pPr>
              <w:jc w:val="both"/>
              <w:rPr>
                <w:rFonts w:ascii="Arial" w:hAnsi="Arial" w:cs="Arial"/>
                <w:lang w:val="mn-MN"/>
              </w:rPr>
            </w:pPr>
            <w:r w:rsidRPr="00505289">
              <w:rPr>
                <w:rFonts w:ascii="Arial" w:hAnsi="Arial" w:cs="Arial"/>
                <w:lang w:val="mn-MN"/>
              </w:rPr>
              <w:t>Шаардлага хангасан.</w:t>
            </w:r>
          </w:p>
        </w:tc>
      </w:tr>
      <w:tr w:rsidR="00CA3AF8" w:rsidRPr="00505289" w14:paraId="158D55A3" w14:textId="77777777" w:rsidTr="00BE5E3C">
        <w:tc>
          <w:tcPr>
            <w:tcW w:w="5211" w:type="dxa"/>
            <w:shd w:val="clear" w:color="auto" w:fill="auto"/>
          </w:tcPr>
          <w:p w14:paraId="3155D379" w14:textId="77777777" w:rsidR="00CA3AF8" w:rsidRPr="00505289" w:rsidRDefault="00CA3AF8" w:rsidP="00BE5E3C">
            <w:pPr>
              <w:jc w:val="both"/>
              <w:rPr>
                <w:rFonts w:ascii="Arial" w:hAnsi="Arial" w:cs="Arial"/>
              </w:rPr>
            </w:pPr>
            <w:r w:rsidRPr="00505289">
              <w:rPr>
                <w:rFonts w:ascii="Arial" w:hAnsi="Arial" w:cs="Arial"/>
              </w:rPr>
              <w:t>29.1.</w:t>
            </w:r>
            <w:proofErr w:type="gramStart"/>
            <w:r w:rsidRPr="00505289">
              <w:rPr>
                <w:rFonts w:ascii="Arial" w:hAnsi="Arial" w:cs="Arial"/>
              </w:rPr>
              <w:t>8.тухайн</w:t>
            </w:r>
            <w:proofErr w:type="gramEnd"/>
            <w:r w:rsidRPr="00505289">
              <w:rPr>
                <w:rFonts w:ascii="Arial" w:hAnsi="Arial" w:cs="Arial"/>
              </w:rPr>
              <w:t xml:space="preserve">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282" w:type="dxa"/>
            <w:shd w:val="clear" w:color="auto" w:fill="auto"/>
          </w:tcPr>
          <w:p w14:paraId="449EA784" w14:textId="77777777" w:rsidR="00CA3AF8" w:rsidRPr="00505289" w:rsidRDefault="00CA3AF8" w:rsidP="00BE5E3C">
            <w:pPr>
              <w:jc w:val="both"/>
              <w:rPr>
                <w:rFonts w:ascii="Arial" w:hAnsi="Arial" w:cs="Arial"/>
                <w:lang w:val="mn-MN"/>
              </w:rPr>
            </w:pPr>
            <w:r w:rsidRPr="00505289">
              <w:rPr>
                <w:rFonts w:ascii="Arial" w:hAnsi="Arial" w:cs="Arial"/>
                <w:lang w:val="mn-MN"/>
              </w:rPr>
              <w:t>Шаардлага хангасан.</w:t>
            </w:r>
          </w:p>
        </w:tc>
      </w:tr>
      <w:tr w:rsidR="00CA3AF8" w:rsidRPr="00505289" w14:paraId="7A6C4B7D" w14:textId="77777777" w:rsidTr="00BE5E3C">
        <w:tc>
          <w:tcPr>
            <w:tcW w:w="5211" w:type="dxa"/>
            <w:shd w:val="clear" w:color="auto" w:fill="auto"/>
          </w:tcPr>
          <w:p w14:paraId="6A1B0A28" w14:textId="77777777" w:rsidR="00CA3AF8" w:rsidRPr="00505289" w:rsidRDefault="00CA3AF8" w:rsidP="00BE5E3C">
            <w:pPr>
              <w:jc w:val="both"/>
              <w:rPr>
                <w:rFonts w:ascii="Arial" w:hAnsi="Arial" w:cs="Arial"/>
              </w:rPr>
            </w:pPr>
            <w:r w:rsidRPr="00505289">
              <w:rPr>
                <w:rFonts w:ascii="Arial" w:hAnsi="Arial" w:cs="Arial"/>
              </w:rPr>
              <w:t>29.1.</w:t>
            </w:r>
            <w:proofErr w:type="gramStart"/>
            <w:r w:rsidRPr="00505289">
              <w:rPr>
                <w:rFonts w:ascii="Arial" w:hAnsi="Arial" w:cs="Arial"/>
              </w:rPr>
              <w:t>9.шаардлагатай</w:t>
            </w:r>
            <w:proofErr w:type="gramEnd"/>
            <w:r w:rsidRPr="00505289">
              <w:rPr>
                <w:rFonts w:ascii="Arial" w:hAnsi="Arial" w:cs="Arial"/>
              </w:rPr>
              <w:t xml:space="preserve">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282" w:type="dxa"/>
            <w:shd w:val="clear" w:color="auto" w:fill="auto"/>
          </w:tcPr>
          <w:p w14:paraId="2A61865C" w14:textId="77777777" w:rsidR="00CA3AF8" w:rsidRPr="00505289" w:rsidRDefault="00CA3AF8" w:rsidP="00BE5E3C">
            <w:pPr>
              <w:jc w:val="both"/>
              <w:rPr>
                <w:rFonts w:ascii="Arial" w:hAnsi="Arial" w:cs="Arial"/>
                <w:lang w:val="mn-MN"/>
              </w:rPr>
            </w:pPr>
            <w:r w:rsidRPr="00505289">
              <w:rPr>
                <w:rFonts w:ascii="Arial" w:hAnsi="Arial" w:cs="Arial"/>
                <w:lang w:val="mn-MN"/>
              </w:rPr>
              <w:t xml:space="preserve"> Шаардлагагүй.</w:t>
            </w:r>
          </w:p>
        </w:tc>
      </w:tr>
      <w:tr w:rsidR="00CA3AF8" w:rsidRPr="00505289" w14:paraId="7A0EEA2A" w14:textId="77777777" w:rsidTr="00BE5E3C">
        <w:tc>
          <w:tcPr>
            <w:tcW w:w="5211" w:type="dxa"/>
            <w:shd w:val="clear" w:color="auto" w:fill="auto"/>
          </w:tcPr>
          <w:p w14:paraId="2798F2F9" w14:textId="77777777" w:rsidR="00CA3AF8" w:rsidRPr="00505289" w:rsidRDefault="00CA3AF8" w:rsidP="00BE5E3C">
            <w:pPr>
              <w:jc w:val="both"/>
              <w:rPr>
                <w:rFonts w:ascii="Arial" w:hAnsi="Arial" w:cs="Arial"/>
                <w:lang w:val="mn-MN"/>
              </w:rPr>
            </w:pPr>
            <w:r w:rsidRPr="00505289">
              <w:rPr>
                <w:rFonts w:ascii="Arial" w:hAnsi="Arial" w:cs="Arial"/>
                <w:lang w:val="mn-MN"/>
              </w:rPr>
              <w:lastRenderedPageBreak/>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31ADF7F9" w14:textId="77777777" w:rsidR="00CA3AF8" w:rsidRPr="00505289" w:rsidRDefault="00CA3AF8" w:rsidP="00BE5E3C">
            <w:pPr>
              <w:jc w:val="both"/>
              <w:rPr>
                <w:rFonts w:ascii="Arial" w:hAnsi="Arial" w:cs="Arial"/>
                <w:lang w:val="mn-MN"/>
              </w:rPr>
            </w:pPr>
            <w:r w:rsidRPr="00505289">
              <w:rPr>
                <w:rFonts w:ascii="Arial" w:hAnsi="Arial" w:cs="Arial"/>
                <w:lang w:val="mn-MN"/>
              </w:rPr>
              <w:t>Шаардлагагүй.</w:t>
            </w:r>
          </w:p>
        </w:tc>
      </w:tr>
      <w:tr w:rsidR="00CA3AF8" w:rsidRPr="00505289" w14:paraId="3FA25323" w14:textId="77777777" w:rsidTr="00BE5E3C">
        <w:tc>
          <w:tcPr>
            <w:tcW w:w="5211" w:type="dxa"/>
            <w:shd w:val="clear" w:color="auto" w:fill="auto"/>
          </w:tcPr>
          <w:p w14:paraId="293A3DE0" w14:textId="77777777" w:rsidR="00CA3AF8" w:rsidRPr="00505289" w:rsidRDefault="00CA3AF8" w:rsidP="00BE5E3C">
            <w:pPr>
              <w:jc w:val="both"/>
              <w:rPr>
                <w:rFonts w:ascii="Arial" w:hAnsi="Arial" w:cs="Arial"/>
                <w:lang w:val="mn-MN"/>
              </w:rPr>
            </w:pPr>
            <w:r w:rsidRPr="00505289">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3A649484" w14:textId="77777777" w:rsidR="00CA3AF8" w:rsidRPr="00505289" w:rsidRDefault="00CA3AF8" w:rsidP="00BE5E3C">
            <w:pPr>
              <w:jc w:val="both"/>
              <w:rPr>
                <w:rFonts w:ascii="Arial" w:hAnsi="Arial" w:cs="Arial"/>
                <w:lang w:val="mn-MN"/>
              </w:rPr>
            </w:pPr>
            <w:r w:rsidRPr="00505289">
              <w:rPr>
                <w:rFonts w:ascii="Arial" w:hAnsi="Arial" w:cs="Arial"/>
                <w:lang w:val="mn-MN"/>
              </w:rPr>
              <w:t xml:space="preserve"> Шаардлагагүй.</w:t>
            </w:r>
          </w:p>
        </w:tc>
      </w:tr>
      <w:tr w:rsidR="00CA3AF8" w:rsidRPr="00505289" w14:paraId="5875597C" w14:textId="77777777" w:rsidTr="00BE5E3C">
        <w:tc>
          <w:tcPr>
            <w:tcW w:w="9493" w:type="dxa"/>
            <w:gridSpan w:val="2"/>
            <w:shd w:val="clear" w:color="auto" w:fill="auto"/>
          </w:tcPr>
          <w:p w14:paraId="515C2E9F" w14:textId="77777777" w:rsidR="00CA3AF8" w:rsidRPr="00505289" w:rsidRDefault="00CA3AF8" w:rsidP="00BE5E3C">
            <w:pPr>
              <w:jc w:val="both"/>
              <w:rPr>
                <w:rFonts w:ascii="Arial" w:hAnsi="Arial" w:cs="Arial"/>
                <w:b/>
                <w:lang w:val="mn-MN"/>
              </w:rPr>
            </w:pPr>
            <w:r w:rsidRPr="00505289">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CA3AF8" w:rsidRPr="00505289" w14:paraId="58F8323C" w14:textId="77777777" w:rsidTr="00BE5E3C">
        <w:tc>
          <w:tcPr>
            <w:tcW w:w="5211" w:type="dxa"/>
            <w:shd w:val="clear" w:color="auto" w:fill="auto"/>
          </w:tcPr>
          <w:p w14:paraId="28F6CE14" w14:textId="77777777" w:rsidR="00CA3AF8" w:rsidRPr="00505289" w:rsidRDefault="00CA3AF8" w:rsidP="00BE5E3C">
            <w:pPr>
              <w:jc w:val="both"/>
              <w:rPr>
                <w:rFonts w:ascii="Arial" w:hAnsi="Arial" w:cs="Arial"/>
                <w:lang w:val="mn-MN"/>
              </w:rPr>
            </w:pPr>
            <w:r w:rsidRPr="00505289">
              <w:rPr>
                <w:rFonts w:ascii="Arial" w:hAnsi="Arial" w:cs="Arial"/>
                <w:lang w:val="mn-MN"/>
              </w:rPr>
              <w:t>30.1.1.Монгол Улсын Үндсэн хууль, бусад хуульд хэрэглэсэн нэр томьёог хэрэглэх;</w:t>
            </w:r>
          </w:p>
        </w:tc>
        <w:tc>
          <w:tcPr>
            <w:tcW w:w="4282" w:type="dxa"/>
            <w:shd w:val="clear" w:color="auto" w:fill="auto"/>
          </w:tcPr>
          <w:p w14:paraId="1F4C9B8D" w14:textId="77777777" w:rsidR="00CA3AF8" w:rsidRPr="00505289" w:rsidRDefault="00CA3AF8" w:rsidP="00BE5E3C">
            <w:pPr>
              <w:jc w:val="both"/>
              <w:rPr>
                <w:rFonts w:ascii="Arial" w:hAnsi="Arial" w:cs="Arial"/>
                <w:i/>
                <w:lang w:val="mn-MN"/>
              </w:rPr>
            </w:pPr>
            <w:r w:rsidRPr="00505289">
              <w:rPr>
                <w:rFonts w:ascii="Arial" w:hAnsi="Arial" w:cs="Arial"/>
                <w:lang w:val="mn-MN"/>
              </w:rPr>
              <w:t>Шаардлага хангасан.</w:t>
            </w:r>
          </w:p>
        </w:tc>
      </w:tr>
      <w:tr w:rsidR="00CA3AF8" w:rsidRPr="00505289" w14:paraId="3F478D6F" w14:textId="77777777" w:rsidTr="00BE5E3C">
        <w:tc>
          <w:tcPr>
            <w:tcW w:w="5211" w:type="dxa"/>
            <w:shd w:val="clear" w:color="auto" w:fill="auto"/>
          </w:tcPr>
          <w:p w14:paraId="44AC029C" w14:textId="77777777" w:rsidR="00CA3AF8" w:rsidRPr="00505289" w:rsidRDefault="00CA3AF8" w:rsidP="00BE5E3C">
            <w:pPr>
              <w:jc w:val="both"/>
              <w:rPr>
                <w:rFonts w:ascii="Arial" w:hAnsi="Arial" w:cs="Arial"/>
                <w:lang w:val="mn-MN"/>
              </w:rPr>
            </w:pPr>
            <w:r w:rsidRPr="00505289">
              <w:rPr>
                <w:rFonts w:ascii="Arial" w:hAnsi="Arial" w:cs="Arial"/>
                <w:lang w:val="mn-MN"/>
              </w:rPr>
              <w:t>30.1.2.нэг нэр томьёогоор өөр өөр ойлголтыг илэрхийлэхгүй байх;</w:t>
            </w:r>
          </w:p>
        </w:tc>
        <w:tc>
          <w:tcPr>
            <w:tcW w:w="4282" w:type="dxa"/>
            <w:shd w:val="clear" w:color="auto" w:fill="auto"/>
          </w:tcPr>
          <w:p w14:paraId="15ECFA35" w14:textId="77777777" w:rsidR="00CA3AF8" w:rsidRPr="00505289" w:rsidRDefault="00CA3AF8" w:rsidP="00BE5E3C">
            <w:pPr>
              <w:jc w:val="both"/>
              <w:rPr>
                <w:rFonts w:ascii="Arial" w:hAnsi="Arial" w:cs="Arial"/>
              </w:rPr>
            </w:pPr>
            <w:r w:rsidRPr="00505289">
              <w:rPr>
                <w:rFonts w:ascii="Arial" w:hAnsi="Arial" w:cs="Arial"/>
              </w:rPr>
              <w:t>Шаардлага хангасан</w:t>
            </w:r>
            <w:r w:rsidRPr="00505289">
              <w:rPr>
                <w:rFonts w:ascii="Arial" w:hAnsi="Arial" w:cs="Arial"/>
                <w:lang w:val="mn-MN"/>
              </w:rPr>
              <w:t>.</w:t>
            </w:r>
            <w:r w:rsidRPr="00505289">
              <w:rPr>
                <w:rFonts w:ascii="Arial" w:hAnsi="Arial" w:cs="Arial"/>
              </w:rPr>
              <w:t xml:space="preserve"> </w:t>
            </w:r>
          </w:p>
        </w:tc>
      </w:tr>
      <w:tr w:rsidR="00CA3AF8" w:rsidRPr="00505289" w14:paraId="6EC892B0" w14:textId="77777777" w:rsidTr="00BE5E3C">
        <w:tc>
          <w:tcPr>
            <w:tcW w:w="5211" w:type="dxa"/>
            <w:shd w:val="clear" w:color="auto" w:fill="auto"/>
          </w:tcPr>
          <w:p w14:paraId="3709AE6C" w14:textId="77777777" w:rsidR="00CA3AF8" w:rsidRPr="00505289" w:rsidRDefault="00CA3AF8" w:rsidP="00BE5E3C">
            <w:pPr>
              <w:jc w:val="both"/>
              <w:rPr>
                <w:rFonts w:ascii="Arial" w:hAnsi="Arial" w:cs="Arial"/>
              </w:rPr>
            </w:pPr>
            <w:r w:rsidRPr="00505289">
              <w:rPr>
                <w:rFonts w:ascii="Arial" w:hAnsi="Arial" w:cs="Arial"/>
              </w:rPr>
              <w:t>30.1.</w:t>
            </w:r>
            <w:proofErr w:type="gramStart"/>
            <w:r w:rsidRPr="00505289">
              <w:rPr>
                <w:rFonts w:ascii="Arial" w:hAnsi="Arial" w:cs="Arial"/>
              </w:rPr>
              <w:t>3.үг</w:t>
            </w:r>
            <w:proofErr w:type="gramEnd"/>
            <w:r w:rsidRPr="00505289">
              <w:rPr>
                <w:rFonts w:ascii="Arial" w:hAnsi="Arial" w:cs="Arial"/>
              </w:rPr>
              <w:t xml:space="preserve"> хэллэгийг монгол хэл бичгийн дүрэмд нийцүүлэн хоёрдмол утгагүй товч, тодорхой, ойлгоход хялбараар бичих;</w:t>
            </w:r>
          </w:p>
        </w:tc>
        <w:tc>
          <w:tcPr>
            <w:tcW w:w="4282" w:type="dxa"/>
            <w:shd w:val="clear" w:color="auto" w:fill="auto"/>
          </w:tcPr>
          <w:p w14:paraId="09752993" w14:textId="77777777" w:rsidR="00CA3AF8" w:rsidRPr="00505289" w:rsidRDefault="00CA3AF8" w:rsidP="00BE5E3C">
            <w:pPr>
              <w:jc w:val="both"/>
              <w:rPr>
                <w:rFonts w:ascii="Arial" w:hAnsi="Arial" w:cs="Arial"/>
                <w:lang w:val="mn-MN"/>
              </w:rPr>
            </w:pPr>
            <w:r w:rsidRPr="00505289">
              <w:rPr>
                <w:rFonts w:ascii="Arial" w:hAnsi="Arial" w:cs="Arial"/>
                <w:lang w:val="mn-MN"/>
              </w:rPr>
              <w:t>Шаардлага хангасан.</w:t>
            </w:r>
          </w:p>
        </w:tc>
      </w:tr>
      <w:tr w:rsidR="00CA3AF8" w:rsidRPr="00505289" w14:paraId="4AFBFF4F" w14:textId="77777777" w:rsidTr="00BE5E3C">
        <w:tc>
          <w:tcPr>
            <w:tcW w:w="5211" w:type="dxa"/>
            <w:shd w:val="clear" w:color="auto" w:fill="auto"/>
          </w:tcPr>
          <w:p w14:paraId="1FB0632C" w14:textId="77777777" w:rsidR="00CA3AF8" w:rsidRPr="00505289" w:rsidRDefault="00CA3AF8" w:rsidP="00BE5E3C">
            <w:pPr>
              <w:jc w:val="both"/>
              <w:rPr>
                <w:rFonts w:ascii="Arial" w:hAnsi="Arial" w:cs="Arial"/>
                <w:lang w:val="mn-MN"/>
              </w:rPr>
            </w:pPr>
            <w:r w:rsidRPr="00505289">
              <w:rPr>
                <w:rFonts w:ascii="Arial" w:hAnsi="Arial" w:cs="Arial"/>
                <w:lang w:val="mn-MN"/>
              </w:rPr>
              <w:t>30.1.4.хүч оруулсан нэр томьёо хэрэглэхгүй байх;</w:t>
            </w:r>
          </w:p>
        </w:tc>
        <w:tc>
          <w:tcPr>
            <w:tcW w:w="4282" w:type="dxa"/>
            <w:shd w:val="clear" w:color="auto" w:fill="auto"/>
          </w:tcPr>
          <w:p w14:paraId="4CD964C7" w14:textId="77777777" w:rsidR="00CA3AF8" w:rsidRPr="00505289" w:rsidRDefault="00CA3AF8" w:rsidP="00BE5E3C">
            <w:pPr>
              <w:jc w:val="both"/>
              <w:rPr>
                <w:rFonts w:ascii="Arial" w:hAnsi="Arial" w:cs="Arial"/>
              </w:rPr>
            </w:pPr>
            <w:r w:rsidRPr="00505289">
              <w:rPr>
                <w:rFonts w:ascii="Arial" w:hAnsi="Arial" w:cs="Arial"/>
              </w:rPr>
              <w:t xml:space="preserve">Шаардлага хангасан </w:t>
            </w:r>
          </w:p>
        </w:tc>
      </w:tr>
      <w:tr w:rsidR="00CA3AF8" w:rsidRPr="00505289" w14:paraId="3CF25A09" w14:textId="77777777" w:rsidTr="00BE5E3C">
        <w:tc>
          <w:tcPr>
            <w:tcW w:w="5211" w:type="dxa"/>
            <w:shd w:val="clear" w:color="auto" w:fill="auto"/>
          </w:tcPr>
          <w:p w14:paraId="407E4B72" w14:textId="77777777" w:rsidR="00CA3AF8" w:rsidRPr="00505289" w:rsidRDefault="00CA3AF8" w:rsidP="00BE5E3C">
            <w:pPr>
              <w:jc w:val="both"/>
              <w:rPr>
                <w:rFonts w:ascii="Arial" w:hAnsi="Arial" w:cs="Arial"/>
              </w:rPr>
            </w:pPr>
            <w:r w:rsidRPr="00505289">
              <w:rPr>
                <w:rFonts w:ascii="Arial" w:hAnsi="Arial" w:cs="Arial"/>
              </w:rPr>
              <w:t>30.1.</w:t>
            </w:r>
            <w:proofErr w:type="gramStart"/>
            <w:r w:rsidRPr="00505289">
              <w:rPr>
                <w:rFonts w:ascii="Arial" w:hAnsi="Arial" w:cs="Arial"/>
              </w:rPr>
              <w:t>5.жинхэнэ</w:t>
            </w:r>
            <w:proofErr w:type="gramEnd"/>
            <w:r w:rsidRPr="00505289">
              <w:rPr>
                <w:rFonts w:ascii="Arial" w:hAnsi="Arial" w:cs="Arial"/>
              </w:rPr>
              <w:t xml:space="preserve"> нэрийг ганц тоон дээр хэрэглэх.</w:t>
            </w:r>
          </w:p>
        </w:tc>
        <w:tc>
          <w:tcPr>
            <w:tcW w:w="4282" w:type="dxa"/>
            <w:shd w:val="clear" w:color="auto" w:fill="auto"/>
          </w:tcPr>
          <w:p w14:paraId="482134C6" w14:textId="77777777" w:rsidR="00CA3AF8" w:rsidRPr="00505289" w:rsidRDefault="00CA3AF8" w:rsidP="00BE5E3C">
            <w:pPr>
              <w:jc w:val="both"/>
              <w:rPr>
                <w:rFonts w:ascii="Arial" w:hAnsi="Arial" w:cs="Arial"/>
              </w:rPr>
            </w:pPr>
            <w:r w:rsidRPr="00505289">
              <w:rPr>
                <w:rFonts w:ascii="Arial" w:hAnsi="Arial" w:cs="Arial"/>
              </w:rPr>
              <w:t xml:space="preserve">Шаардлага хангасан </w:t>
            </w:r>
          </w:p>
        </w:tc>
      </w:tr>
    </w:tbl>
    <w:p w14:paraId="3874D766" w14:textId="77777777" w:rsidR="00CA3AF8" w:rsidRDefault="00CA3AF8" w:rsidP="00CA3AF8">
      <w:pPr>
        <w:pStyle w:val="p1"/>
        <w:spacing w:before="0" w:beforeAutospacing="0" w:after="0" w:afterAutospacing="0"/>
        <w:jc w:val="both"/>
        <w:rPr>
          <w:rFonts w:ascii="Arial" w:hAnsi="Arial" w:cs="Arial"/>
        </w:rPr>
      </w:pPr>
    </w:p>
    <w:p w14:paraId="75782C82" w14:textId="77777777" w:rsidR="00CA3AF8" w:rsidRPr="006F703A" w:rsidRDefault="00CA3AF8" w:rsidP="00CA3AF8">
      <w:pPr>
        <w:pStyle w:val="p1"/>
        <w:spacing w:before="0" w:beforeAutospacing="0" w:after="0" w:afterAutospacing="0"/>
        <w:ind w:firstLine="567"/>
        <w:jc w:val="both"/>
        <w:rPr>
          <w:rFonts w:ascii="Arial" w:hAnsi="Arial" w:cs="Arial"/>
        </w:rPr>
      </w:pPr>
    </w:p>
    <w:p w14:paraId="1E5069DF" w14:textId="77777777" w:rsidR="00CA3AF8" w:rsidRPr="002417D5" w:rsidRDefault="00CA3AF8" w:rsidP="00CA3AF8">
      <w:pPr>
        <w:pStyle w:val="Heading3"/>
        <w:spacing w:before="0"/>
        <w:ind w:firstLine="567"/>
        <w:jc w:val="center"/>
        <w:rPr>
          <w:rStyle w:val="s1"/>
          <w:rFonts w:ascii="Arial" w:hAnsi="Arial" w:cs="Arial"/>
          <w:b/>
          <w:bCs/>
          <w:color w:val="000000" w:themeColor="text1"/>
        </w:rPr>
      </w:pPr>
      <w:r w:rsidRPr="002417D5">
        <w:rPr>
          <w:rStyle w:val="s1"/>
          <w:rFonts w:ascii="Arial" w:hAnsi="Arial" w:cs="Arial"/>
          <w:b/>
          <w:bCs/>
          <w:color w:val="000000" w:themeColor="text1"/>
        </w:rPr>
        <w:t>ТАВ. ҮР ДҮНГ ҮНЭЛЖ, ЗӨВЛӨМЖ ӨГСӨН БАЙДАЛ</w:t>
      </w:r>
    </w:p>
    <w:p w14:paraId="0DFA400B" w14:textId="77777777" w:rsidR="00CA3AF8" w:rsidRPr="002417D5" w:rsidRDefault="00CA3AF8" w:rsidP="00CA3AF8"/>
    <w:p w14:paraId="5477AA08" w14:textId="77777777" w:rsidR="00CA3AF8" w:rsidRDefault="00CA3AF8" w:rsidP="00CA3AF8">
      <w:pPr>
        <w:pStyle w:val="Heading4"/>
        <w:spacing w:before="0"/>
        <w:ind w:firstLine="567"/>
        <w:jc w:val="both"/>
        <w:rPr>
          <w:rStyle w:val="s1"/>
          <w:rFonts w:ascii="Arial" w:hAnsi="Arial" w:cs="Arial"/>
          <w:b/>
          <w:bCs/>
          <w:i w:val="0"/>
          <w:iCs w:val="0"/>
          <w:color w:val="000000" w:themeColor="text1"/>
        </w:rPr>
      </w:pPr>
      <w:r w:rsidRPr="002417D5">
        <w:rPr>
          <w:rStyle w:val="s1"/>
          <w:rFonts w:ascii="Arial" w:hAnsi="Arial" w:cs="Arial"/>
          <w:b/>
          <w:bCs/>
          <w:i w:val="0"/>
          <w:iCs w:val="0"/>
          <w:color w:val="000000" w:themeColor="text1"/>
        </w:rPr>
        <w:t>5.1. Баримтжуулалт</w:t>
      </w:r>
    </w:p>
    <w:p w14:paraId="0DC2CC0D" w14:textId="77777777" w:rsidR="00CA3AF8" w:rsidRPr="002417D5" w:rsidRDefault="00CA3AF8" w:rsidP="00CA3AF8"/>
    <w:p w14:paraId="051ACBB8" w14:textId="77777777" w:rsidR="00CA3AF8" w:rsidRPr="0054758B" w:rsidRDefault="00CA3AF8" w:rsidP="00CA3AF8">
      <w:pPr>
        <w:pStyle w:val="p2"/>
        <w:spacing w:before="0" w:beforeAutospacing="0" w:after="120" w:afterAutospacing="0"/>
        <w:ind w:firstLine="567"/>
        <w:jc w:val="both"/>
        <w:rPr>
          <w:rFonts w:ascii="Arial" w:hAnsi="Arial" w:cs="Arial"/>
          <w:color w:val="000000" w:themeColor="text1"/>
        </w:rPr>
      </w:pPr>
      <w:r w:rsidRPr="0054758B">
        <w:rPr>
          <w:rFonts w:ascii="Arial" w:hAnsi="Arial" w:cs="Arial"/>
          <w:color w:val="000000" w:themeColor="text1"/>
        </w:rPr>
        <w:t>Хуулийн төслийн үр нөлөөг үнэлэхэд ашигласан дараах баримт бичиг, мэдээлэл, тоо баримтыг цуглуулан үр нөлөөг тооцох ажиллагааны тайланд баримтжуулж хавсаргалаа.</w:t>
      </w:r>
    </w:p>
    <w:p w14:paraId="7005FFC6" w14:textId="77777777" w:rsidR="00CA3AF8" w:rsidRPr="00685A8A" w:rsidRDefault="00CA3AF8" w:rsidP="00CA3AF8">
      <w:pPr>
        <w:pStyle w:val="p3"/>
        <w:spacing w:before="0" w:beforeAutospacing="0" w:after="0" w:afterAutospacing="0"/>
        <w:ind w:firstLine="567"/>
        <w:jc w:val="both"/>
        <w:rPr>
          <w:rFonts w:ascii="Arial" w:hAnsi="Arial" w:cs="Arial"/>
          <w:color w:val="000000" w:themeColor="text1"/>
        </w:rPr>
      </w:pPr>
      <w:r w:rsidRPr="0054758B">
        <w:rPr>
          <w:rFonts w:ascii="Arial" w:hAnsi="Arial" w:cs="Arial"/>
          <w:b/>
          <w:bCs/>
          <w:color w:val="000000" w:themeColor="text1"/>
        </w:rPr>
        <w:t>Монгол хэл дээрх</w:t>
      </w:r>
      <w:r>
        <w:rPr>
          <w:rFonts w:ascii="Arial" w:hAnsi="Arial" w:cs="Arial"/>
          <w:b/>
          <w:bCs/>
          <w:color w:val="000000" w:themeColor="text1"/>
          <w:lang w:val="mn-MN"/>
        </w:rPr>
        <w:t xml:space="preserve"> х</w:t>
      </w:r>
      <w:r w:rsidRPr="0054758B">
        <w:rPr>
          <w:rFonts w:ascii="Arial" w:hAnsi="Arial" w:cs="Arial"/>
          <w:b/>
          <w:bCs/>
          <w:color w:val="000000" w:themeColor="text1"/>
        </w:rPr>
        <w:t>ууль тогтоомж</w:t>
      </w:r>
    </w:p>
    <w:p w14:paraId="31323608" w14:textId="77777777" w:rsidR="00CA3AF8" w:rsidRPr="0054758B" w:rsidRDefault="00CA3AF8" w:rsidP="00CA3AF8">
      <w:pPr>
        <w:pStyle w:val="p4"/>
        <w:spacing w:before="0" w:beforeAutospacing="0" w:after="0" w:afterAutospacing="0"/>
        <w:ind w:firstLine="567"/>
        <w:jc w:val="both"/>
        <w:rPr>
          <w:rFonts w:ascii="Arial" w:hAnsi="Arial" w:cs="Arial"/>
          <w:color w:val="000000" w:themeColor="text1"/>
        </w:rPr>
      </w:pPr>
    </w:p>
    <w:p w14:paraId="6E4FA858" w14:textId="77777777" w:rsidR="00CA3AF8" w:rsidRPr="00685A8A" w:rsidRDefault="00CA3AF8" w:rsidP="00CA3AF8">
      <w:pPr>
        <w:pStyle w:val="ListParagraph"/>
        <w:numPr>
          <w:ilvl w:val="0"/>
          <w:numId w:val="2"/>
        </w:numPr>
        <w:spacing w:after="120"/>
        <w:jc w:val="both"/>
        <w:rPr>
          <w:rFonts w:ascii="Arial" w:hAnsi="Arial" w:cs="Arial"/>
          <w:color w:val="000000" w:themeColor="text1"/>
        </w:rPr>
      </w:pPr>
      <w:r w:rsidRPr="00685A8A">
        <w:rPr>
          <w:rFonts w:ascii="Arial" w:hAnsi="Arial" w:cs="Arial"/>
          <w:color w:val="000000" w:themeColor="text1"/>
        </w:rPr>
        <w:t>Банкны тухай хууль, (2010, нэмэлт өөрчлөлтүүд).</w:t>
      </w:r>
    </w:p>
    <w:p w14:paraId="00FA3733" w14:textId="77777777" w:rsidR="00CA3AF8" w:rsidRPr="00685A8A" w:rsidRDefault="00CA3AF8" w:rsidP="00CA3AF8">
      <w:pPr>
        <w:pStyle w:val="ListParagraph"/>
        <w:numPr>
          <w:ilvl w:val="0"/>
          <w:numId w:val="2"/>
        </w:numPr>
        <w:jc w:val="both"/>
        <w:rPr>
          <w:rFonts w:ascii="Arial" w:hAnsi="Arial" w:cs="Arial"/>
          <w:color w:val="000000" w:themeColor="text1"/>
        </w:rPr>
      </w:pPr>
      <w:r w:rsidRPr="00685A8A">
        <w:rPr>
          <w:rFonts w:ascii="Arial" w:hAnsi="Arial" w:cs="Arial"/>
          <w:color w:val="000000" w:themeColor="text1"/>
        </w:rPr>
        <w:t>Төв банк /Монголбанк/-ны тухай хууль, (1996, нэмэлт өөрчлөлтүүд).</w:t>
      </w:r>
    </w:p>
    <w:p w14:paraId="1A246357" w14:textId="77777777" w:rsidR="00CA3AF8" w:rsidRPr="00685A8A" w:rsidRDefault="00CA3AF8" w:rsidP="00CA3AF8">
      <w:pPr>
        <w:pStyle w:val="ListParagraph"/>
        <w:numPr>
          <w:ilvl w:val="0"/>
          <w:numId w:val="2"/>
        </w:numPr>
        <w:jc w:val="both"/>
        <w:rPr>
          <w:rFonts w:ascii="Arial" w:hAnsi="Arial" w:cs="Arial"/>
          <w:color w:val="000000" w:themeColor="text1"/>
        </w:rPr>
      </w:pPr>
      <w:r w:rsidRPr="00685A8A">
        <w:rPr>
          <w:rFonts w:ascii="Arial" w:hAnsi="Arial" w:cs="Arial"/>
          <w:color w:val="000000" w:themeColor="text1"/>
        </w:rPr>
        <w:t>Аж ахуйн нэгжийн орлогын албан татварын тухай хууль, (нэмэлт өөрчлөлтүүд).</w:t>
      </w:r>
    </w:p>
    <w:p w14:paraId="0103C2D9" w14:textId="77777777" w:rsidR="00CA3AF8" w:rsidRPr="00685A8A" w:rsidRDefault="00CA3AF8" w:rsidP="00CA3AF8">
      <w:pPr>
        <w:pStyle w:val="ListParagraph"/>
        <w:numPr>
          <w:ilvl w:val="0"/>
          <w:numId w:val="1"/>
        </w:numPr>
        <w:spacing w:after="120"/>
        <w:jc w:val="both"/>
        <w:rPr>
          <w:rFonts w:ascii="Arial" w:hAnsi="Arial" w:cs="Arial"/>
          <w:color w:val="000000" w:themeColor="text1"/>
        </w:rPr>
      </w:pPr>
      <w:r w:rsidRPr="00685A8A">
        <w:rPr>
          <w:rFonts w:ascii="Arial" w:hAnsi="Arial" w:cs="Arial"/>
          <w:color w:val="000000" w:themeColor="text1"/>
        </w:rPr>
        <w:t>Иргэний хууль, (2002).</w:t>
      </w:r>
    </w:p>
    <w:p w14:paraId="0856AD54" w14:textId="77777777" w:rsidR="00CA3AF8" w:rsidRPr="0054758B" w:rsidRDefault="00CA3AF8" w:rsidP="00CA3AF8">
      <w:pPr>
        <w:pStyle w:val="p4"/>
        <w:spacing w:before="0" w:beforeAutospacing="0" w:after="120" w:afterAutospacing="0"/>
        <w:ind w:firstLine="567"/>
        <w:jc w:val="both"/>
        <w:rPr>
          <w:rFonts w:ascii="Arial" w:hAnsi="Arial" w:cs="Arial"/>
          <w:color w:val="000000" w:themeColor="text1"/>
        </w:rPr>
      </w:pPr>
      <w:r w:rsidRPr="0054758B">
        <w:rPr>
          <w:rFonts w:ascii="Arial" w:hAnsi="Arial" w:cs="Arial"/>
          <w:b/>
          <w:bCs/>
          <w:color w:val="000000" w:themeColor="text1"/>
        </w:rPr>
        <w:t>Ном, өгүүлэл, судалгааны тайлан</w:t>
      </w:r>
    </w:p>
    <w:p w14:paraId="00442AFA" w14:textId="77777777" w:rsidR="00CA3AF8" w:rsidRPr="00685A8A" w:rsidRDefault="00CA3AF8" w:rsidP="00CA3AF8">
      <w:pPr>
        <w:pStyle w:val="ListParagraph"/>
        <w:numPr>
          <w:ilvl w:val="0"/>
          <w:numId w:val="3"/>
        </w:numPr>
        <w:spacing w:after="120"/>
        <w:jc w:val="both"/>
        <w:rPr>
          <w:rFonts w:ascii="Arial" w:hAnsi="Arial" w:cs="Arial"/>
          <w:color w:val="000000" w:themeColor="text1"/>
        </w:rPr>
      </w:pPr>
      <w:r w:rsidRPr="00685A8A">
        <w:rPr>
          <w:rFonts w:ascii="Arial" w:hAnsi="Arial" w:cs="Arial"/>
          <w:color w:val="000000" w:themeColor="text1"/>
        </w:rPr>
        <w:t>Монголбанк, Санхүүгийн тогтвортой байдлын тайлан, (сүүлийн жилүүд).</w:t>
      </w:r>
    </w:p>
    <w:p w14:paraId="523169AC" w14:textId="77777777" w:rsidR="00CA3AF8" w:rsidRPr="00685A8A" w:rsidRDefault="00CA3AF8" w:rsidP="00CA3AF8">
      <w:pPr>
        <w:pStyle w:val="ListParagraph"/>
        <w:numPr>
          <w:ilvl w:val="0"/>
          <w:numId w:val="3"/>
        </w:numPr>
        <w:jc w:val="both"/>
        <w:rPr>
          <w:rFonts w:ascii="Arial" w:hAnsi="Arial" w:cs="Arial"/>
          <w:color w:val="000000" w:themeColor="text1"/>
        </w:rPr>
      </w:pPr>
      <w:r w:rsidRPr="00685A8A">
        <w:rPr>
          <w:rFonts w:ascii="Arial" w:hAnsi="Arial" w:cs="Arial"/>
          <w:color w:val="000000" w:themeColor="text1"/>
        </w:rPr>
        <w:t>Санхүүгийн зохицуулах хороо, Санхүүгийн салбарын тойм судалгаа.</w:t>
      </w:r>
    </w:p>
    <w:p w14:paraId="4CAFD5CF" w14:textId="77777777" w:rsidR="00CA3AF8" w:rsidRPr="00685A8A" w:rsidRDefault="00CA3AF8" w:rsidP="00CA3AF8">
      <w:pPr>
        <w:pStyle w:val="ListParagraph"/>
        <w:numPr>
          <w:ilvl w:val="0"/>
          <w:numId w:val="3"/>
        </w:numPr>
        <w:jc w:val="both"/>
        <w:rPr>
          <w:rFonts w:ascii="Arial" w:hAnsi="Arial" w:cs="Arial"/>
          <w:color w:val="000000" w:themeColor="text1"/>
        </w:rPr>
      </w:pPr>
      <w:r w:rsidRPr="00685A8A">
        <w:rPr>
          <w:rFonts w:ascii="Arial" w:hAnsi="Arial" w:cs="Arial"/>
          <w:color w:val="000000" w:themeColor="text1"/>
        </w:rPr>
        <w:t>Үндэсний статистикийн хороо, санхүү, зээлийн үзүүлэлтүүдийн тайлан.</w:t>
      </w:r>
    </w:p>
    <w:p w14:paraId="10AA44C3" w14:textId="77777777" w:rsidR="00CA3AF8" w:rsidRPr="00685A8A" w:rsidRDefault="00CA3AF8" w:rsidP="00CA3AF8">
      <w:pPr>
        <w:pStyle w:val="ListParagraph"/>
        <w:numPr>
          <w:ilvl w:val="0"/>
          <w:numId w:val="3"/>
        </w:numPr>
        <w:spacing w:after="120"/>
        <w:jc w:val="both"/>
        <w:rPr>
          <w:rFonts w:ascii="Arial" w:hAnsi="Arial" w:cs="Arial"/>
          <w:color w:val="000000" w:themeColor="text1"/>
        </w:rPr>
      </w:pPr>
      <w:r w:rsidRPr="00685A8A">
        <w:rPr>
          <w:rFonts w:ascii="Arial" w:hAnsi="Arial" w:cs="Arial"/>
          <w:color w:val="000000" w:themeColor="text1"/>
        </w:rPr>
        <w:t>Монголын банкны холбоо, салбарын судалгаа, дүн шинжилгээ.</w:t>
      </w:r>
    </w:p>
    <w:p w14:paraId="6F1CA928" w14:textId="77777777" w:rsidR="00CA3AF8" w:rsidRPr="0054758B" w:rsidRDefault="00CA3AF8" w:rsidP="00CA3AF8">
      <w:pPr>
        <w:pStyle w:val="p3"/>
        <w:spacing w:before="0" w:beforeAutospacing="0" w:after="0" w:afterAutospacing="0"/>
        <w:ind w:firstLine="567"/>
        <w:jc w:val="both"/>
        <w:rPr>
          <w:rFonts w:ascii="Arial" w:hAnsi="Arial" w:cs="Arial"/>
          <w:color w:val="000000" w:themeColor="text1"/>
        </w:rPr>
      </w:pPr>
      <w:r w:rsidRPr="0054758B">
        <w:rPr>
          <w:rFonts w:ascii="Arial" w:hAnsi="Arial" w:cs="Arial"/>
          <w:b/>
          <w:bCs/>
          <w:color w:val="000000" w:themeColor="text1"/>
        </w:rPr>
        <w:lastRenderedPageBreak/>
        <w:t>Гадаад хэл дээрх</w:t>
      </w:r>
      <w:r>
        <w:rPr>
          <w:rFonts w:ascii="Arial" w:hAnsi="Arial" w:cs="Arial"/>
          <w:b/>
          <w:bCs/>
          <w:color w:val="000000" w:themeColor="text1"/>
          <w:lang w:val="mn-MN"/>
        </w:rPr>
        <w:t xml:space="preserve"> х</w:t>
      </w:r>
      <w:r w:rsidRPr="0054758B">
        <w:rPr>
          <w:rFonts w:ascii="Arial" w:hAnsi="Arial" w:cs="Arial"/>
          <w:b/>
          <w:bCs/>
          <w:color w:val="000000" w:themeColor="text1"/>
        </w:rPr>
        <w:t>ууль тогтоомж, бодлогын баримт бичиг</w:t>
      </w:r>
    </w:p>
    <w:p w14:paraId="399245D6" w14:textId="77777777" w:rsidR="00CA3AF8" w:rsidRPr="00685A8A" w:rsidRDefault="00CA3AF8" w:rsidP="00CA3AF8">
      <w:pPr>
        <w:pStyle w:val="ListParagraph"/>
        <w:numPr>
          <w:ilvl w:val="0"/>
          <w:numId w:val="4"/>
        </w:numPr>
        <w:spacing w:after="240"/>
        <w:jc w:val="both"/>
        <w:rPr>
          <w:rFonts w:ascii="Arial" w:hAnsi="Arial" w:cs="Arial"/>
          <w:color w:val="000000" w:themeColor="text1"/>
        </w:rPr>
      </w:pPr>
      <w:r w:rsidRPr="00685A8A">
        <w:rPr>
          <w:rFonts w:ascii="Arial" w:hAnsi="Arial" w:cs="Arial"/>
          <w:color w:val="000000" w:themeColor="text1"/>
        </w:rPr>
        <w:t>Олон улсын валютын сан, Financial Sector Assessment Program (FSAP) тайлангууд.</w:t>
      </w:r>
    </w:p>
    <w:p w14:paraId="3B8E0892" w14:textId="77777777" w:rsidR="00CA3AF8" w:rsidRDefault="00CA3AF8" w:rsidP="00CA3AF8">
      <w:pPr>
        <w:pStyle w:val="ListParagraph"/>
        <w:numPr>
          <w:ilvl w:val="0"/>
          <w:numId w:val="4"/>
        </w:numPr>
        <w:jc w:val="both"/>
        <w:rPr>
          <w:rFonts w:ascii="Arial" w:hAnsi="Arial" w:cs="Arial"/>
          <w:color w:val="000000" w:themeColor="text1"/>
        </w:rPr>
      </w:pPr>
      <w:r w:rsidRPr="00685A8A">
        <w:rPr>
          <w:rFonts w:ascii="Arial" w:hAnsi="Arial" w:cs="Arial"/>
          <w:color w:val="000000" w:themeColor="text1"/>
        </w:rPr>
        <w:t>Дэлхийн банк, Financial Market Development болон Capital Market Development тайлангууд.</w:t>
      </w:r>
    </w:p>
    <w:p w14:paraId="52EB9D1C" w14:textId="77777777" w:rsidR="00CA3AF8" w:rsidRDefault="00CA3AF8" w:rsidP="00CA3AF8">
      <w:pPr>
        <w:pStyle w:val="ListParagraph"/>
        <w:numPr>
          <w:ilvl w:val="0"/>
          <w:numId w:val="4"/>
        </w:numPr>
        <w:jc w:val="both"/>
        <w:rPr>
          <w:rFonts w:ascii="Arial" w:hAnsi="Arial" w:cs="Arial"/>
          <w:color w:val="000000" w:themeColor="text1"/>
        </w:rPr>
      </w:pPr>
      <w:r w:rsidRPr="00685A8A">
        <w:rPr>
          <w:rFonts w:ascii="Arial" w:hAnsi="Arial" w:cs="Arial"/>
          <w:color w:val="000000" w:themeColor="text1"/>
        </w:rPr>
        <w:t>OECD, Capital Market Development болон Institutional Investment frameworks.</w:t>
      </w:r>
    </w:p>
    <w:p w14:paraId="33F70D5F" w14:textId="77777777" w:rsidR="00CA3AF8" w:rsidRPr="00685A8A" w:rsidRDefault="00CA3AF8" w:rsidP="00CA3AF8">
      <w:pPr>
        <w:pStyle w:val="ListParagraph"/>
        <w:numPr>
          <w:ilvl w:val="0"/>
          <w:numId w:val="4"/>
        </w:numPr>
        <w:spacing w:after="120"/>
        <w:jc w:val="both"/>
        <w:rPr>
          <w:rFonts w:ascii="Arial" w:hAnsi="Arial" w:cs="Arial"/>
          <w:color w:val="000000" w:themeColor="text1"/>
        </w:rPr>
      </w:pPr>
      <w:r w:rsidRPr="00685A8A">
        <w:rPr>
          <w:rFonts w:ascii="Arial" w:hAnsi="Arial" w:cs="Arial"/>
          <w:color w:val="000000" w:themeColor="text1"/>
        </w:rPr>
        <w:t>Орон нутгийн бондын зах зээлийн зохицуулалтын олон улсын туршлага (АНУ, БНСУ зэрэг улс).</w:t>
      </w:r>
    </w:p>
    <w:p w14:paraId="27C8B2F4" w14:textId="77777777" w:rsidR="00CA3AF8" w:rsidRPr="0054758B" w:rsidRDefault="00CA3AF8" w:rsidP="00CA3AF8">
      <w:pPr>
        <w:pStyle w:val="p4"/>
        <w:spacing w:before="0" w:beforeAutospacing="0" w:after="120" w:afterAutospacing="0"/>
        <w:ind w:firstLine="567"/>
        <w:jc w:val="both"/>
        <w:rPr>
          <w:rFonts w:ascii="Arial" w:hAnsi="Arial" w:cs="Arial"/>
          <w:color w:val="000000" w:themeColor="text1"/>
        </w:rPr>
      </w:pPr>
      <w:r w:rsidRPr="0054758B">
        <w:rPr>
          <w:rFonts w:ascii="Arial" w:hAnsi="Arial" w:cs="Arial"/>
          <w:b/>
          <w:bCs/>
          <w:color w:val="000000" w:themeColor="text1"/>
        </w:rPr>
        <w:t>Ном, өгүүлэл, судалгааны тайлан</w:t>
      </w:r>
    </w:p>
    <w:p w14:paraId="59861261" w14:textId="77777777" w:rsidR="00CA3AF8" w:rsidRPr="00685A8A" w:rsidRDefault="00CA3AF8" w:rsidP="00CA3AF8">
      <w:pPr>
        <w:pStyle w:val="ListParagraph"/>
        <w:numPr>
          <w:ilvl w:val="0"/>
          <w:numId w:val="5"/>
        </w:numPr>
        <w:spacing w:after="120"/>
        <w:jc w:val="both"/>
        <w:rPr>
          <w:rFonts w:ascii="Arial" w:hAnsi="Arial" w:cs="Arial"/>
          <w:color w:val="000000" w:themeColor="text1"/>
        </w:rPr>
      </w:pPr>
      <w:r w:rsidRPr="00685A8A">
        <w:rPr>
          <w:rFonts w:ascii="Arial" w:hAnsi="Arial" w:cs="Arial"/>
          <w:color w:val="000000" w:themeColor="text1"/>
        </w:rPr>
        <w:t>IMF Working Papers on Financial Market Deepening.</w:t>
      </w:r>
    </w:p>
    <w:p w14:paraId="077C07FB" w14:textId="77777777" w:rsidR="00CA3AF8" w:rsidRPr="00685A8A" w:rsidRDefault="00CA3AF8" w:rsidP="00CA3AF8">
      <w:pPr>
        <w:pStyle w:val="ListParagraph"/>
        <w:numPr>
          <w:ilvl w:val="0"/>
          <w:numId w:val="5"/>
        </w:numPr>
        <w:jc w:val="both"/>
        <w:rPr>
          <w:rFonts w:ascii="Arial" w:hAnsi="Arial" w:cs="Arial"/>
          <w:color w:val="000000" w:themeColor="text1"/>
        </w:rPr>
      </w:pPr>
      <w:r w:rsidRPr="00685A8A">
        <w:rPr>
          <w:rFonts w:ascii="Arial" w:hAnsi="Arial" w:cs="Arial"/>
          <w:color w:val="000000" w:themeColor="text1"/>
        </w:rPr>
        <w:t>World Bank, Global Financial Development Report.</w:t>
      </w:r>
    </w:p>
    <w:p w14:paraId="3C4ADB83" w14:textId="77777777" w:rsidR="00CA3AF8" w:rsidRPr="00685A8A" w:rsidRDefault="00CA3AF8" w:rsidP="00CA3AF8">
      <w:pPr>
        <w:pStyle w:val="ListParagraph"/>
        <w:numPr>
          <w:ilvl w:val="0"/>
          <w:numId w:val="5"/>
        </w:numPr>
        <w:jc w:val="both"/>
        <w:rPr>
          <w:rFonts w:ascii="Arial" w:hAnsi="Arial" w:cs="Arial"/>
          <w:color w:val="000000" w:themeColor="text1"/>
        </w:rPr>
      </w:pPr>
      <w:r w:rsidRPr="00685A8A">
        <w:rPr>
          <w:rFonts w:ascii="Arial" w:hAnsi="Arial" w:cs="Arial"/>
          <w:color w:val="000000" w:themeColor="text1"/>
        </w:rPr>
        <w:t>OECD, Capital Market and Institutional Investor Reports.</w:t>
      </w:r>
    </w:p>
    <w:p w14:paraId="1ED3F454" w14:textId="77777777" w:rsidR="00CA3AF8" w:rsidRPr="00685A8A" w:rsidRDefault="00CA3AF8" w:rsidP="00CA3AF8">
      <w:pPr>
        <w:pStyle w:val="ListParagraph"/>
        <w:numPr>
          <w:ilvl w:val="0"/>
          <w:numId w:val="5"/>
        </w:numPr>
        <w:jc w:val="both"/>
        <w:rPr>
          <w:rFonts w:ascii="Arial" w:hAnsi="Arial" w:cs="Arial"/>
          <w:color w:val="000000" w:themeColor="text1"/>
        </w:rPr>
      </w:pPr>
      <w:r w:rsidRPr="00685A8A">
        <w:rPr>
          <w:rFonts w:ascii="Arial" w:hAnsi="Arial" w:cs="Arial"/>
          <w:color w:val="000000" w:themeColor="text1"/>
        </w:rPr>
        <w:t>BIS (Bank for International Settlements), bond market development studies.</w:t>
      </w:r>
    </w:p>
    <w:p w14:paraId="4450F5C9" w14:textId="77777777" w:rsidR="00CA3AF8" w:rsidRPr="00685A8A" w:rsidRDefault="00CA3AF8" w:rsidP="00CA3AF8">
      <w:pPr>
        <w:pStyle w:val="ListParagraph"/>
        <w:numPr>
          <w:ilvl w:val="0"/>
          <w:numId w:val="5"/>
        </w:numPr>
        <w:jc w:val="both"/>
        <w:rPr>
          <w:rFonts w:ascii="Arial" w:hAnsi="Arial" w:cs="Arial"/>
          <w:color w:val="000000" w:themeColor="text1"/>
        </w:rPr>
      </w:pPr>
      <w:r w:rsidRPr="00685A8A">
        <w:rPr>
          <w:rFonts w:ascii="Arial" w:hAnsi="Arial" w:cs="Arial"/>
          <w:color w:val="000000" w:themeColor="text1"/>
        </w:rPr>
        <w:t>Local government bond market development – international practices.</w:t>
      </w:r>
    </w:p>
    <w:p w14:paraId="70F1ED7E" w14:textId="77777777" w:rsidR="00CA3AF8" w:rsidRPr="0054758B" w:rsidRDefault="00CA3AF8" w:rsidP="00CA3AF8">
      <w:pPr>
        <w:ind w:firstLine="567"/>
        <w:jc w:val="both"/>
        <w:rPr>
          <w:rFonts w:ascii="Arial" w:hAnsi="Arial" w:cs="Arial"/>
          <w:color w:val="000000" w:themeColor="text1"/>
        </w:rPr>
      </w:pPr>
    </w:p>
    <w:p w14:paraId="0C30F3F0" w14:textId="77777777" w:rsidR="00CA3AF8" w:rsidRPr="0054758B" w:rsidRDefault="00CA3AF8" w:rsidP="00CA3AF8">
      <w:pPr>
        <w:pStyle w:val="Heading4"/>
        <w:spacing w:before="0"/>
        <w:ind w:firstLine="567"/>
        <w:jc w:val="both"/>
        <w:rPr>
          <w:rStyle w:val="s1"/>
          <w:rFonts w:ascii="Arial" w:hAnsi="Arial" w:cs="Arial"/>
          <w:b/>
          <w:bCs/>
          <w:i w:val="0"/>
          <w:iCs w:val="0"/>
          <w:color w:val="000000" w:themeColor="text1"/>
        </w:rPr>
      </w:pPr>
      <w:r w:rsidRPr="0054758B">
        <w:rPr>
          <w:rStyle w:val="s1"/>
          <w:rFonts w:ascii="Arial" w:hAnsi="Arial" w:cs="Arial"/>
          <w:b/>
          <w:bCs/>
          <w:i w:val="0"/>
          <w:iCs w:val="0"/>
          <w:color w:val="000000" w:themeColor="text1"/>
        </w:rPr>
        <w:t>5.2. Дүгнэлт</w:t>
      </w:r>
    </w:p>
    <w:p w14:paraId="4D0AE6B9" w14:textId="77777777" w:rsidR="00CA3AF8" w:rsidRPr="0054758B" w:rsidRDefault="00CA3AF8" w:rsidP="00CA3AF8"/>
    <w:p w14:paraId="36422B50" w14:textId="77777777" w:rsidR="00CA3AF8" w:rsidRPr="0054758B" w:rsidRDefault="00CA3AF8" w:rsidP="00CA3AF8">
      <w:pPr>
        <w:pStyle w:val="p2"/>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Тус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бусад зохицуулалтуудыг хангаж, илэрхийлж чадахаар бүрэн гүйцэд томьёологдсон эсэхэд үнэлгээ хийлээ.</w:t>
      </w:r>
    </w:p>
    <w:p w14:paraId="23846951" w14:textId="77777777" w:rsidR="00CA3AF8" w:rsidRPr="0054758B" w:rsidRDefault="00CA3AF8" w:rsidP="00CA3AF8">
      <w:pPr>
        <w:pStyle w:val="p2"/>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Хуулийн төсөл нь Монгол Улсын санхүүгийн зах зээлд үүсээд буй банк төвтэй бүтцийн сул тал, урт хугацааны санхүүжилтийн хэрэгслийн хомсдол, орон нутгийн бондын зах зээл хөгжөөгүй байдал зэрэг асуудлыг шийдвэрлэх зорилготой бөгөөд уг зорилго нь хуулийн төслийн зохицуулалттай нийцэж байна.</w:t>
      </w:r>
    </w:p>
    <w:p w14:paraId="29C90651" w14:textId="77777777" w:rsidR="00CA3AF8" w:rsidRPr="0054758B" w:rsidRDefault="00CA3AF8" w:rsidP="00CA3AF8">
      <w:pPr>
        <w:pStyle w:val="p2"/>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Аж ахуйн нэгжийн орлогын албан татварын тухай хуулийн 21.17-д заасан орон нутгийн үнэт цаасыг банкны хөрөнгө оруулалтын зохицуулалтад тодорхой нөхцөлтэйгээр тусгаснаар арилжааны банкуудын оролцоог нэмэгдүүлж, орон нутгийн бондын зах зээлийн анхны эрэлтийг бүрдүүлэх, санхүүгийн зах зээлийн гүнзгийрлийг нэмэгдүүлэх ач холбогдолтой байна.</w:t>
      </w:r>
    </w:p>
    <w:p w14:paraId="20042C9E" w14:textId="77777777" w:rsidR="00CA3AF8" w:rsidRPr="0054758B" w:rsidRDefault="00CA3AF8" w:rsidP="00CA3AF8">
      <w:pPr>
        <w:pStyle w:val="p2"/>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Мөн хуулийн төсөл нь бусад хууль тогтоомжтой нийцсэн, давхардалгүй, зөрчилгүй, ойлгомжтой байдлаар боловсруулагдах боломжтой бөгөөд практикт хэрэгжих боломжтой гэж дүгнэв. Хэрэгжилтийн явцад Монголбанкнаас холбогдох журам, шалгуур, хяналтын зохицуулалтыг тодорхойлох, банкуудын эрсдэлийн удирдлагыг нийцүүлэх шаардлага үүсэх боловч энэ нь санхүүгийн зах зээлийн ил тод байдал, гүнзгийрэл, хөрөнгө оруулалтын үр ашгийг нэмэгдүүлэх урт хугацааны үр өгөөжөөр нөхөгдөнө.</w:t>
      </w:r>
    </w:p>
    <w:p w14:paraId="5B305F0C" w14:textId="77777777" w:rsidR="00CA3AF8" w:rsidRPr="0054758B" w:rsidRDefault="00CA3AF8" w:rsidP="00CA3AF8">
      <w:pPr>
        <w:pStyle w:val="p5"/>
        <w:spacing w:before="0" w:beforeAutospacing="0" w:after="0" w:afterAutospacing="0"/>
        <w:ind w:firstLine="567"/>
        <w:jc w:val="both"/>
        <w:rPr>
          <w:rFonts w:ascii="Arial" w:hAnsi="Arial" w:cs="Arial"/>
          <w:color w:val="000000" w:themeColor="text1"/>
        </w:rPr>
      </w:pPr>
      <w:r w:rsidRPr="0054758B">
        <w:rPr>
          <w:rFonts w:ascii="Arial" w:hAnsi="Arial" w:cs="Arial"/>
          <w:color w:val="000000" w:themeColor="text1"/>
        </w:rPr>
        <w:t>Иймд “Банкны тухай хуульд нэмэлт, өөрчлөлт оруулах тухай” хуулийн төсөл нь зорилгод хүрэх, ойлгомжтой байх, бусад хууль тогтоомжтой нийцсэн, хэрэгжих боломжтой гэж үнэлэгдэж байна.</w:t>
      </w:r>
    </w:p>
    <w:p w14:paraId="3DAD8211" w14:textId="77777777" w:rsidR="00B435B3" w:rsidRDefault="00B435B3"/>
    <w:sectPr w:rsidR="00B435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C17216"/>
    <w:multiLevelType w:val="multilevel"/>
    <w:tmpl w:val="6D082A5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5855BA"/>
    <w:multiLevelType w:val="multilevel"/>
    <w:tmpl w:val="93581A3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7A745C"/>
    <w:multiLevelType w:val="multilevel"/>
    <w:tmpl w:val="EF5054B6"/>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7D2C5A"/>
    <w:multiLevelType w:val="multilevel"/>
    <w:tmpl w:val="EE04B10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053F4E"/>
    <w:multiLevelType w:val="hybridMultilevel"/>
    <w:tmpl w:val="A1083BF4"/>
    <w:lvl w:ilvl="0" w:tplc="51CA3004">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788804">
    <w:abstractNumId w:val="4"/>
  </w:num>
  <w:num w:numId="2" w16cid:durableId="781269270">
    <w:abstractNumId w:val="2"/>
  </w:num>
  <w:num w:numId="3" w16cid:durableId="1103456858">
    <w:abstractNumId w:val="0"/>
  </w:num>
  <w:num w:numId="4" w16cid:durableId="2073656687">
    <w:abstractNumId w:val="3"/>
  </w:num>
  <w:num w:numId="5" w16cid:durableId="553546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F8"/>
    <w:rsid w:val="002F1630"/>
    <w:rsid w:val="003E6615"/>
    <w:rsid w:val="006E6AE2"/>
    <w:rsid w:val="00950B97"/>
    <w:rsid w:val="00B435B3"/>
    <w:rsid w:val="00CA3AF8"/>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66F130D6"/>
  <w15:chartTrackingRefBased/>
  <w15:docId w15:val="{AFB2503A-EE8E-A14F-9316-AAB7E2C8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AF8"/>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CA3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3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3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3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3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3A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3A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3A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3A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3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3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3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3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3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3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3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3AF8"/>
    <w:rPr>
      <w:rFonts w:eastAsiaTheme="majorEastAsia" w:cstheme="majorBidi"/>
      <w:color w:val="272727" w:themeColor="text1" w:themeTint="D8"/>
    </w:rPr>
  </w:style>
  <w:style w:type="paragraph" w:styleId="Title">
    <w:name w:val="Title"/>
    <w:basedOn w:val="Normal"/>
    <w:next w:val="Normal"/>
    <w:link w:val="TitleChar"/>
    <w:uiPriority w:val="10"/>
    <w:qFormat/>
    <w:rsid w:val="00CA3A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A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3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3A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3AF8"/>
    <w:rPr>
      <w:i/>
      <w:iCs/>
      <w:color w:val="404040" w:themeColor="text1" w:themeTint="BF"/>
    </w:rPr>
  </w:style>
  <w:style w:type="paragraph" w:styleId="ListParagraph">
    <w:name w:val="List Paragraph"/>
    <w:basedOn w:val="Normal"/>
    <w:uiPriority w:val="34"/>
    <w:qFormat/>
    <w:rsid w:val="00CA3AF8"/>
    <w:pPr>
      <w:ind w:left="720"/>
      <w:contextualSpacing/>
    </w:pPr>
  </w:style>
  <w:style w:type="character" w:styleId="IntenseEmphasis">
    <w:name w:val="Intense Emphasis"/>
    <w:basedOn w:val="DefaultParagraphFont"/>
    <w:uiPriority w:val="21"/>
    <w:qFormat/>
    <w:rsid w:val="00CA3AF8"/>
    <w:rPr>
      <w:i/>
      <w:iCs/>
      <w:color w:val="0F4761" w:themeColor="accent1" w:themeShade="BF"/>
    </w:rPr>
  </w:style>
  <w:style w:type="paragraph" w:styleId="IntenseQuote">
    <w:name w:val="Intense Quote"/>
    <w:basedOn w:val="Normal"/>
    <w:next w:val="Normal"/>
    <w:link w:val="IntenseQuoteChar"/>
    <w:uiPriority w:val="30"/>
    <w:qFormat/>
    <w:rsid w:val="00CA3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3AF8"/>
    <w:rPr>
      <w:i/>
      <w:iCs/>
      <w:color w:val="0F4761" w:themeColor="accent1" w:themeShade="BF"/>
    </w:rPr>
  </w:style>
  <w:style w:type="character" w:styleId="IntenseReference">
    <w:name w:val="Intense Reference"/>
    <w:basedOn w:val="DefaultParagraphFont"/>
    <w:uiPriority w:val="32"/>
    <w:qFormat/>
    <w:rsid w:val="00CA3AF8"/>
    <w:rPr>
      <w:b/>
      <w:bCs/>
      <w:smallCaps/>
      <w:color w:val="0F4761" w:themeColor="accent1" w:themeShade="BF"/>
      <w:spacing w:val="5"/>
    </w:rPr>
  </w:style>
  <w:style w:type="character" w:customStyle="1" w:styleId="s1">
    <w:name w:val="s1"/>
    <w:basedOn w:val="DefaultParagraphFont"/>
    <w:rsid w:val="00CA3AF8"/>
  </w:style>
  <w:style w:type="paragraph" w:customStyle="1" w:styleId="p2">
    <w:name w:val="p2"/>
    <w:basedOn w:val="Normal"/>
    <w:rsid w:val="00CA3AF8"/>
    <w:pPr>
      <w:spacing w:before="100" w:beforeAutospacing="1" w:after="100" w:afterAutospacing="1"/>
    </w:pPr>
  </w:style>
  <w:style w:type="paragraph" w:customStyle="1" w:styleId="p3">
    <w:name w:val="p3"/>
    <w:basedOn w:val="Normal"/>
    <w:rsid w:val="00CA3AF8"/>
    <w:pPr>
      <w:spacing w:before="100" w:beforeAutospacing="1" w:after="100" w:afterAutospacing="1"/>
    </w:pPr>
  </w:style>
  <w:style w:type="paragraph" w:customStyle="1" w:styleId="p4">
    <w:name w:val="p4"/>
    <w:basedOn w:val="Normal"/>
    <w:rsid w:val="00CA3AF8"/>
    <w:pPr>
      <w:spacing w:before="100" w:beforeAutospacing="1" w:after="100" w:afterAutospacing="1"/>
    </w:pPr>
  </w:style>
  <w:style w:type="paragraph" w:customStyle="1" w:styleId="p1">
    <w:name w:val="p1"/>
    <w:basedOn w:val="Normal"/>
    <w:rsid w:val="00CA3AF8"/>
    <w:pPr>
      <w:spacing w:before="100" w:beforeAutospacing="1" w:after="100" w:afterAutospacing="1"/>
    </w:pPr>
  </w:style>
  <w:style w:type="paragraph" w:customStyle="1" w:styleId="p5">
    <w:name w:val="p5"/>
    <w:basedOn w:val="Normal"/>
    <w:rsid w:val="00CA3AF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2119</Words>
  <Characters>12082</Characters>
  <Application>Microsoft Office Word</Application>
  <DocSecurity>0</DocSecurity>
  <Lines>100</Lines>
  <Paragraphs>28</Paragraphs>
  <ScaleCrop>false</ScaleCrop>
  <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Энхжин Ундрах</dc:creator>
  <cp:keywords/>
  <dc:description/>
  <cp:lastModifiedBy>Энхжин Ундрах</cp:lastModifiedBy>
  <cp:revision>1</cp:revision>
  <dcterms:created xsi:type="dcterms:W3CDTF">2026-05-26T00:59:00Z</dcterms:created>
  <dcterms:modified xsi:type="dcterms:W3CDTF">2026-05-26T00:59:00Z</dcterms:modified>
</cp:coreProperties>
</file>