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E95B3" w14:textId="77777777" w:rsidR="00204C06" w:rsidRDefault="00204C06" w:rsidP="00204C06">
      <w:pPr>
        <w:ind w:right="4"/>
        <w:rPr>
          <w:rFonts w:ascii="Arial" w:hAnsi="Arial" w:cs="Arial"/>
          <w:lang w:val="mn-MN"/>
        </w:rPr>
      </w:pPr>
    </w:p>
    <w:p w14:paraId="7241E41E" w14:textId="77777777" w:rsidR="00204C06" w:rsidRPr="00505289" w:rsidRDefault="00204C06" w:rsidP="00204C06">
      <w:pPr>
        <w:ind w:right="4"/>
        <w:rPr>
          <w:rFonts w:ascii="Arial" w:hAnsi="Arial" w:cs="Arial"/>
        </w:rPr>
      </w:pPr>
    </w:p>
    <w:p w14:paraId="64D948E9" w14:textId="77777777" w:rsidR="00204C06" w:rsidRPr="008901ED" w:rsidRDefault="00204C06" w:rsidP="00204C06">
      <w:pPr>
        <w:pStyle w:val="p1"/>
        <w:spacing w:before="0" w:beforeAutospacing="0" w:after="0" w:afterAutospacing="0"/>
        <w:ind w:firstLine="567"/>
        <w:jc w:val="center"/>
        <w:rPr>
          <w:rFonts w:ascii="Arial" w:hAnsi="Arial" w:cs="Arial"/>
        </w:rPr>
      </w:pPr>
      <w:r w:rsidRPr="008901ED">
        <w:rPr>
          <w:rFonts w:ascii="Arial" w:hAnsi="Arial" w:cs="Arial"/>
          <w:b/>
          <w:bCs/>
        </w:rPr>
        <w:t>БАНКНЫ ТУХАЙ ХУУЛЬД НЭМЭЛТ, ӨӨРЧЛӨЛТ ОРУУЛАХ ТУХАЙ ХУУЛИЙН ТӨСЛИЙН ҮР НӨЛӨӨНИЙ ҮНЭЛГЭЭ, ЗАРДЛЫН ТООЦОО</w:t>
      </w:r>
    </w:p>
    <w:p w14:paraId="7ECEEFC7" w14:textId="77777777" w:rsidR="00204C06" w:rsidRPr="008901ED" w:rsidRDefault="00204C06" w:rsidP="00204C06">
      <w:pPr>
        <w:pStyle w:val="p1"/>
        <w:spacing w:before="0" w:beforeAutospacing="0" w:after="0" w:afterAutospacing="0"/>
        <w:ind w:firstLine="567"/>
        <w:jc w:val="both"/>
        <w:rPr>
          <w:rFonts w:ascii="Arial" w:hAnsi="Arial" w:cs="Arial"/>
        </w:rPr>
      </w:pPr>
    </w:p>
    <w:p w14:paraId="63D19D07" w14:textId="77777777" w:rsidR="00204C06" w:rsidRPr="00685A8A" w:rsidRDefault="00204C06" w:rsidP="00204C06">
      <w:pPr>
        <w:pStyle w:val="Heading2"/>
        <w:spacing w:before="0" w:after="120"/>
        <w:ind w:firstLine="567"/>
        <w:jc w:val="both"/>
        <w:rPr>
          <w:rFonts w:ascii="Arial" w:hAnsi="Arial" w:cs="Arial"/>
          <w:sz w:val="24"/>
          <w:szCs w:val="24"/>
        </w:rPr>
      </w:pPr>
      <w:r w:rsidRPr="00685A8A">
        <w:rPr>
          <w:rStyle w:val="s1"/>
          <w:rFonts w:ascii="Arial" w:hAnsi="Arial" w:cs="Arial"/>
          <w:sz w:val="24"/>
          <w:szCs w:val="24"/>
        </w:rPr>
        <w:t>Нэг. Ерөнхий үндэслэл</w:t>
      </w:r>
    </w:p>
    <w:p w14:paraId="7B81F96B" w14:textId="77777777" w:rsidR="00204C06" w:rsidRPr="00685A8A" w:rsidRDefault="00204C06" w:rsidP="00204C06">
      <w:pPr>
        <w:pStyle w:val="p2"/>
        <w:spacing w:before="0" w:beforeAutospacing="0" w:after="120" w:afterAutospacing="0"/>
        <w:ind w:firstLine="567"/>
        <w:jc w:val="both"/>
        <w:rPr>
          <w:rFonts w:ascii="Arial" w:hAnsi="Arial" w:cs="Arial"/>
        </w:rPr>
      </w:pPr>
      <w:r w:rsidRPr="00685A8A">
        <w:rPr>
          <w:rFonts w:ascii="Arial" w:hAnsi="Arial" w:cs="Arial"/>
        </w:rPr>
        <w:t>Энэхүү хуулийн төслийн зорилго нь арилжааны банкуудын хөрөнгө оруулалтын боломжийг оновчтой өргөжүүлэх, Аж ахуйн нэгжийн орлогын албан татварын тухай хуулийн 21.17-д заасан орон нутгийн үнэт цаасыг банкны хөрөнгө оруулалтын зохицуулалттай уялдуулах, орон нутгийн бондын зах зээлийн анхны эрэлтийг бий болгох, санхүүгийн зах зээлийн гүнзгийрлийг нэмэгдүүлэхэд оршино.</w:t>
      </w:r>
    </w:p>
    <w:p w14:paraId="444A82F2" w14:textId="77777777" w:rsidR="00204C06" w:rsidRDefault="00204C06" w:rsidP="00204C06">
      <w:pPr>
        <w:pStyle w:val="p3"/>
        <w:spacing w:before="0" w:beforeAutospacing="0" w:after="0" w:afterAutospacing="0"/>
        <w:ind w:firstLine="567"/>
        <w:jc w:val="both"/>
        <w:rPr>
          <w:rFonts w:ascii="Arial" w:hAnsi="Arial" w:cs="Arial"/>
        </w:rPr>
      </w:pPr>
      <w:r w:rsidRPr="00685A8A">
        <w:rPr>
          <w:rFonts w:ascii="Arial" w:hAnsi="Arial" w:cs="Arial"/>
        </w:rPr>
        <w:t>Монгол Улсад банкны салбар санхүүгийн системийн үндсэн тулгуур хэвээр байгаа бөгөөд нийт санхүүжилтийн дийлэнх хэсгийг арилжааны банкууд бүрдүүлж байна. Гэвч санхүүгийн зах зээлийн бүтэц банкны зээлд хэт төвлөрсөн, урт хугацааны үнэт цаасны зах зээл сул хөгжсөн, орон нутгийн санхүүжилтийн бие даасан эх үүсвэр хангалтгүй байгаа нь санхүүгийн зах зээлийн үр ашиг, хүртээмжийг хязгаарлаж байна.</w:t>
      </w:r>
    </w:p>
    <w:p w14:paraId="798E482A" w14:textId="77777777" w:rsidR="00204C06" w:rsidRPr="00685A8A" w:rsidRDefault="00204C06" w:rsidP="00204C06">
      <w:pPr>
        <w:pStyle w:val="p3"/>
        <w:spacing w:before="0" w:beforeAutospacing="0" w:after="0" w:afterAutospacing="0"/>
        <w:ind w:firstLine="567"/>
        <w:jc w:val="both"/>
        <w:rPr>
          <w:rFonts w:ascii="Arial" w:hAnsi="Arial" w:cs="Arial"/>
        </w:rPr>
      </w:pPr>
    </w:p>
    <w:p w14:paraId="627373AF" w14:textId="77777777" w:rsidR="00204C06" w:rsidRPr="00685A8A" w:rsidRDefault="00204C06" w:rsidP="00204C06">
      <w:pPr>
        <w:pStyle w:val="Heading2"/>
        <w:spacing w:before="0" w:after="0" w:line="360" w:lineRule="auto"/>
        <w:ind w:firstLine="567"/>
        <w:jc w:val="both"/>
        <w:rPr>
          <w:rFonts w:ascii="Arial" w:hAnsi="Arial" w:cs="Arial"/>
          <w:sz w:val="24"/>
          <w:szCs w:val="24"/>
        </w:rPr>
      </w:pPr>
      <w:r w:rsidRPr="00685A8A">
        <w:rPr>
          <w:rStyle w:val="s1"/>
          <w:rFonts w:ascii="Arial" w:hAnsi="Arial" w:cs="Arial"/>
          <w:sz w:val="24"/>
          <w:szCs w:val="24"/>
        </w:rPr>
        <w:t>Хоёр. Эдийн засгийн үр нөлөөний үнэлгээ</w:t>
      </w:r>
    </w:p>
    <w:p w14:paraId="0229E728" w14:textId="77777777" w:rsidR="00204C06" w:rsidRPr="00685A8A" w:rsidRDefault="00204C06" w:rsidP="00204C06">
      <w:pPr>
        <w:pStyle w:val="p2"/>
        <w:spacing w:before="0" w:beforeAutospacing="0" w:after="0" w:afterAutospacing="0"/>
        <w:ind w:firstLine="567"/>
        <w:jc w:val="both"/>
        <w:rPr>
          <w:rFonts w:ascii="Arial" w:hAnsi="Arial" w:cs="Arial"/>
        </w:rPr>
      </w:pPr>
      <w:r w:rsidRPr="00685A8A">
        <w:rPr>
          <w:rFonts w:ascii="Arial" w:hAnsi="Arial" w:cs="Arial"/>
        </w:rPr>
        <w:t>Монгол Улсын банкны системийн нийт актив 2024–2025 оны байдлаар 60 их наяд төгрөгөөс давсан бөгөөд банкны салбар эдийн засгийн санхүүжилтийн гол эх үүсвэр хэвээр байна. Гэвч урт хугацааны хөрөнгө оруулалтын хэрэгслийн эзлэх хувь бага, орон нутгийн бондын зах зээл хөгжөөгүй байгаа нь санхүүжилтийн бүтэц хязгаарлагдмал байгааг харуулж байна.</w:t>
      </w:r>
    </w:p>
    <w:p w14:paraId="1C959032" w14:textId="77777777" w:rsidR="00204C06" w:rsidRPr="00685A8A" w:rsidRDefault="00204C06" w:rsidP="00204C06">
      <w:pPr>
        <w:pStyle w:val="p2"/>
        <w:spacing w:before="0" w:beforeAutospacing="0" w:after="0" w:afterAutospacing="0"/>
        <w:ind w:firstLine="567"/>
        <w:jc w:val="both"/>
        <w:rPr>
          <w:rFonts w:ascii="Arial" w:hAnsi="Arial" w:cs="Arial"/>
        </w:rPr>
      </w:pPr>
      <w:r w:rsidRPr="00685A8A">
        <w:rPr>
          <w:rFonts w:ascii="Arial" w:hAnsi="Arial" w:cs="Arial"/>
        </w:rPr>
        <w:t>Аж ахуйн нэгжийн орлогын албан татварын тухай хуулийн 21.17-д заасан орон нутгийн үнэт цаасны хүүгийн орлогыг татвараас чөлөөлөх бодлого нь хөрөнгө оруулагч талд сонирхол бий болгох нөхцөл бүрдүүлж байгаа боловч банкны тухай хуулийн зохицуулалттай бүрэн уялдаагүйгээс шалтгаалан бодит эрэлт хангалттай үүсэхгүй байна.</w:t>
      </w:r>
    </w:p>
    <w:p w14:paraId="30C99D84" w14:textId="77777777" w:rsidR="00204C06" w:rsidRPr="00685A8A" w:rsidRDefault="00204C06" w:rsidP="00204C06">
      <w:pPr>
        <w:pStyle w:val="p2"/>
        <w:spacing w:before="0" w:beforeAutospacing="0" w:after="0" w:afterAutospacing="0"/>
        <w:ind w:firstLine="567"/>
        <w:jc w:val="both"/>
        <w:rPr>
          <w:rFonts w:ascii="Arial" w:hAnsi="Arial" w:cs="Arial"/>
        </w:rPr>
      </w:pPr>
      <w:r w:rsidRPr="00685A8A">
        <w:rPr>
          <w:rFonts w:ascii="Arial" w:hAnsi="Arial" w:cs="Arial"/>
        </w:rPr>
        <w:t>Хуулийн төсөл батлагдсанаар арилжааны банкууд дээрх төрлийн үнэт цаасанд хөрөнгө оруулах эрх зүйн тодорхой орчин бүрдэж, орон нутгийн бондын зах зээлийн анхны эрэлт бий болно. Ингэснээр санхүүгийн эх үүсвэр төрөлжиж, орон нутгийн урт хугацааны санхүүжилтийн боломж нэмэгдэнэ.</w:t>
      </w:r>
    </w:p>
    <w:p w14:paraId="41ACA925" w14:textId="77777777" w:rsidR="00204C06" w:rsidRPr="00685A8A" w:rsidRDefault="00204C06" w:rsidP="00204C06">
      <w:pPr>
        <w:pStyle w:val="p2"/>
        <w:spacing w:before="0" w:beforeAutospacing="0" w:after="0" w:afterAutospacing="0"/>
        <w:ind w:firstLine="567"/>
        <w:jc w:val="both"/>
        <w:rPr>
          <w:rFonts w:ascii="Arial" w:hAnsi="Arial" w:cs="Arial"/>
        </w:rPr>
      </w:pPr>
      <w:r w:rsidRPr="00685A8A">
        <w:rPr>
          <w:rFonts w:ascii="Arial" w:hAnsi="Arial" w:cs="Arial"/>
        </w:rPr>
        <w:t>Олон улсын туршлагаас харахад орон нутгийн бондын зах зээлд банк болон институцийн хөрөнгө оруулагчдын оролцоо нь зах зээлийн хөгжилд чухал үүрэг гүйцэтгэдэг. Иймд энэхүү зохицуулалт нь санхүүгийн зах зээлийн гүнзгийрлийг нэмэгдүүлэх бодит суурь нөхцөл болно.</w:t>
      </w:r>
    </w:p>
    <w:p w14:paraId="17E1C244" w14:textId="77777777" w:rsidR="00204C06" w:rsidRPr="00685A8A" w:rsidRDefault="00204C06" w:rsidP="00204C06">
      <w:pPr>
        <w:pStyle w:val="p3"/>
        <w:spacing w:before="0" w:beforeAutospacing="0" w:after="120" w:afterAutospacing="0"/>
        <w:ind w:firstLine="567"/>
        <w:jc w:val="both"/>
        <w:rPr>
          <w:rFonts w:ascii="Arial" w:hAnsi="Arial" w:cs="Arial"/>
        </w:rPr>
      </w:pPr>
      <w:r w:rsidRPr="00685A8A">
        <w:rPr>
          <w:rFonts w:ascii="Arial" w:hAnsi="Arial" w:cs="Arial"/>
        </w:rPr>
        <w:t>Энэхүү хуулийн төсөл нь төсвөөс шууд санхүүжилт шаардахгүй бөгөөд дунд хугацаанд хөрөнгө оруулалт нэмэгдэх, эдийн засгийн идэвхжил сайжрах замаар татварын суурь өргөжих эерэг нөлөө үзүүлнэ.</w:t>
      </w:r>
    </w:p>
    <w:p w14:paraId="4AE66BAA" w14:textId="77777777" w:rsidR="00204C06" w:rsidRPr="00685A8A" w:rsidRDefault="00204C06" w:rsidP="00204C06">
      <w:pPr>
        <w:pStyle w:val="Heading2"/>
        <w:spacing w:before="0" w:after="120"/>
        <w:ind w:firstLine="567"/>
        <w:jc w:val="both"/>
        <w:rPr>
          <w:rFonts w:ascii="Arial" w:hAnsi="Arial" w:cs="Arial"/>
          <w:sz w:val="24"/>
          <w:szCs w:val="24"/>
        </w:rPr>
      </w:pPr>
      <w:r w:rsidRPr="00685A8A">
        <w:rPr>
          <w:rStyle w:val="s1"/>
          <w:rFonts w:ascii="Arial" w:hAnsi="Arial" w:cs="Arial"/>
          <w:sz w:val="24"/>
          <w:szCs w:val="24"/>
        </w:rPr>
        <w:t>Гурав. Эдийн засгийн өгөөжийн үнэлгээ</w:t>
      </w:r>
    </w:p>
    <w:p w14:paraId="04BD451C" w14:textId="77777777" w:rsidR="00204C06" w:rsidRPr="00601B43" w:rsidRDefault="00204C06" w:rsidP="00204C06">
      <w:pPr>
        <w:pStyle w:val="p2"/>
        <w:spacing w:before="0" w:beforeAutospacing="0" w:after="120" w:afterAutospacing="0"/>
        <w:ind w:firstLine="567"/>
        <w:jc w:val="both"/>
        <w:rPr>
          <w:rFonts w:ascii="Arial" w:hAnsi="Arial" w:cs="Arial"/>
          <w:lang w:val="mn-MN"/>
        </w:rPr>
      </w:pPr>
      <w:r w:rsidRPr="00685A8A">
        <w:rPr>
          <w:rFonts w:ascii="Arial" w:hAnsi="Arial" w:cs="Arial"/>
        </w:rPr>
        <w:t>Хуулийн төсөл хэрэгжсэнээр орон нутгийн бондын зах зээлийн анхны эрэлт бий болж, санхүүгийн эх үүсвэрийн төрөлжилт нэмэгдэнэ.</w:t>
      </w:r>
      <w:r>
        <w:rPr>
          <w:rFonts w:ascii="Arial" w:hAnsi="Arial" w:cs="Arial"/>
          <w:lang w:val="mn-MN"/>
        </w:rPr>
        <w:t xml:space="preserve"> </w:t>
      </w:r>
      <w:r w:rsidRPr="00601B43">
        <w:rPr>
          <w:rFonts w:ascii="Arial" w:hAnsi="Arial" w:cs="Arial"/>
          <w:lang w:val="mn-MN"/>
        </w:rPr>
        <w:t xml:space="preserve">Арилжааны банкуудын хөрөнгө оруулалтын бүтэц сайжирч, урт хугацааны санхүүгийн хэрэгсэлд чиглэсэн </w:t>
      </w:r>
      <w:r w:rsidRPr="00601B43">
        <w:rPr>
          <w:rFonts w:ascii="Arial" w:hAnsi="Arial" w:cs="Arial"/>
          <w:lang w:val="mn-MN"/>
        </w:rPr>
        <w:lastRenderedPageBreak/>
        <w:t>хөрөнгө оруулалт нэмэгдэх боломж бүрдэнэ.</w:t>
      </w:r>
      <w:r>
        <w:rPr>
          <w:rFonts w:ascii="Arial" w:hAnsi="Arial" w:cs="Arial"/>
          <w:lang w:val="mn-MN"/>
        </w:rPr>
        <w:t xml:space="preserve"> </w:t>
      </w:r>
      <w:r w:rsidRPr="00601B43">
        <w:rPr>
          <w:rFonts w:ascii="Arial" w:hAnsi="Arial" w:cs="Arial"/>
          <w:lang w:val="mn-MN"/>
        </w:rPr>
        <w:t>Орон нутаг дотоодын зах зээлээс урт хугацааны санхүүжилт татах боломжтой болж, дэд бүтэц, үйлдвэрлэлийн төслүүдийн санхүүжилт сайжирна.</w:t>
      </w:r>
    </w:p>
    <w:p w14:paraId="6C10E94F" w14:textId="77777777" w:rsidR="00204C06" w:rsidRPr="00601B43" w:rsidRDefault="00204C06" w:rsidP="00204C06">
      <w:pPr>
        <w:pStyle w:val="p3"/>
        <w:spacing w:before="0" w:beforeAutospacing="0" w:after="120" w:afterAutospacing="0"/>
        <w:ind w:firstLine="567"/>
        <w:jc w:val="both"/>
        <w:rPr>
          <w:rFonts w:ascii="Arial" w:hAnsi="Arial" w:cs="Arial"/>
          <w:lang w:val="mn-MN"/>
        </w:rPr>
      </w:pPr>
      <w:r w:rsidRPr="00601B43">
        <w:rPr>
          <w:rFonts w:ascii="Arial" w:hAnsi="Arial" w:cs="Arial"/>
          <w:lang w:val="mn-MN"/>
        </w:rPr>
        <w:t>Энэ нь эдийн засгийн өсөлтийг дэмжих, бүс нутгийн хөгжлийг тэнцвэржүүлэх, хувийн хэвшлийн хөрөнгө оруулалтыг нэмэгдүүлэхэд эерэг нөлөө үзүүлнэ.</w:t>
      </w:r>
    </w:p>
    <w:p w14:paraId="5FD366FF" w14:textId="77777777" w:rsidR="00204C06" w:rsidRPr="00601B43" w:rsidRDefault="00204C06" w:rsidP="00204C06">
      <w:pPr>
        <w:pStyle w:val="Heading2"/>
        <w:spacing w:before="0" w:after="120"/>
        <w:ind w:firstLine="567"/>
        <w:jc w:val="both"/>
        <w:rPr>
          <w:rFonts w:ascii="Arial" w:hAnsi="Arial" w:cs="Arial"/>
          <w:sz w:val="24"/>
          <w:szCs w:val="24"/>
          <w:lang w:val="mn-MN"/>
        </w:rPr>
      </w:pPr>
      <w:r w:rsidRPr="00601B43">
        <w:rPr>
          <w:rStyle w:val="s1"/>
          <w:rFonts w:ascii="Arial" w:hAnsi="Arial" w:cs="Arial"/>
          <w:sz w:val="24"/>
          <w:szCs w:val="24"/>
          <w:lang w:val="mn-MN"/>
        </w:rPr>
        <w:t>Дөрөв. Нийгмийн үр нөлөө</w:t>
      </w:r>
    </w:p>
    <w:p w14:paraId="4C2322AC" w14:textId="77777777" w:rsidR="00204C06" w:rsidRPr="00601B43" w:rsidRDefault="00204C06" w:rsidP="00204C06">
      <w:pPr>
        <w:pStyle w:val="p2"/>
        <w:spacing w:before="0" w:beforeAutospacing="0" w:after="120" w:afterAutospacing="0"/>
        <w:ind w:firstLine="567"/>
        <w:jc w:val="both"/>
        <w:rPr>
          <w:rFonts w:ascii="Arial" w:hAnsi="Arial" w:cs="Arial"/>
          <w:lang w:val="mn-MN"/>
        </w:rPr>
      </w:pPr>
      <w:r w:rsidRPr="00601B43">
        <w:rPr>
          <w:rFonts w:ascii="Arial" w:hAnsi="Arial" w:cs="Arial"/>
          <w:lang w:val="mn-MN"/>
        </w:rPr>
        <w:t>Хуулийн төсөл хэрэгжсэнээр орон нутгийн санхүүжилтийн боломж нэмэгдэж, бүс нутгийн хөгжлийн ялгаа буурах, орон нутгийн дэд бүтэц, үйлчилгээ сайжрах нөхцөл бүрдэнэ.</w:t>
      </w:r>
      <w:r>
        <w:rPr>
          <w:rFonts w:ascii="Arial" w:hAnsi="Arial" w:cs="Arial"/>
          <w:lang w:val="mn-MN"/>
        </w:rPr>
        <w:t xml:space="preserve"> </w:t>
      </w:r>
      <w:r w:rsidRPr="00601B43">
        <w:rPr>
          <w:rFonts w:ascii="Arial" w:hAnsi="Arial" w:cs="Arial"/>
          <w:lang w:val="mn-MN"/>
        </w:rPr>
        <w:t>Мөн орон нутагт хэрэгжих хөрөнгө оруулалтын төслүүд нэмэгдсэнээр ажлын байр бий болох, иргэдийн орлогын эх үүсвэр нэмэгдэх, амьдралын чанар сайжрах эерэг үр нөлөө үзүүлнэ.</w:t>
      </w:r>
    </w:p>
    <w:p w14:paraId="7AF5F8BF" w14:textId="77777777" w:rsidR="00204C06" w:rsidRPr="00601B43" w:rsidRDefault="00204C06" w:rsidP="00204C06">
      <w:pPr>
        <w:pStyle w:val="Heading2"/>
        <w:spacing w:before="0" w:after="120"/>
        <w:ind w:firstLine="567"/>
        <w:jc w:val="both"/>
        <w:rPr>
          <w:rFonts w:ascii="Arial" w:hAnsi="Arial" w:cs="Arial"/>
          <w:sz w:val="24"/>
          <w:szCs w:val="24"/>
          <w:lang w:val="mn-MN"/>
        </w:rPr>
      </w:pPr>
      <w:r w:rsidRPr="00601B43">
        <w:rPr>
          <w:rStyle w:val="s1"/>
          <w:rFonts w:ascii="Arial" w:hAnsi="Arial" w:cs="Arial"/>
          <w:sz w:val="24"/>
          <w:szCs w:val="24"/>
          <w:lang w:val="mn-MN"/>
        </w:rPr>
        <w:t>Тав. Санхүүгийн зах зээлд үзүүлэх нөлөө</w:t>
      </w:r>
    </w:p>
    <w:p w14:paraId="4954B68A" w14:textId="77777777" w:rsidR="00204C06" w:rsidRPr="00601B43" w:rsidRDefault="00204C06" w:rsidP="00204C06">
      <w:pPr>
        <w:pStyle w:val="p2"/>
        <w:spacing w:before="0" w:beforeAutospacing="0" w:after="120" w:afterAutospacing="0"/>
        <w:ind w:firstLine="567"/>
        <w:jc w:val="both"/>
        <w:rPr>
          <w:rFonts w:ascii="Arial" w:hAnsi="Arial" w:cs="Arial"/>
          <w:lang w:val="mn-MN"/>
        </w:rPr>
      </w:pPr>
      <w:r w:rsidRPr="00601B43">
        <w:rPr>
          <w:rFonts w:ascii="Arial" w:hAnsi="Arial" w:cs="Arial"/>
          <w:lang w:val="mn-MN"/>
        </w:rPr>
        <w:t>Хуулийн төсөл батлагдсанаар санхүүгийн зах зээлд шинэ хөрөнгө оруулалтын хэрэгсэл бодитоор бий болж, банкны салбарын хөрөнгө оруулалтын бүтэц төрөлжинө.</w:t>
      </w:r>
      <w:r>
        <w:rPr>
          <w:rFonts w:ascii="Arial" w:hAnsi="Arial" w:cs="Arial"/>
          <w:lang w:val="mn-MN"/>
        </w:rPr>
        <w:t xml:space="preserve"> </w:t>
      </w:r>
      <w:r w:rsidRPr="00601B43">
        <w:rPr>
          <w:rFonts w:ascii="Arial" w:hAnsi="Arial" w:cs="Arial"/>
          <w:lang w:val="mn-MN"/>
        </w:rPr>
        <w:t>Арилжааны банкууд орон нутгийн үнэт цаасанд хөрөнгө оруулах боломжтой болсноор зах зээлийн эрэлт нэмэгдэж, бондын зах зээлийн хөгжилд эерэг нөлөө үзүүлнэ.</w:t>
      </w:r>
      <w:r>
        <w:rPr>
          <w:rFonts w:ascii="Arial" w:hAnsi="Arial" w:cs="Arial"/>
          <w:lang w:val="mn-MN"/>
        </w:rPr>
        <w:t xml:space="preserve"> </w:t>
      </w:r>
      <w:r w:rsidRPr="00601B43">
        <w:rPr>
          <w:rFonts w:ascii="Arial" w:hAnsi="Arial" w:cs="Arial"/>
          <w:lang w:val="mn-MN"/>
        </w:rPr>
        <w:t>Энэ нь санхүүгийн зах зээлийн гүнзгийрэл, тогтвортой байдлыг нэмэгдүүлэх суурь нөхцөл болно.</w:t>
      </w:r>
    </w:p>
    <w:p w14:paraId="51EBAF69" w14:textId="77777777" w:rsidR="00204C06" w:rsidRPr="00601B43" w:rsidRDefault="00204C06" w:rsidP="00204C06">
      <w:pPr>
        <w:pStyle w:val="Heading2"/>
        <w:spacing w:before="0" w:after="120"/>
        <w:ind w:firstLine="567"/>
        <w:jc w:val="both"/>
        <w:rPr>
          <w:rFonts w:ascii="Arial" w:hAnsi="Arial" w:cs="Arial"/>
          <w:sz w:val="24"/>
          <w:szCs w:val="24"/>
          <w:lang w:val="mn-MN"/>
        </w:rPr>
      </w:pPr>
      <w:r w:rsidRPr="00601B43">
        <w:rPr>
          <w:rStyle w:val="s1"/>
          <w:rFonts w:ascii="Arial" w:hAnsi="Arial" w:cs="Arial"/>
          <w:sz w:val="24"/>
          <w:szCs w:val="24"/>
          <w:lang w:val="mn-MN"/>
        </w:rPr>
        <w:t>Зургаа. Эрсдэлийн үнэлгээ</w:t>
      </w:r>
    </w:p>
    <w:p w14:paraId="59B542D5" w14:textId="77777777" w:rsidR="00204C06" w:rsidRPr="00601B43" w:rsidRDefault="00204C06" w:rsidP="00204C06">
      <w:pPr>
        <w:pStyle w:val="p2"/>
        <w:spacing w:before="0" w:beforeAutospacing="0" w:after="120" w:afterAutospacing="0"/>
        <w:ind w:firstLine="567"/>
        <w:jc w:val="both"/>
        <w:rPr>
          <w:rFonts w:ascii="Arial" w:hAnsi="Arial" w:cs="Arial"/>
          <w:lang w:val="mn-MN"/>
        </w:rPr>
      </w:pPr>
      <w:r w:rsidRPr="00601B43">
        <w:rPr>
          <w:rFonts w:ascii="Arial" w:hAnsi="Arial" w:cs="Arial"/>
          <w:lang w:val="mn-MN"/>
        </w:rPr>
        <w:t>Хуулийн төсөл хэрэгжих явцад орон нутгийн өрийн удирдлага сул байх, санхүүгийн сахилга бат хангалтгүй байх, хөрөнгө оруулалтын эрсдэл буруу үнэлэгдэх эрсдэл үүсч болзошгүй.</w:t>
      </w:r>
      <w:r>
        <w:rPr>
          <w:rFonts w:ascii="Arial" w:hAnsi="Arial" w:cs="Arial"/>
          <w:lang w:val="mn-MN"/>
        </w:rPr>
        <w:t xml:space="preserve"> </w:t>
      </w:r>
      <w:r w:rsidRPr="00601B43">
        <w:rPr>
          <w:rFonts w:ascii="Arial" w:hAnsi="Arial" w:cs="Arial"/>
          <w:lang w:val="mn-MN"/>
        </w:rPr>
        <w:t>Иймд Монголбанк болон холбогдох байгууллагууд орон нутгийн үнэт цаасанд хөрөнгө оруулахтай холбоотой шалгуур, хязгаарлалт, эрсдэлийн удирдлагын зохицуулалтыг тодорхой болгох шаардлагатай.</w:t>
      </w:r>
      <w:r>
        <w:rPr>
          <w:rFonts w:ascii="Arial" w:hAnsi="Arial" w:cs="Arial"/>
          <w:lang w:val="mn-MN"/>
        </w:rPr>
        <w:t xml:space="preserve"> </w:t>
      </w:r>
      <w:r w:rsidRPr="00601B43">
        <w:rPr>
          <w:rFonts w:ascii="Arial" w:hAnsi="Arial" w:cs="Arial"/>
          <w:lang w:val="mn-MN"/>
        </w:rPr>
        <w:t>Мөн мэдээллийн ил тод байдал, тайлагнал, хяналт шалгалтыг сайжруулах нь эрсдэлийг бууруулах үндсэн нөхцөл болно.</w:t>
      </w:r>
    </w:p>
    <w:p w14:paraId="19D1D09B" w14:textId="77777777" w:rsidR="00204C06" w:rsidRPr="00601B43" w:rsidRDefault="00204C06" w:rsidP="00204C06">
      <w:pPr>
        <w:pStyle w:val="Heading2"/>
        <w:spacing w:before="0" w:after="120"/>
        <w:ind w:firstLine="567"/>
        <w:jc w:val="both"/>
        <w:rPr>
          <w:rFonts w:ascii="Arial" w:hAnsi="Arial" w:cs="Arial"/>
          <w:sz w:val="24"/>
          <w:szCs w:val="24"/>
          <w:lang w:val="mn-MN"/>
        </w:rPr>
      </w:pPr>
      <w:r w:rsidRPr="00601B43">
        <w:rPr>
          <w:rStyle w:val="s1"/>
          <w:rFonts w:ascii="Arial" w:hAnsi="Arial" w:cs="Arial"/>
          <w:sz w:val="24"/>
          <w:szCs w:val="24"/>
          <w:lang w:val="mn-MN"/>
        </w:rPr>
        <w:t>Долоо. Зардлын тооцоо</w:t>
      </w:r>
    </w:p>
    <w:p w14:paraId="213C7B04" w14:textId="77777777" w:rsidR="00204C06" w:rsidRPr="00601B43" w:rsidRDefault="00204C06" w:rsidP="00204C06">
      <w:pPr>
        <w:pStyle w:val="p2"/>
        <w:spacing w:before="0" w:beforeAutospacing="0" w:after="120" w:afterAutospacing="0"/>
        <w:ind w:firstLine="567"/>
        <w:jc w:val="both"/>
        <w:rPr>
          <w:rFonts w:ascii="Arial" w:hAnsi="Arial" w:cs="Arial"/>
          <w:lang w:val="mn-MN"/>
        </w:rPr>
      </w:pPr>
      <w:r w:rsidRPr="00601B43">
        <w:rPr>
          <w:rFonts w:ascii="Arial" w:hAnsi="Arial" w:cs="Arial"/>
          <w:lang w:val="mn-MN"/>
        </w:rPr>
        <w:t>Энэхүү хуулийн төсөл хэрэгжихэд улсын төсвөөс шууд зардал гарахгүй.</w:t>
      </w:r>
    </w:p>
    <w:p w14:paraId="2847FE7A" w14:textId="77777777" w:rsidR="00204C06" w:rsidRPr="00601B43" w:rsidRDefault="00204C06" w:rsidP="00204C06">
      <w:pPr>
        <w:pStyle w:val="p2"/>
        <w:spacing w:before="0" w:beforeAutospacing="0" w:after="0" w:afterAutospacing="0"/>
        <w:ind w:firstLine="567"/>
        <w:jc w:val="both"/>
        <w:rPr>
          <w:rFonts w:ascii="Arial" w:hAnsi="Arial" w:cs="Arial"/>
          <w:lang w:val="mn-MN"/>
        </w:rPr>
      </w:pPr>
      <w:r w:rsidRPr="00601B43">
        <w:rPr>
          <w:rFonts w:ascii="Arial" w:hAnsi="Arial" w:cs="Arial"/>
          <w:lang w:val="mn-MN"/>
        </w:rPr>
        <w:t>Банкны салбарт хөрөнгө оруулалтын бодлого, дотоод журамд тодорхой өөрчлөлт оруулахтай холбоотой зохицуулалтын зардал үүсэх боломжтой боловч энэ нь хязгаарлагдмал хэмжээтэй байна.</w:t>
      </w:r>
    </w:p>
    <w:p w14:paraId="6CFA66BC" w14:textId="77777777" w:rsidR="00204C06" w:rsidRPr="00601B43" w:rsidRDefault="00204C06" w:rsidP="00204C06">
      <w:pPr>
        <w:pStyle w:val="p3"/>
        <w:spacing w:before="0" w:beforeAutospacing="0" w:after="120" w:afterAutospacing="0"/>
        <w:ind w:firstLine="567"/>
        <w:jc w:val="both"/>
        <w:rPr>
          <w:rFonts w:ascii="Arial" w:hAnsi="Arial" w:cs="Arial"/>
          <w:lang w:val="mn-MN"/>
        </w:rPr>
      </w:pPr>
      <w:r w:rsidRPr="00601B43">
        <w:rPr>
          <w:rFonts w:ascii="Arial" w:hAnsi="Arial" w:cs="Arial"/>
          <w:lang w:val="mn-MN"/>
        </w:rPr>
        <w:t>Харин дунд, урт хугацаанд санхүүгийн зах зээлийн гүнзгийрэл, хөрөнгө оруулалтын өсөлтөөр эдгээр зардал нөхөгдөнө.</w:t>
      </w:r>
    </w:p>
    <w:p w14:paraId="5D442106" w14:textId="77777777" w:rsidR="00204C06" w:rsidRPr="00601B43" w:rsidRDefault="00204C06" w:rsidP="00204C06">
      <w:pPr>
        <w:pStyle w:val="Heading2"/>
        <w:spacing w:before="0" w:after="120"/>
        <w:ind w:firstLine="567"/>
        <w:jc w:val="both"/>
        <w:rPr>
          <w:rFonts w:ascii="Arial" w:hAnsi="Arial" w:cs="Arial"/>
          <w:sz w:val="24"/>
          <w:szCs w:val="24"/>
          <w:lang w:val="mn-MN"/>
        </w:rPr>
      </w:pPr>
      <w:r w:rsidRPr="00601B43">
        <w:rPr>
          <w:rStyle w:val="s1"/>
          <w:rFonts w:ascii="Arial" w:hAnsi="Arial" w:cs="Arial"/>
          <w:sz w:val="24"/>
          <w:szCs w:val="24"/>
          <w:lang w:val="mn-MN"/>
        </w:rPr>
        <w:t>Найм. Ерөнхий дүгнэлт</w:t>
      </w:r>
    </w:p>
    <w:p w14:paraId="19B3BE38" w14:textId="77777777" w:rsidR="00204C06" w:rsidRPr="00601B43" w:rsidRDefault="00204C06" w:rsidP="00204C06">
      <w:pPr>
        <w:pStyle w:val="p2"/>
        <w:spacing w:before="0" w:beforeAutospacing="0" w:after="120" w:afterAutospacing="0"/>
        <w:ind w:firstLine="567"/>
        <w:jc w:val="both"/>
        <w:rPr>
          <w:rFonts w:ascii="Arial" w:hAnsi="Arial" w:cs="Arial"/>
          <w:lang w:val="mn-MN"/>
        </w:rPr>
      </w:pPr>
      <w:r w:rsidRPr="00601B43">
        <w:rPr>
          <w:rFonts w:ascii="Arial" w:hAnsi="Arial" w:cs="Arial"/>
          <w:lang w:val="mn-MN"/>
        </w:rPr>
        <w:t>Энэхүү хуулийн төсөл нь орон нутгийн бондын зах зээлийг хөгжүүлэх, санхүүгийн эх үүсвэрийг төрөлжүүлэх, банкны салбарын хөрөнгө оруулалтын боломжийг нэмэгдүүлэх стратегийн ач холбогдолтой байна.</w:t>
      </w:r>
    </w:p>
    <w:p w14:paraId="1F95386C" w14:textId="77777777" w:rsidR="00204C06" w:rsidRPr="00601B43" w:rsidRDefault="00204C06" w:rsidP="00204C06">
      <w:pPr>
        <w:pStyle w:val="p2"/>
        <w:spacing w:before="0" w:beforeAutospacing="0" w:after="0" w:afterAutospacing="0"/>
        <w:ind w:firstLine="567"/>
        <w:jc w:val="both"/>
        <w:rPr>
          <w:rFonts w:ascii="Arial" w:hAnsi="Arial" w:cs="Arial"/>
          <w:lang w:val="mn-MN"/>
        </w:rPr>
      </w:pPr>
      <w:r w:rsidRPr="00601B43">
        <w:rPr>
          <w:rFonts w:ascii="Arial" w:hAnsi="Arial" w:cs="Arial"/>
          <w:lang w:val="mn-MN"/>
        </w:rPr>
        <w:t>Татварын бодлого болон банкны зохицуулалтын уялдааг хангах замаар хөрөнгө оруулалтын бодит эрэлтийг бий болгож, эдийн засгийн өсөлт, бүс нутгийн хөгжлийг дэмжих эерэг үр нөлөө давамгайлна.</w:t>
      </w:r>
    </w:p>
    <w:p w14:paraId="3AA2450D" w14:textId="77777777" w:rsidR="00204C06" w:rsidRPr="00601B43" w:rsidRDefault="00204C06" w:rsidP="00204C06">
      <w:pPr>
        <w:pStyle w:val="p3"/>
        <w:spacing w:before="0" w:beforeAutospacing="0" w:after="0" w:afterAutospacing="0"/>
        <w:ind w:firstLine="567"/>
        <w:jc w:val="both"/>
        <w:rPr>
          <w:rFonts w:ascii="Arial" w:hAnsi="Arial" w:cs="Arial"/>
          <w:lang w:val="mn-MN"/>
        </w:rPr>
      </w:pPr>
      <w:r w:rsidRPr="00601B43">
        <w:rPr>
          <w:rFonts w:ascii="Arial" w:hAnsi="Arial" w:cs="Arial"/>
          <w:lang w:val="mn-MN"/>
        </w:rPr>
        <w:lastRenderedPageBreak/>
        <w:t>Иймд “Банкны тухай хуульд нэмэлт, өөрчлөлт оруулах тухай” хуулийн төслийг батлан хэрэгжүүлэх нь Монгол Улсын санхүүгийн зах зээлийн хөгжил, эдийн засгийн тогтвортой өсөлтөд чухал ач холбогдолтой гэж үзэж байна.</w:t>
      </w:r>
    </w:p>
    <w:p w14:paraId="7E3FD7F0" w14:textId="77777777" w:rsidR="00204C06" w:rsidRPr="00601B43" w:rsidRDefault="00204C06" w:rsidP="00204C06">
      <w:pPr>
        <w:pStyle w:val="p2"/>
        <w:spacing w:before="0" w:beforeAutospacing="0" w:after="0" w:afterAutospacing="0"/>
        <w:ind w:firstLine="567"/>
        <w:jc w:val="both"/>
        <w:rPr>
          <w:rFonts w:ascii="Arial" w:hAnsi="Arial" w:cs="Arial"/>
          <w:lang w:val="mn-MN"/>
        </w:rPr>
      </w:pPr>
    </w:p>
    <w:p w14:paraId="724C18AE" w14:textId="77777777" w:rsidR="00204C06" w:rsidRPr="00601B43" w:rsidRDefault="00204C06" w:rsidP="00204C06">
      <w:pPr>
        <w:pStyle w:val="p2"/>
        <w:spacing w:before="0" w:beforeAutospacing="0" w:after="0" w:afterAutospacing="0"/>
        <w:ind w:firstLine="567"/>
        <w:jc w:val="both"/>
        <w:rPr>
          <w:rFonts w:ascii="Arial" w:hAnsi="Arial" w:cs="Arial"/>
          <w:lang w:val="mn-MN"/>
        </w:rPr>
      </w:pPr>
    </w:p>
    <w:p w14:paraId="6C5BCD36" w14:textId="77777777" w:rsidR="00204C06" w:rsidRPr="00601B43" w:rsidRDefault="00204C06" w:rsidP="00204C06">
      <w:pPr>
        <w:pStyle w:val="p2"/>
        <w:spacing w:before="0" w:beforeAutospacing="0" w:after="0" w:afterAutospacing="0"/>
        <w:ind w:firstLine="567"/>
        <w:jc w:val="both"/>
        <w:rPr>
          <w:rFonts w:ascii="Arial" w:hAnsi="Arial" w:cs="Arial"/>
          <w:lang w:val="mn-MN"/>
        </w:rPr>
      </w:pPr>
    </w:p>
    <w:p w14:paraId="18DC7027" w14:textId="77777777" w:rsidR="00204C06" w:rsidRPr="00601B43" w:rsidRDefault="00204C06" w:rsidP="00204C06">
      <w:pPr>
        <w:pStyle w:val="p2"/>
        <w:spacing w:before="0" w:beforeAutospacing="0" w:after="0" w:afterAutospacing="0"/>
        <w:ind w:firstLine="567"/>
        <w:jc w:val="both"/>
        <w:rPr>
          <w:rFonts w:ascii="Arial" w:hAnsi="Arial" w:cs="Arial"/>
          <w:lang w:val="mn-MN"/>
        </w:rPr>
      </w:pPr>
    </w:p>
    <w:p w14:paraId="5BC7526C" w14:textId="77777777" w:rsidR="00204C06" w:rsidRPr="00505289" w:rsidRDefault="00204C06" w:rsidP="00204C06">
      <w:pPr>
        <w:ind w:right="4" w:firstLine="567"/>
        <w:jc w:val="center"/>
        <w:rPr>
          <w:rFonts w:ascii="Arial" w:hAnsi="Arial" w:cs="Arial"/>
        </w:rPr>
      </w:pPr>
      <w:r w:rsidRPr="00505289">
        <w:rPr>
          <w:rFonts w:ascii="Arial" w:hAnsi="Arial" w:cs="Arial"/>
          <w:lang w:val="mn-MN"/>
        </w:rPr>
        <w:t>-----оОо-----</w:t>
      </w:r>
    </w:p>
    <w:p w14:paraId="08B1D34D" w14:textId="77777777" w:rsidR="00204C06" w:rsidRPr="008901ED" w:rsidRDefault="00204C06" w:rsidP="00204C06">
      <w:pPr>
        <w:ind w:firstLine="567"/>
        <w:jc w:val="both"/>
        <w:rPr>
          <w:rFonts w:ascii="Arial" w:hAnsi="Arial" w:cs="Arial"/>
        </w:rPr>
      </w:pPr>
    </w:p>
    <w:p w14:paraId="627410CC" w14:textId="77777777"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06"/>
    <w:rsid w:val="00204C06"/>
    <w:rsid w:val="002F1630"/>
    <w:rsid w:val="003E6615"/>
    <w:rsid w:val="006E6AE2"/>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282B66E"/>
  <w15:chartTrackingRefBased/>
  <w15:docId w15:val="{008672CA-B713-AA47-A356-1C9D8182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06"/>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204C0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MN"/>
      <w14:ligatures w14:val="standardContextual"/>
    </w:rPr>
  </w:style>
  <w:style w:type="paragraph" w:styleId="Heading2">
    <w:name w:val="heading 2"/>
    <w:basedOn w:val="Normal"/>
    <w:next w:val="Normal"/>
    <w:link w:val="Heading2Char"/>
    <w:uiPriority w:val="9"/>
    <w:unhideWhenUsed/>
    <w:qFormat/>
    <w:rsid w:val="00204C0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204C06"/>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204C06"/>
    <w:pPr>
      <w:keepNext/>
      <w:keepLines/>
      <w:spacing w:before="80" w:after="40"/>
      <w:outlineLvl w:val="3"/>
    </w:pPr>
    <w:rPr>
      <w:rFonts w:asciiTheme="minorHAnsi" w:eastAsiaTheme="majorEastAsia" w:hAnsiTheme="minorHAnsi" w:cstheme="majorBidi"/>
      <w:i/>
      <w:iCs/>
      <w:color w:val="0F4761" w:themeColor="accent1" w:themeShade="BF"/>
      <w:kern w:val="2"/>
      <w:lang w:val="en-MN"/>
      <w14:ligatures w14:val="standardContextual"/>
    </w:rPr>
  </w:style>
  <w:style w:type="paragraph" w:styleId="Heading5">
    <w:name w:val="heading 5"/>
    <w:basedOn w:val="Normal"/>
    <w:next w:val="Normal"/>
    <w:link w:val="Heading5Char"/>
    <w:uiPriority w:val="9"/>
    <w:semiHidden/>
    <w:unhideWhenUsed/>
    <w:qFormat/>
    <w:rsid w:val="00204C06"/>
    <w:pPr>
      <w:keepNext/>
      <w:keepLines/>
      <w:spacing w:before="80" w:after="40"/>
      <w:outlineLvl w:val="4"/>
    </w:pPr>
    <w:rPr>
      <w:rFonts w:asciiTheme="minorHAnsi" w:eastAsiaTheme="majorEastAsia" w:hAnsiTheme="minorHAnsi" w:cstheme="majorBidi"/>
      <w:color w:val="0F4761" w:themeColor="accent1" w:themeShade="BF"/>
      <w:kern w:val="2"/>
      <w:lang w:val="en-MN"/>
      <w14:ligatures w14:val="standardContextual"/>
    </w:rPr>
  </w:style>
  <w:style w:type="paragraph" w:styleId="Heading6">
    <w:name w:val="heading 6"/>
    <w:basedOn w:val="Normal"/>
    <w:next w:val="Normal"/>
    <w:link w:val="Heading6Char"/>
    <w:uiPriority w:val="9"/>
    <w:semiHidden/>
    <w:unhideWhenUsed/>
    <w:qFormat/>
    <w:rsid w:val="00204C06"/>
    <w:pPr>
      <w:keepNext/>
      <w:keepLines/>
      <w:spacing w:before="40"/>
      <w:outlineLvl w:val="5"/>
    </w:pPr>
    <w:rPr>
      <w:rFonts w:asciiTheme="minorHAnsi" w:eastAsiaTheme="majorEastAsia" w:hAnsiTheme="minorHAnsi" w:cstheme="majorBidi"/>
      <w:i/>
      <w:iCs/>
      <w:color w:val="595959" w:themeColor="text1" w:themeTint="A6"/>
      <w:kern w:val="2"/>
      <w:lang w:val="en-MN"/>
      <w14:ligatures w14:val="standardContextual"/>
    </w:rPr>
  </w:style>
  <w:style w:type="paragraph" w:styleId="Heading7">
    <w:name w:val="heading 7"/>
    <w:basedOn w:val="Normal"/>
    <w:next w:val="Normal"/>
    <w:link w:val="Heading7Char"/>
    <w:uiPriority w:val="9"/>
    <w:semiHidden/>
    <w:unhideWhenUsed/>
    <w:qFormat/>
    <w:rsid w:val="00204C06"/>
    <w:pPr>
      <w:keepNext/>
      <w:keepLines/>
      <w:spacing w:before="40"/>
      <w:outlineLvl w:val="6"/>
    </w:pPr>
    <w:rPr>
      <w:rFonts w:asciiTheme="minorHAnsi" w:eastAsiaTheme="majorEastAsia" w:hAnsiTheme="minorHAnsi" w:cstheme="majorBidi"/>
      <w:color w:val="595959" w:themeColor="text1" w:themeTint="A6"/>
      <w:kern w:val="2"/>
      <w:lang w:val="en-MN"/>
      <w14:ligatures w14:val="standardContextual"/>
    </w:rPr>
  </w:style>
  <w:style w:type="paragraph" w:styleId="Heading8">
    <w:name w:val="heading 8"/>
    <w:basedOn w:val="Normal"/>
    <w:next w:val="Normal"/>
    <w:link w:val="Heading8Char"/>
    <w:uiPriority w:val="9"/>
    <w:semiHidden/>
    <w:unhideWhenUsed/>
    <w:qFormat/>
    <w:rsid w:val="00204C06"/>
    <w:pPr>
      <w:keepNext/>
      <w:keepLines/>
      <w:outlineLvl w:val="7"/>
    </w:pPr>
    <w:rPr>
      <w:rFonts w:asciiTheme="minorHAnsi" w:eastAsiaTheme="majorEastAsia" w:hAnsiTheme="minorHAnsi" w:cstheme="majorBidi"/>
      <w:i/>
      <w:iCs/>
      <w:color w:val="272727" w:themeColor="text1" w:themeTint="D8"/>
      <w:kern w:val="2"/>
      <w:lang w:val="en-MN"/>
      <w14:ligatures w14:val="standardContextual"/>
    </w:rPr>
  </w:style>
  <w:style w:type="paragraph" w:styleId="Heading9">
    <w:name w:val="heading 9"/>
    <w:basedOn w:val="Normal"/>
    <w:next w:val="Normal"/>
    <w:link w:val="Heading9Char"/>
    <w:uiPriority w:val="9"/>
    <w:semiHidden/>
    <w:unhideWhenUsed/>
    <w:qFormat/>
    <w:rsid w:val="00204C06"/>
    <w:pPr>
      <w:keepNext/>
      <w:keepLines/>
      <w:outlineLvl w:val="8"/>
    </w:pPr>
    <w:rPr>
      <w:rFonts w:asciiTheme="minorHAnsi" w:eastAsiaTheme="majorEastAsia" w:hAnsiTheme="minorHAnsi" w:cstheme="majorBidi"/>
      <w:color w:val="272727" w:themeColor="text1" w:themeTint="D8"/>
      <w:kern w:val="2"/>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4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C06"/>
    <w:rPr>
      <w:rFonts w:eastAsiaTheme="majorEastAsia" w:cstheme="majorBidi"/>
      <w:color w:val="272727" w:themeColor="text1" w:themeTint="D8"/>
    </w:rPr>
  </w:style>
  <w:style w:type="paragraph" w:styleId="Title">
    <w:name w:val="Title"/>
    <w:basedOn w:val="Normal"/>
    <w:next w:val="Normal"/>
    <w:link w:val="TitleChar"/>
    <w:uiPriority w:val="10"/>
    <w:qFormat/>
    <w:rsid w:val="00204C06"/>
    <w:pPr>
      <w:spacing w:after="80"/>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204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C06"/>
    <w:pPr>
      <w:numPr>
        <w:ilvl w:val="1"/>
      </w:numPr>
      <w:spacing w:after="160"/>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204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C06"/>
    <w:pPr>
      <w:spacing w:before="160" w:after="160"/>
      <w:jc w:val="center"/>
    </w:pPr>
    <w:rPr>
      <w:rFonts w:asciiTheme="minorHAnsi" w:eastAsiaTheme="minorHAnsi" w:hAnsiTheme="minorHAnsi" w:cstheme="minorBidi"/>
      <w:i/>
      <w:iCs/>
      <w:color w:val="404040" w:themeColor="text1" w:themeTint="BF"/>
      <w:kern w:val="2"/>
      <w:lang w:val="en-MN"/>
      <w14:ligatures w14:val="standardContextual"/>
    </w:rPr>
  </w:style>
  <w:style w:type="character" w:customStyle="1" w:styleId="QuoteChar">
    <w:name w:val="Quote Char"/>
    <w:basedOn w:val="DefaultParagraphFont"/>
    <w:link w:val="Quote"/>
    <w:uiPriority w:val="29"/>
    <w:rsid w:val="00204C06"/>
    <w:rPr>
      <w:i/>
      <w:iCs/>
      <w:color w:val="404040" w:themeColor="text1" w:themeTint="BF"/>
    </w:rPr>
  </w:style>
  <w:style w:type="paragraph" w:styleId="ListParagraph">
    <w:name w:val="List Paragraph"/>
    <w:basedOn w:val="Normal"/>
    <w:uiPriority w:val="34"/>
    <w:qFormat/>
    <w:rsid w:val="00204C06"/>
    <w:pPr>
      <w:ind w:left="720"/>
      <w:contextualSpacing/>
    </w:pPr>
    <w:rPr>
      <w:rFonts w:asciiTheme="minorHAnsi" w:eastAsiaTheme="minorHAnsi" w:hAnsiTheme="minorHAnsi" w:cstheme="minorBidi"/>
      <w:kern w:val="2"/>
      <w:lang w:val="en-MN"/>
      <w14:ligatures w14:val="standardContextual"/>
    </w:rPr>
  </w:style>
  <w:style w:type="character" w:styleId="IntenseEmphasis">
    <w:name w:val="Intense Emphasis"/>
    <w:basedOn w:val="DefaultParagraphFont"/>
    <w:uiPriority w:val="21"/>
    <w:qFormat/>
    <w:rsid w:val="00204C06"/>
    <w:rPr>
      <w:i/>
      <w:iCs/>
      <w:color w:val="0F4761" w:themeColor="accent1" w:themeShade="BF"/>
    </w:rPr>
  </w:style>
  <w:style w:type="paragraph" w:styleId="IntenseQuote">
    <w:name w:val="Intense Quote"/>
    <w:basedOn w:val="Normal"/>
    <w:next w:val="Normal"/>
    <w:link w:val="IntenseQuoteChar"/>
    <w:uiPriority w:val="30"/>
    <w:qFormat/>
    <w:rsid w:val="00204C0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MN"/>
      <w14:ligatures w14:val="standardContextual"/>
    </w:rPr>
  </w:style>
  <w:style w:type="character" w:customStyle="1" w:styleId="IntenseQuoteChar">
    <w:name w:val="Intense Quote Char"/>
    <w:basedOn w:val="DefaultParagraphFont"/>
    <w:link w:val="IntenseQuote"/>
    <w:uiPriority w:val="30"/>
    <w:rsid w:val="00204C06"/>
    <w:rPr>
      <w:i/>
      <w:iCs/>
      <w:color w:val="0F4761" w:themeColor="accent1" w:themeShade="BF"/>
    </w:rPr>
  </w:style>
  <w:style w:type="character" w:styleId="IntenseReference">
    <w:name w:val="Intense Reference"/>
    <w:basedOn w:val="DefaultParagraphFont"/>
    <w:uiPriority w:val="32"/>
    <w:qFormat/>
    <w:rsid w:val="00204C06"/>
    <w:rPr>
      <w:b/>
      <w:bCs/>
      <w:smallCaps/>
      <w:color w:val="0F4761" w:themeColor="accent1" w:themeShade="BF"/>
      <w:spacing w:val="5"/>
    </w:rPr>
  </w:style>
  <w:style w:type="character" w:customStyle="1" w:styleId="s1">
    <w:name w:val="s1"/>
    <w:basedOn w:val="DefaultParagraphFont"/>
    <w:rsid w:val="00204C06"/>
  </w:style>
  <w:style w:type="paragraph" w:customStyle="1" w:styleId="p2">
    <w:name w:val="p2"/>
    <w:basedOn w:val="Normal"/>
    <w:rsid w:val="00204C06"/>
    <w:pPr>
      <w:spacing w:before="100" w:beforeAutospacing="1" w:after="100" w:afterAutospacing="1"/>
    </w:pPr>
  </w:style>
  <w:style w:type="paragraph" w:customStyle="1" w:styleId="p3">
    <w:name w:val="p3"/>
    <w:basedOn w:val="Normal"/>
    <w:rsid w:val="00204C06"/>
    <w:pPr>
      <w:spacing w:before="100" w:beforeAutospacing="1" w:after="100" w:afterAutospacing="1"/>
    </w:pPr>
  </w:style>
  <w:style w:type="paragraph" w:customStyle="1" w:styleId="p1">
    <w:name w:val="p1"/>
    <w:basedOn w:val="Normal"/>
    <w:rsid w:val="00204C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2026-05-26T00:59:00Z</dcterms:created>
  <dcterms:modified xsi:type="dcterms:W3CDTF">2026-05-26T00:59:00Z</dcterms:modified>
</cp:coreProperties>
</file>