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1798" w14:textId="77777777" w:rsidR="001B09C7" w:rsidRDefault="001B09C7" w:rsidP="001B09C7">
      <w:pPr>
        <w:pStyle w:val="Heading1"/>
        <w:spacing w:before="0" w:after="0"/>
        <w:ind w:firstLine="567"/>
        <w:jc w:val="both"/>
        <w:rPr>
          <w:rStyle w:val="s1"/>
          <w:rFonts w:ascii="Arial" w:hAnsi="Arial" w:cs="Arial"/>
          <w:sz w:val="24"/>
          <w:szCs w:val="24"/>
        </w:rPr>
      </w:pPr>
      <w:r w:rsidRPr="00B4636C">
        <w:rPr>
          <w:rStyle w:val="s1"/>
          <w:rFonts w:ascii="Arial" w:hAnsi="Arial" w:cs="Arial"/>
          <w:sz w:val="24"/>
          <w:szCs w:val="24"/>
        </w:rPr>
        <w:t>АЖ АХУЙ НЭГЖИЙН ОРЛОГЫН АЛБАН ТАТВАРЫН ТУХАЙ ХУУЛЬД НЭМЭЛТ ОРУУЛАХ ТУХАЙ ХУУЛИЙН ТӨСЛИЙН ҮР НӨЛӨӨГ ҮНЭЛСЭН ТАЙЛАН</w:t>
      </w:r>
    </w:p>
    <w:p w14:paraId="7F5215E8" w14:textId="77777777" w:rsidR="001B09C7" w:rsidRPr="00B4636C" w:rsidRDefault="001B09C7" w:rsidP="001B09C7">
      <w:pPr>
        <w:pStyle w:val="Heading1"/>
        <w:spacing w:before="0" w:after="0"/>
        <w:ind w:firstLine="567"/>
        <w:jc w:val="both"/>
        <w:rPr>
          <w:rFonts w:ascii="Arial" w:hAnsi="Arial" w:cs="Arial"/>
          <w:sz w:val="24"/>
          <w:szCs w:val="24"/>
        </w:rPr>
      </w:pPr>
    </w:p>
    <w:p w14:paraId="0B1F5082" w14:textId="77777777" w:rsidR="001B09C7" w:rsidRDefault="001B09C7" w:rsidP="001B09C7">
      <w:pPr>
        <w:pStyle w:val="Heading2"/>
        <w:spacing w:before="0" w:after="0"/>
        <w:ind w:firstLine="567"/>
        <w:jc w:val="center"/>
        <w:rPr>
          <w:rStyle w:val="s1"/>
          <w:rFonts w:ascii="Arial" w:hAnsi="Arial" w:cs="Arial"/>
          <w:sz w:val="24"/>
          <w:szCs w:val="24"/>
        </w:rPr>
      </w:pPr>
      <w:r w:rsidRPr="00B4636C">
        <w:rPr>
          <w:rStyle w:val="s1"/>
          <w:rFonts w:ascii="Arial" w:hAnsi="Arial" w:cs="Arial"/>
          <w:sz w:val="24"/>
          <w:szCs w:val="24"/>
        </w:rPr>
        <w:t>НЭГ. ЕРӨНХИЙ МЭДЭЭЛЭЛ</w:t>
      </w:r>
    </w:p>
    <w:p w14:paraId="4B603C01" w14:textId="77777777" w:rsidR="001B09C7" w:rsidRPr="00B4636C" w:rsidRDefault="001B09C7" w:rsidP="001B09C7">
      <w:pPr>
        <w:pStyle w:val="Heading2"/>
        <w:spacing w:before="0" w:after="0"/>
        <w:ind w:firstLine="567"/>
        <w:jc w:val="both"/>
        <w:rPr>
          <w:rFonts w:ascii="Arial" w:hAnsi="Arial" w:cs="Arial"/>
          <w:sz w:val="24"/>
          <w:szCs w:val="24"/>
        </w:rPr>
      </w:pPr>
    </w:p>
    <w:p w14:paraId="45EAD5B8"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 xml:space="preserve">Улсын Их Хурлын гишүүн </w:t>
      </w:r>
      <w:r w:rsidRPr="00B4636C">
        <w:rPr>
          <w:rFonts w:ascii="Arial" w:hAnsi="Arial" w:cs="Arial"/>
          <w:lang w:val="mn-MN"/>
        </w:rPr>
        <w:t>Р. Сэддоржийн</w:t>
      </w:r>
      <w:r w:rsidRPr="00B4636C">
        <w:rPr>
          <w:rFonts w:ascii="Arial" w:hAnsi="Arial" w:cs="Arial"/>
        </w:rPr>
        <w:t xml:space="preserve"> санаачлан боловсруулсан “Аж ахуйн нэгжийн орлогын албан татварын тухай хуульд нэмэлт оруулах 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5D15C823" w14:textId="77777777" w:rsidR="001B09C7" w:rsidRPr="00B4636C" w:rsidRDefault="001B09C7" w:rsidP="001B09C7">
      <w:pPr>
        <w:pStyle w:val="p3"/>
        <w:spacing w:before="0" w:beforeAutospacing="0" w:after="0" w:afterAutospacing="0"/>
        <w:ind w:firstLine="567"/>
        <w:jc w:val="both"/>
        <w:rPr>
          <w:rFonts w:ascii="Arial" w:hAnsi="Arial" w:cs="Arial"/>
        </w:rPr>
      </w:pPr>
      <w:r w:rsidRPr="00B4636C">
        <w:rPr>
          <w:rFonts w:ascii="Arial" w:hAnsi="Arial" w:cs="Arial"/>
        </w:rPr>
        <w:t>Монгол Улсын хуулийн төслийн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хийлээ.</w:t>
      </w:r>
    </w:p>
    <w:p w14:paraId="27ABCDD1" w14:textId="77777777" w:rsidR="001B09C7" w:rsidRPr="00B4636C" w:rsidRDefault="001B09C7" w:rsidP="001B09C7">
      <w:pPr>
        <w:ind w:firstLine="567"/>
        <w:jc w:val="both"/>
        <w:rPr>
          <w:rFonts w:ascii="Arial" w:hAnsi="Arial" w:cs="Arial"/>
        </w:rPr>
      </w:pPr>
    </w:p>
    <w:p w14:paraId="0503A25F" w14:textId="77777777" w:rsidR="001B09C7" w:rsidRPr="00B4636C" w:rsidRDefault="001B09C7" w:rsidP="001B09C7">
      <w:pPr>
        <w:pStyle w:val="Heading2"/>
        <w:spacing w:before="0" w:after="0"/>
        <w:ind w:firstLine="567"/>
        <w:jc w:val="center"/>
        <w:rPr>
          <w:rFonts w:ascii="Arial" w:hAnsi="Arial" w:cs="Arial"/>
          <w:sz w:val="24"/>
          <w:szCs w:val="24"/>
        </w:rPr>
      </w:pPr>
      <w:r w:rsidRPr="00B4636C">
        <w:rPr>
          <w:rStyle w:val="s1"/>
          <w:rFonts w:ascii="Arial" w:hAnsi="Arial" w:cs="Arial"/>
          <w:sz w:val="24"/>
          <w:szCs w:val="24"/>
        </w:rPr>
        <w:t>ХОЁР. ХУУЛИЙН ТӨСЛИЙН ҮР НӨЛӨӨГ ҮНЭЛЭХ ШАЛГУУР</w:t>
      </w:r>
      <w:r>
        <w:rPr>
          <w:rStyle w:val="s1"/>
          <w:rFonts w:ascii="Arial" w:hAnsi="Arial" w:cs="Arial"/>
          <w:sz w:val="24"/>
          <w:szCs w:val="24"/>
          <w:lang w:val="mn-MN"/>
        </w:rPr>
        <w:t xml:space="preserve"> </w:t>
      </w:r>
      <w:r w:rsidRPr="00B4636C">
        <w:rPr>
          <w:rFonts w:ascii="Arial" w:hAnsi="Arial" w:cs="Arial"/>
          <w:sz w:val="24"/>
          <w:szCs w:val="24"/>
        </w:rPr>
        <w:t>ҮЗҮҮЛЭЛТИЙГ СОНГОСОН БАЙДАЛ, ҮНДЭСЛЭЛ</w:t>
      </w:r>
    </w:p>
    <w:p w14:paraId="7778C903" w14:textId="77777777" w:rsidR="001B09C7" w:rsidRPr="00B4636C" w:rsidRDefault="001B09C7" w:rsidP="001B09C7">
      <w:pPr>
        <w:pStyle w:val="p2"/>
        <w:spacing w:before="0" w:beforeAutospacing="0" w:after="0" w:afterAutospacing="0"/>
        <w:ind w:firstLine="567"/>
        <w:jc w:val="both"/>
        <w:rPr>
          <w:rFonts w:ascii="Arial" w:hAnsi="Arial" w:cs="Arial"/>
        </w:rPr>
      </w:pPr>
    </w:p>
    <w:p w14:paraId="6FC46243" w14:textId="77777777" w:rsidR="001B09C7" w:rsidRPr="00B4636C" w:rsidRDefault="001B09C7" w:rsidP="001B09C7">
      <w:pPr>
        <w:pStyle w:val="p4"/>
        <w:spacing w:before="0" w:beforeAutospacing="0" w:after="0" w:afterAutospacing="0"/>
        <w:ind w:firstLine="567"/>
        <w:jc w:val="both"/>
        <w:rPr>
          <w:rFonts w:ascii="Arial" w:hAnsi="Arial" w:cs="Arial"/>
        </w:rPr>
      </w:pPr>
      <w:r w:rsidRPr="00B4636C">
        <w:rPr>
          <w:rFonts w:ascii="Arial" w:hAnsi="Arial" w:cs="Arial"/>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5BFA8D03" w14:textId="77777777" w:rsidR="001B09C7" w:rsidRPr="00B4636C" w:rsidRDefault="001B09C7" w:rsidP="001B09C7">
      <w:pPr>
        <w:numPr>
          <w:ilvl w:val="0"/>
          <w:numId w:val="1"/>
        </w:numPr>
        <w:ind w:firstLine="567"/>
        <w:jc w:val="both"/>
        <w:rPr>
          <w:rFonts w:ascii="Arial" w:hAnsi="Arial" w:cs="Arial"/>
        </w:rPr>
      </w:pPr>
      <w:r w:rsidRPr="00B4636C">
        <w:rPr>
          <w:rStyle w:val="s1"/>
          <w:rFonts w:ascii="Arial" w:eastAsiaTheme="majorEastAsia" w:hAnsi="Arial" w:cs="Arial"/>
          <w:b/>
          <w:bCs/>
        </w:rPr>
        <w:t>Зорилгод хүрэх байдал</w:t>
      </w:r>
    </w:p>
    <w:p w14:paraId="3600A2DA" w14:textId="77777777" w:rsidR="001B09C7" w:rsidRPr="00B4636C" w:rsidRDefault="001B09C7" w:rsidP="001B09C7">
      <w:pPr>
        <w:numPr>
          <w:ilvl w:val="0"/>
          <w:numId w:val="1"/>
        </w:numPr>
        <w:ind w:firstLine="567"/>
        <w:jc w:val="both"/>
        <w:rPr>
          <w:rFonts w:ascii="Arial" w:hAnsi="Arial" w:cs="Arial"/>
        </w:rPr>
      </w:pPr>
      <w:r w:rsidRPr="00B4636C">
        <w:rPr>
          <w:rStyle w:val="s1"/>
          <w:rFonts w:ascii="Arial" w:eastAsiaTheme="majorEastAsia" w:hAnsi="Arial" w:cs="Arial"/>
          <w:b/>
          <w:bCs/>
        </w:rPr>
        <w:t>Практикт хэрэгжих боломж</w:t>
      </w:r>
    </w:p>
    <w:p w14:paraId="51745B36" w14:textId="77777777" w:rsidR="001B09C7" w:rsidRPr="00B4636C" w:rsidRDefault="001B09C7" w:rsidP="001B09C7">
      <w:pPr>
        <w:numPr>
          <w:ilvl w:val="0"/>
          <w:numId w:val="1"/>
        </w:numPr>
        <w:ind w:firstLine="567"/>
        <w:jc w:val="both"/>
        <w:rPr>
          <w:rFonts w:ascii="Arial" w:hAnsi="Arial" w:cs="Arial"/>
        </w:rPr>
      </w:pPr>
      <w:r w:rsidRPr="00B4636C">
        <w:rPr>
          <w:rStyle w:val="s1"/>
          <w:rFonts w:ascii="Arial" w:eastAsiaTheme="majorEastAsia" w:hAnsi="Arial" w:cs="Arial"/>
          <w:b/>
          <w:bCs/>
        </w:rPr>
        <w:t>Ойлгомжтой байдал</w:t>
      </w:r>
    </w:p>
    <w:p w14:paraId="77DC1489"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“Зорилгод дүн шинжилгээ хийх” гэсэн шалгах хэрэгслээр хуулийн төсөлд тусгасан зохицуулалт нь тухайн хуулийн төсөлд тавьсан зорилгыг биелүүлэхэд чиглэсэн эсэх, зорилгод хүрэх байдалд дүн шинжилгээ хийлээ.</w:t>
      </w:r>
    </w:p>
    <w:p w14:paraId="510CB784"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Мөн санхүү, эдийн засгийн салбарын мэргэжилтнүүдтэй зөвлөлдөж, орон нутгийн бондын зах зээл хөгжсөн улс орнуудын (АНУ, Канад, БНХАУ зэрэг) туршлагыг судалсан болно.</w:t>
      </w:r>
    </w:p>
    <w:p w14:paraId="6FE9246F"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“Практикт турших” шалгах хэрэгслийн хүрээнд уг зохицуулалтыг бодитоор турших боломж хязгаарлагдмал тул олон улсын туршлага, санхүүгийн зах зээлийн хөгжлийн жишээнд тулгуурлан үнэлгээ хийв.</w:t>
      </w:r>
    </w:p>
    <w:p w14:paraId="5E279C3A" w14:textId="77777777" w:rsidR="001B09C7" w:rsidRPr="00B4636C" w:rsidRDefault="001B09C7" w:rsidP="001B09C7">
      <w:pPr>
        <w:pStyle w:val="p3"/>
        <w:spacing w:before="0" w:beforeAutospacing="0" w:after="0" w:afterAutospacing="0"/>
        <w:ind w:firstLine="567"/>
        <w:jc w:val="both"/>
        <w:rPr>
          <w:rFonts w:ascii="Arial" w:hAnsi="Arial" w:cs="Arial"/>
        </w:rPr>
      </w:pPr>
      <w:r w:rsidRPr="00B4636C">
        <w:rPr>
          <w:rFonts w:ascii="Arial" w:hAnsi="Arial" w:cs="Arial"/>
        </w:rPr>
        <w:t>“Ойлгомжтой байдлыг шалгах” шалгах хэрэгслийн хүрээнд хуулийн төслийн зохицуулалт нь хэрэглэх, хэрэгжүүлэх этгээдэд ойлгомжтой эсэхийг шалгасан болно.</w:t>
      </w:r>
    </w:p>
    <w:p w14:paraId="30A1381C" w14:textId="77777777" w:rsidR="001B09C7" w:rsidRPr="00B4636C" w:rsidRDefault="001B09C7" w:rsidP="001B09C7">
      <w:pPr>
        <w:ind w:firstLine="567"/>
        <w:jc w:val="both"/>
        <w:rPr>
          <w:rFonts w:ascii="Arial" w:hAnsi="Arial" w:cs="Arial"/>
        </w:rPr>
      </w:pPr>
    </w:p>
    <w:p w14:paraId="33F25840" w14:textId="77777777" w:rsidR="001B09C7" w:rsidRDefault="001B09C7" w:rsidP="001B09C7">
      <w:pPr>
        <w:pStyle w:val="Heading2"/>
        <w:spacing w:before="0" w:after="0"/>
        <w:ind w:firstLine="567"/>
        <w:jc w:val="center"/>
        <w:rPr>
          <w:rStyle w:val="s1"/>
          <w:rFonts w:ascii="Arial" w:hAnsi="Arial" w:cs="Arial"/>
          <w:sz w:val="24"/>
          <w:szCs w:val="24"/>
        </w:rPr>
      </w:pPr>
      <w:r w:rsidRPr="00B4636C">
        <w:rPr>
          <w:rStyle w:val="s1"/>
          <w:rFonts w:ascii="Arial" w:hAnsi="Arial" w:cs="Arial"/>
          <w:sz w:val="24"/>
          <w:szCs w:val="24"/>
        </w:rPr>
        <w:t>ГУРАВ. ХУУЛИЙН ТӨСЛӨӨС ҮР НӨЛӨӨГ ҮНЭЛЭХ ХЭСГИЙГ ТОГТООСОН БАЙДАЛ</w:t>
      </w:r>
    </w:p>
    <w:p w14:paraId="73304D10" w14:textId="77777777" w:rsidR="001B09C7" w:rsidRPr="00B4636C" w:rsidRDefault="001B09C7" w:rsidP="001B09C7">
      <w:pPr>
        <w:pStyle w:val="Heading2"/>
        <w:spacing w:before="0" w:after="0"/>
        <w:ind w:firstLine="567"/>
        <w:jc w:val="both"/>
        <w:rPr>
          <w:rFonts w:ascii="Arial" w:hAnsi="Arial" w:cs="Arial"/>
          <w:sz w:val="24"/>
          <w:szCs w:val="24"/>
        </w:rPr>
      </w:pPr>
    </w:p>
    <w:p w14:paraId="1F095966"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“Зорилгод хүрэх байдал” шалгуур үзүүлэлтийн хүрээнд хуулийн төслийн үзэл баримтлалд тусгасан үндэслэл, хэрэгцээ шаардлагад нийцэж байгаа эсэхийг дүн шинжилгээ хийв.</w:t>
      </w:r>
    </w:p>
    <w:p w14:paraId="44B757D3"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lastRenderedPageBreak/>
        <w:t>“Практикт турших” шалгах хэрэгслийн хүрээнд уг зохицуулалт хэрэгжих боломжтой эсэхийг олон улсын туршлага болон дотоодын зах зээлийн нөхцөлтэй харьцуулан тодорхойлов.</w:t>
      </w:r>
    </w:p>
    <w:p w14:paraId="48B11537" w14:textId="77777777" w:rsidR="001B09C7" w:rsidRPr="00B4636C" w:rsidRDefault="001B09C7" w:rsidP="001B09C7">
      <w:pPr>
        <w:pStyle w:val="p3"/>
        <w:spacing w:before="0" w:beforeAutospacing="0" w:after="0" w:afterAutospacing="0"/>
        <w:ind w:firstLine="567"/>
        <w:jc w:val="both"/>
        <w:rPr>
          <w:rFonts w:ascii="Arial" w:hAnsi="Arial" w:cs="Arial"/>
        </w:rPr>
      </w:pPr>
      <w:r w:rsidRPr="00B4636C">
        <w:rPr>
          <w:rFonts w:ascii="Arial" w:hAnsi="Arial" w:cs="Arial"/>
        </w:rPr>
        <w:t>“Ойлгомжтой байдал” шалгуур үзүүлэлтийн хүрээнд хуулийн төслийг бүхэлд нь сонгон авч, хууль тогтоомжийн шаардлагад нийцэж байгаа эсэхийг шалгасан болно.</w:t>
      </w:r>
    </w:p>
    <w:p w14:paraId="4C87B778" w14:textId="77777777" w:rsidR="001B09C7" w:rsidRPr="00B4636C" w:rsidRDefault="001B09C7" w:rsidP="001B09C7">
      <w:pPr>
        <w:ind w:firstLine="567"/>
        <w:jc w:val="both"/>
        <w:rPr>
          <w:rFonts w:ascii="Arial" w:hAnsi="Arial" w:cs="Arial"/>
        </w:rPr>
      </w:pPr>
    </w:p>
    <w:p w14:paraId="0D96644B" w14:textId="77777777" w:rsidR="001B09C7" w:rsidRDefault="001B09C7" w:rsidP="001B09C7">
      <w:pPr>
        <w:pStyle w:val="Heading2"/>
        <w:spacing w:before="0" w:after="0"/>
        <w:ind w:firstLine="567"/>
        <w:jc w:val="center"/>
        <w:rPr>
          <w:rStyle w:val="s1"/>
          <w:rFonts w:ascii="Arial" w:hAnsi="Arial" w:cs="Arial"/>
          <w:sz w:val="24"/>
          <w:szCs w:val="24"/>
        </w:rPr>
      </w:pPr>
      <w:r w:rsidRPr="00B4636C">
        <w:rPr>
          <w:rStyle w:val="s1"/>
          <w:rFonts w:ascii="Arial" w:hAnsi="Arial" w:cs="Arial"/>
          <w:sz w:val="24"/>
          <w:szCs w:val="24"/>
        </w:rPr>
        <w:t>ДӨРӨВ. УРЬДЧИЛАН СОНГОСОН ШАЛГУУР ҮЗҮҮЛЭЛТЭД ТОХИРОХ ШАЛГАХ ХЭРЭГСЛИЙН ДАГУУ ХУУЛИЙН ТӨСЛИЙН ҮР НӨЛӨӨГ ҮНЭЛСЭН БАЙДАЛ</w:t>
      </w:r>
    </w:p>
    <w:p w14:paraId="5D9241B9" w14:textId="77777777" w:rsidR="001B09C7" w:rsidRDefault="001B09C7" w:rsidP="001B09C7">
      <w:pPr>
        <w:pStyle w:val="Heading1"/>
        <w:spacing w:before="0" w:after="0"/>
        <w:ind w:firstLine="426"/>
        <w:jc w:val="center"/>
        <w:rPr>
          <w:rStyle w:val="s1"/>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606"/>
        <w:gridCol w:w="2256"/>
        <w:gridCol w:w="2112"/>
        <w:gridCol w:w="4370"/>
      </w:tblGrid>
      <w:tr w:rsidR="001B09C7" w:rsidRPr="00B4636C" w14:paraId="4700FC04" w14:textId="77777777" w:rsidTr="00BE5E3C">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F0440D" w14:textId="77777777" w:rsidR="001B09C7" w:rsidRPr="00B4636C" w:rsidRDefault="001B09C7" w:rsidP="00BE5E3C">
            <w:pPr>
              <w:pStyle w:val="p1"/>
              <w:jc w:val="center"/>
              <w:rPr>
                <w:rFonts w:ascii="Arial" w:hAnsi="Arial" w:cs="Arial"/>
                <w:b/>
                <w:bCs/>
              </w:rPr>
            </w:pPr>
            <w:r w:rsidRPr="00B4636C">
              <w:rPr>
                <w:rFonts w:ascii="Arial" w:hAnsi="Arial" w:cs="Arial"/>
                <w:b/>
                <w:bCs/>
              </w:rPr>
              <w:t>Д/д</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6F8B80" w14:textId="77777777" w:rsidR="001B09C7" w:rsidRPr="00B4636C" w:rsidRDefault="001B09C7" w:rsidP="00BE5E3C">
            <w:pPr>
              <w:pStyle w:val="p1"/>
              <w:jc w:val="center"/>
              <w:rPr>
                <w:rFonts w:ascii="Arial" w:hAnsi="Arial" w:cs="Arial"/>
                <w:b/>
                <w:bCs/>
              </w:rPr>
            </w:pPr>
            <w:r w:rsidRPr="00B4636C">
              <w:rPr>
                <w:rFonts w:ascii="Arial" w:hAnsi="Arial" w:cs="Arial"/>
                <w:b/>
                <w:bCs/>
              </w:rPr>
              <w:t>Шалгуур үзүүлэлт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47931A" w14:textId="77777777" w:rsidR="001B09C7" w:rsidRPr="00B4636C" w:rsidRDefault="001B09C7" w:rsidP="00BE5E3C">
            <w:pPr>
              <w:pStyle w:val="p1"/>
              <w:jc w:val="center"/>
              <w:rPr>
                <w:rFonts w:ascii="Arial" w:hAnsi="Arial" w:cs="Arial"/>
                <w:b/>
                <w:bCs/>
              </w:rPr>
            </w:pPr>
            <w:r w:rsidRPr="00B4636C">
              <w:rPr>
                <w:rFonts w:ascii="Arial" w:hAnsi="Arial" w:cs="Arial"/>
                <w:b/>
                <w:bCs/>
              </w:rPr>
              <w:t>Үр нөлөөг үнэлэх хэсэг</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E331FA" w14:textId="77777777" w:rsidR="001B09C7" w:rsidRPr="00B4636C" w:rsidRDefault="001B09C7" w:rsidP="00BE5E3C">
            <w:pPr>
              <w:pStyle w:val="p1"/>
              <w:jc w:val="center"/>
              <w:rPr>
                <w:rFonts w:ascii="Arial" w:hAnsi="Arial" w:cs="Arial"/>
                <w:b/>
                <w:bCs/>
              </w:rPr>
            </w:pPr>
            <w:r w:rsidRPr="00B4636C">
              <w:rPr>
                <w:rFonts w:ascii="Arial" w:hAnsi="Arial" w:cs="Arial"/>
                <w:b/>
                <w:bCs/>
              </w:rPr>
              <w:t>Тохирох шалгах хэрэгсэл</w:t>
            </w:r>
          </w:p>
        </w:tc>
      </w:tr>
      <w:tr w:rsidR="001B09C7" w:rsidRPr="00B4636C" w14:paraId="01B20D58"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D10823" w14:textId="77777777" w:rsidR="001B09C7" w:rsidRPr="00B4636C" w:rsidRDefault="001B09C7" w:rsidP="00BE5E3C">
            <w:pPr>
              <w:pStyle w:val="p1"/>
              <w:rPr>
                <w:rFonts w:ascii="Arial" w:hAnsi="Arial" w:cs="Arial"/>
              </w:rPr>
            </w:pPr>
            <w:r w:rsidRPr="00B4636C">
              <w:rPr>
                <w:rFonts w:ascii="Arial" w:hAnsi="Arial" w:cs="Arial"/>
              </w:rPr>
              <w:t>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31E2A8" w14:textId="77777777" w:rsidR="001B09C7" w:rsidRPr="00B4636C" w:rsidRDefault="001B09C7" w:rsidP="00BE5E3C">
            <w:pPr>
              <w:pStyle w:val="p1"/>
              <w:rPr>
                <w:rFonts w:ascii="Arial" w:hAnsi="Arial" w:cs="Arial"/>
              </w:rPr>
            </w:pPr>
            <w:r w:rsidRPr="00B4636C">
              <w:rPr>
                <w:rFonts w:ascii="Arial" w:hAnsi="Arial" w:cs="Arial"/>
              </w:rPr>
              <w:t>Зорилгод хүрэх байдал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DD12CDC" w14:textId="77777777" w:rsidR="001B09C7" w:rsidRPr="00B4636C" w:rsidRDefault="001B09C7" w:rsidP="00BE5E3C">
            <w:pPr>
              <w:pStyle w:val="p1"/>
              <w:rPr>
                <w:rFonts w:ascii="Arial" w:hAnsi="Arial" w:cs="Arial"/>
              </w:rPr>
            </w:pPr>
            <w:r w:rsidRPr="00B4636C">
              <w:rPr>
                <w:rFonts w:ascii="Arial" w:hAnsi="Arial" w:cs="Arial"/>
              </w:rPr>
              <w:t>Хуулийн төсөл бүхэлдээ</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B2C811" w14:textId="77777777" w:rsidR="001B09C7" w:rsidRPr="00B4636C" w:rsidRDefault="001B09C7" w:rsidP="00BE5E3C">
            <w:pPr>
              <w:pStyle w:val="p1"/>
              <w:rPr>
                <w:rFonts w:ascii="Arial" w:hAnsi="Arial" w:cs="Arial"/>
              </w:rPr>
            </w:pPr>
            <w:r w:rsidRPr="00B4636C">
              <w:rPr>
                <w:rFonts w:ascii="Arial" w:hAnsi="Arial" w:cs="Arial"/>
              </w:rPr>
              <w:t>Дүн шинжилгээ хийх</w:t>
            </w:r>
          </w:p>
        </w:tc>
      </w:tr>
      <w:tr w:rsidR="001B09C7" w:rsidRPr="00B4636C" w14:paraId="6F0E80FB"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B6A24A" w14:textId="77777777" w:rsidR="001B09C7" w:rsidRPr="00B4636C" w:rsidRDefault="001B09C7" w:rsidP="00BE5E3C">
            <w:pPr>
              <w:pStyle w:val="p1"/>
              <w:rPr>
                <w:rFonts w:ascii="Arial" w:hAnsi="Arial" w:cs="Arial"/>
              </w:rPr>
            </w:pPr>
            <w:r w:rsidRPr="00B4636C">
              <w:rPr>
                <w:rFonts w:ascii="Arial" w:hAnsi="Arial" w:cs="Arial"/>
              </w:rPr>
              <w: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7CC900" w14:textId="77777777" w:rsidR="001B09C7" w:rsidRPr="00B4636C" w:rsidRDefault="001B09C7" w:rsidP="00BE5E3C">
            <w:pPr>
              <w:pStyle w:val="p1"/>
              <w:rPr>
                <w:rFonts w:ascii="Arial" w:hAnsi="Arial" w:cs="Arial"/>
              </w:rPr>
            </w:pPr>
            <w:r w:rsidRPr="00B4636C">
              <w:rPr>
                <w:rFonts w:ascii="Arial" w:hAnsi="Arial" w:cs="Arial"/>
              </w:rPr>
              <w:t>Практикт хэрэгжих боломж</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37E6DC" w14:textId="77777777" w:rsidR="001B09C7" w:rsidRPr="00B4636C" w:rsidRDefault="001B09C7" w:rsidP="00BE5E3C">
            <w:pPr>
              <w:pStyle w:val="p1"/>
              <w:rPr>
                <w:rFonts w:ascii="Arial" w:hAnsi="Arial" w:cs="Arial"/>
              </w:rPr>
            </w:pPr>
            <w:r w:rsidRPr="00B4636C">
              <w:rPr>
                <w:rFonts w:ascii="Arial" w:hAnsi="Arial" w:cs="Arial"/>
              </w:rPr>
              <w:t>Хуулийн төсөл бүхэлдээ</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A041F1" w14:textId="77777777" w:rsidR="001B09C7" w:rsidRPr="00B4636C" w:rsidRDefault="001B09C7" w:rsidP="00BE5E3C">
            <w:pPr>
              <w:pStyle w:val="p1"/>
              <w:rPr>
                <w:rFonts w:ascii="Arial" w:hAnsi="Arial" w:cs="Arial"/>
              </w:rPr>
            </w:pPr>
            <w:r w:rsidRPr="00B4636C">
              <w:rPr>
                <w:rFonts w:ascii="Arial" w:hAnsi="Arial" w:cs="Arial"/>
              </w:rPr>
              <w:t>Олон улсын туршлага, зах зээлийн нөхцөлд тулгуурлах</w:t>
            </w:r>
          </w:p>
        </w:tc>
      </w:tr>
      <w:tr w:rsidR="001B09C7" w:rsidRPr="00B4636C" w14:paraId="66A36504"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A77137F" w14:textId="77777777" w:rsidR="001B09C7" w:rsidRPr="00B4636C" w:rsidRDefault="001B09C7" w:rsidP="00BE5E3C">
            <w:pPr>
              <w:pStyle w:val="p1"/>
              <w:rPr>
                <w:rFonts w:ascii="Arial" w:hAnsi="Arial" w:cs="Arial"/>
              </w:rPr>
            </w:pPr>
            <w:r w:rsidRPr="00B4636C">
              <w:rPr>
                <w:rFonts w:ascii="Arial" w:hAnsi="Arial" w:cs="Arial"/>
              </w:rPr>
              <w:t>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33C1C8" w14:textId="77777777" w:rsidR="001B09C7" w:rsidRPr="00B4636C" w:rsidRDefault="001B09C7" w:rsidP="00BE5E3C">
            <w:pPr>
              <w:pStyle w:val="p1"/>
              <w:rPr>
                <w:rFonts w:ascii="Arial" w:hAnsi="Arial" w:cs="Arial"/>
              </w:rPr>
            </w:pPr>
            <w:r w:rsidRPr="00B4636C">
              <w:rPr>
                <w:rFonts w:ascii="Arial" w:hAnsi="Arial" w:cs="Arial"/>
              </w:rPr>
              <w:t>Ойлгомжтой байдал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9DFCE9" w14:textId="77777777" w:rsidR="001B09C7" w:rsidRPr="00B4636C" w:rsidRDefault="001B09C7" w:rsidP="00BE5E3C">
            <w:pPr>
              <w:pStyle w:val="p1"/>
              <w:rPr>
                <w:rFonts w:ascii="Arial" w:hAnsi="Arial" w:cs="Arial"/>
              </w:rPr>
            </w:pPr>
            <w:r w:rsidRPr="00B4636C">
              <w:rPr>
                <w:rFonts w:ascii="Arial" w:hAnsi="Arial" w:cs="Arial"/>
              </w:rPr>
              <w:t>Хуулийн төсөл бүхэлдээ</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0FC35AA" w14:textId="77777777" w:rsidR="001B09C7" w:rsidRPr="00B4636C" w:rsidRDefault="001B09C7" w:rsidP="00BE5E3C">
            <w:pPr>
              <w:pStyle w:val="p1"/>
              <w:rPr>
                <w:rFonts w:ascii="Arial" w:hAnsi="Arial" w:cs="Arial"/>
              </w:rPr>
            </w:pPr>
            <w:r w:rsidRPr="00B4636C">
              <w:rPr>
                <w:rFonts w:ascii="Arial" w:hAnsi="Arial" w:cs="Arial"/>
              </w:rPr>
              <w:t>Хууль тогтоомжийн шаардлагад нийцсэн эсэхийг шалгах</w:t>
            </w:r>
          </w:p>
        </w:tc>
      </w:tr>
    </w:tbl>
    <w:p w14:paraId="25673561" w14:textId="77777777" w:rsidR="001B09C7" w:rsidRDefault="001B09C7" w:rsidP="001B09C7">
      <w:pPr>
        <w:pStyle w:val="Heading1"/>
        <w:spacing w:before="0" w:after="0"/>
        <w:rPr>
          <w:rStyle w:val="s1"/>
          <w:rFonts w:ascii="Arial" w:hAnsi="Arial" w:cs="Arial"/>
          <w:sz w:val="24"/>
          <w:szCs w:val="24"/>
        </w:rPr>
      </w:pPr>
    </w:p>
    <w:p w14:paraId="037790E6" w14:textId="77777777" w:rsidR="001B09C7" w:rsidRPr="00B4636C" w:rsidRDefault="001B09C7" w:rsidP="001B09C7">
      <w:pPr>
        <w:pStyle w:val="Heading3"/>
        <w:spacing w:before="0"/>
        <w:ind w:firstLine="567"/>
        <w:jc w:val="both"/>
        <w:rPr>
          <w:rStyle w:val="s1"/>
          <w:rFonts w:ascii="Arial" w:hAnsi="Arial" w:cs="Arial"/>
          <w:b/>
          <w:bCs/>
          <w:color w:val="000000" w:themeColor="text1"/>
        </w:rPr>
      </w:pPr>
      <w:r w:rsidRPr="00B4636C">
        <w:rPr>
          <w:rStyle w:val="s1"/>
          <w:rFonts w:ascii="Arial" w:hAnsi="Arial" w:cs="Arial"/>
          <w:b/>
          <w:bCs/>
          <w:color w:val="000000" w:themeColor="text1"/>
        </w:rPr>
        <w:t>“Зорилгод хүрэх байдал” шалгуур үзүүлэлтийн хүрээнд хийсэн үнэлгээ</w:t>
      </w:r>
    </w:p>
    <w:p w14:paraId="1CFE860C" w14:textId="77777777" w:rsidR="001B09C7" w:rsidRPr="00B4636C" w:rsidRDefault="001B09C7" w:rsidP="001B09C7"/>
    <w:p w14:paraId="6B694091" w14:textId="77777777" w:rsidR="001B09C7" w:rsidRPr="00B4636C" w:rsidRDefault="001B09C7" w:rsidP="001B09C7">
      <w:pPr>
        <w:pStyle w:val="p2"/>
        <w:spacing w:before="0" w:beforeAutospacing="0" w:after="0" w:afterAutospacing="0"/>
        <w:ind w:firstLine="567"/>
        <w:jc w:val="both"/>
        <w:rPr>
          <w:rFonts w:ascii="Arial" w:hAnsi="Arial" w:cs="Arial"/>
        </w:rPr>
      </w:pPr>
      <w:r w:rsidRPr="00B4636C">
        <w:rPr>
          <w:rFonts w:ascii="Arial" w:hAnsi="Arial" w:cs="Arial"/>
        </w:rPr>
        <w:t>Хуулийн төсөл нь орон нутгийн санхүүгийн бие даасан байдлыг нэмэгдүүлэх, хөрөнгийн зах зээлийг хөгжүүлэх, урт хугацааны санхүүжилтийн эх үүсвэрийг бий болгох зорилгод нийцэж байна.</w:t>
      </w:r>
    </w:p>
    <w:p w14:paraId="3FDEDC15" w14:textId="77777777" w:rsidR="001B09C7" w:rsidRPr="00B4636C" w:rsidRDefault="001B09C7" w:rsidP="001B09C7">
      <w:pPr>
        <w:pStyle w:val="p3"/>
        <w:spacing w:before="0" w:beforeAutospacing="0" w:after="0" w:afterAutospacing="0"/>
        <w:ind w:firstLine="567"/>
        <w:jc w:val="both"/>
        <w:rPr>
          <w:rFonts w:ascii="Arial" w:hAnsi="Arial" w:cs="Arial"/>
        </w:rPr>
      </w:pPr>
      <w:r w:rsidRPr="00B4636C">
        <w:rPr>
          <w:rFonts w:ascii="Arial" w:hAnsi="Arial" w:cs="Arial"/>
        </w:rPr>
        <w:t>Аймгийн үнэт цаасны хүүгийн орлогыг татвараас чөлөөлөх нь хөрөнгө оруулагчдын сонирхлыг нэмэгдүүлж, орон нутгийн бондын зах зээлийг бий болгох, хөгжүүлэх боломж бүрдүүлнэ.</w:t>
      </w:r>
    </w:p>
    <w:p w14:paraId="63ADF090" w14:textId="77777777" w:rsidR="001B09C7" w:rsidRPr="00B4636C" w:rsidRDefault="001B09C7" w:rsidP="001B09C7">
      <w:pPr>
        <w:ind w:firstLine="567"/>
        <w:jc w:val="both"/>
        <w:rPr>
          <w:rFonts w:ascii="Arial" w:hAnsi="Arial" w:cs="Arial"/>
        </w:rPr>
      </w:pPr>
    </w:p>
    <w:p w14:paraId="22F2A379" w14:textId="77777777" w:rsidR="001B09C7" w:rsidRPr="00B4636C" w:rsidRDefault="001B09C7" w:rsidP="001B09C7">
      <w:pPr>
        <w:pStyle w:val="Heading3"/>
        <w:spacing w:before="0"/>
        <w:ind w:firstLine="567"/>
        <w:jc w:val="center"/>
        <w:rPr>
          <w:rStyle w:val="s1"/>
          <w:rFonts w:ascii="Arial" w:hAnsi="Arial" w:cs="Arial"/>
          <w:b/>
          <w:bCs/>
          <w:color w:val="000000" w:themeColor="text1"/>
        </w:rPr>
      </w:pPr>
      <w:r w:rsidRPr="00B4636C">
        <w:rPr>
          <w:rStyle w:val="s1"/>
          <w:rFonts w:ascii="Arial" w:hAnsi="Arial" w:cs="Arial"/>
          <w:b/>
          <w:bCs/>
          <w:color w:val="000000" w:themeColor="text1"/>
        </w:rPr>
        <w:t>“Практикт хэрэгжих боломж” шалгуур үзүүлэлтийн хүрээнд хийсэн үнэлгээ</w:t>
      </w:r>
    </w:p>
    <w:p w14:paraId="517626A8" w14:textId="77777777" w:rsidR="001B09C7" w:rsidRPr="00B4636C" w:rsidRDefault="001B09C7" w:rsidP="001B09C7"/>
    <w:p w14:paraId="3CB5E2BC" w14:textId="77777777" w:rsidR="001B09C7" w:rsidRPr="0033241B" w:rsidRDefault="001B09C7" w:rsidP="001B09C7">
      <w:pPr>
        <w:pStyle w:val="p2"/>
        <w:spacing w:before="0" w:beforeAutospacing="0" w:after="0" w:afterAutospacing="0"/>
        <w:ind w:firstLine="567"/>
        <w:jc w:val="both"/>
        <w:rPr>
          <w:rFonts w:ascii="Arial" w:hAnsi="Arial" w:cs="Arial"/>
          <w:lang w:val="mn-MN"/>
        </w:rPr>
      </w:pPr>
      <w:r w:rsidRPr="00B4636C">
        <w:rPr>
          <w:rFonts w:ascii="Arial" w:hAnsi="Arial" w:cs="Arial"/>
        </w:rPr>
        <w:t>Олон улсын туршлагаас харахад орон нутгийн бондын зах зээл нь дэд бүтцийн санхүүжилтийн чухал хэрэгсэл болдог.</w:t>
      </w:r>
      <w:r>
        <w:rPr>
          <w:rFonts w:ascii="Arial" w:hAnsi="Arial" w:cs="Arial"/>
          <w:lang w:val="mn-MN"/>
        </w:rPr>
        <w:t xml:space="preserve"> </w:t>
      </w:r>
      <w:r w:rsidRPr="0033241B">
        <w:rPr>
          <w:rFonts w:ascii="Arial" w:hAnsi="Arial" w:cs="Arial"/>
          <w:lang w:val="mn-MN"/>
        </w:rPr>
        <w:t>Энэхүү зохицуулалтыг хэрэгжүүлснээр Монгол Улсад орон нутгийн бондын зах зээл үе шаттайгаар бий болж, институцийн хөрөнгө оруулагчдын оролцоо нэмэгдэх боломжтой.</w:t>
      </w:r>
    </w:p>
    <w:p w14:paraId="28C808C3" w14:textId="77777777" w:rsidR="001B09C7" w:rsidRPr="0033241B" w:rsidRDefault="001B09C7" w:rsidP="001B09C7">
      <w:pPr>
        <w:pStyle w:val="p3"/>
        <w:spacing w:before="0" w:beforeAutospacing="0" w:after="0" w:afterAutospacing="0"/>
        <w:ind w:firstLine="567"/>
        <w:jc w:val="both"/>
        <w:rPr>
          <w:rFonts w:ascii="Arial" w:hAnsi="Arial" w:cs="Arial"/>
          <w:lang w:val="mn-MN"/>
        </w:rPr>
      </w:pPr>
    </w:p>
    <w:p w14:paraId="1D04D8BD" w14:textId="77777777" w:rsidR="001B09C7" w:rsidRPr="00B4636C" w:rsidRDefault="001B09C7" w:rsidP="001B09C7">
      <w:pPr>
        <w:pStyle w:val="Heading3"/>
        <w:spacing w:before="0"/>
        <w:ind w:firstLine="567"/>
        <w:jc w:val="center"/>
        <w:rPr>
          <w:rStyle w:val="s1"/>
          <w:rFonts w:ascii="Arial" w:hAnsi="Arial" w:cs="Arial"/>
          <w:b/>
          <w:bCs/>
          <w:color w:val="000000" w:themeColor="text1"/>
          <w:lang w:val="mn-MN"/>
        </w:rPr>
      </w:pPr>
      <w:r w:rsidRPr="0033241B">
        <w:rPr>
          <w:rStyle w:val="s1"/>
          <w:rFonts w:ascii="Arial" w:hAnsi="Arial" w:cs="Arial"/>
          <w:b/>
          <w:bCs/>
          <w:color w:val="000000" w:themeColor="text1"/>
          <w:lang w:val="mn-MN"/>
        </w:rPr>
        <w:t>“Ойлгомжтой байдлыг судлах” шалгуур үзүүлэлтийн хүрээнд хийсэн үнэлгэ</w:t>
      </w:r>
      <w:r w:rsidRPr="00B4636C">
        <w:rPr>
          <w:rStyle w:val="s1"/>
          <w:rFonts w:ascii="Arial" w:hAnsi="Arial" w:cs="Arial"/>
          <w:b/>
          <w:bCs/>
          <w:color w:val="000000" w:themeColor="text1"/>
          <w:lang w:val="mn-MN"/>
        </w:rPr>
        <w:t>э</w:t>
      </w:r>
    </w:p>
    <w:p w14:paraId="5DFB9177" w14:textId="77777777" w:rsidR="001B09C7" w:rsidRPr="00B4636C" w:rsidRDefault="001B09C7" w:rsidP="001B09C7">
      <w:pPr>
        <w:rPr>
          <w:lang w:val="mn-MN"/>
        </w:rPr>
      </w:pPr>
    </w:p>
    <w:p w14:paraId="17087506" w14:textId="77777777" w:rsidR="001B09C7" w:rsidRPr="0033241B" w:rsidRDefault="001B09C7" w:rsidP="001B09C7">
      <w:pPr>
        <w:pStyle w:val="p2"/>
        <w:spacing w:before="0" w:beforeAutospacing="0" w:after="0" w:afterAutospacing="0"/>
        <w:ind w:firstLine="567"/>
        <w:jc w:val="both"/>
        <w:rPr>
          <w:rFonts w:ascii="Arial" w:hAnsi="Arial" w:cs="Arial"/>
          <w:lang w:val="mn-MN"/>
        </w:rPr>
      </w:pPr>
      <w:r w:rsidRPr="0033241B">
        <w:rPr>
          <w:rFonts w:ascii="Arial" w:hAnsi="Arial" w:cs="Arial"/>
          <w:lang w:val="mn-MN"/>
        </w:rPr>
        <w:lastRenderedPageBreak/>
        <w:t>Хуулийн төслийг Хууль тогтоомжийн тухай хуулийн 29, 30 дугаар зүйлд нийцүүлэн шалгав.</w:t>
      </w:r>
    </w:p>
    <w:p w14:paraId="3A7E2525" w14:textId="77777777" w:rsidR="001B09C7" w:rsidRPr="00B4636C" w:rsidRDefault="001B09C7" w:rsidP="001B09C7">
      <w:pPr>
        <w:pStyle w:val="Heading4"/>
        <w:spacing w:before="0"/>
        <w:ind w:firstLine="567"/>
        <w:jc w:val="both"/>
        <w:rPr>
          <w:rFonts w:ascii="Arial" w:hAnsi="Arial" w:cs="Arial"/>
          <w:i w:val="0"/>
          <w:iCs w:val="0"/>
          <w:color w:val="000000" w:themeColor="text1"/>
        </w:rPr>
      </w:pPr>
      <w:r w:rsidRPr="00B4636C">
        <w:rPr>
          <w:rStyle w:val="s1"/>
          <w:rFonts w:ascii="Arial" w:hAnsi="Arial" w:cs="Arial"/>
          <w:i w:val="0"/>
          <w:iCs w:val="0"/>
          <w:color w:val="000000" w:themeColor="text1"/>
        </w:rPr>
        <w:t xml:space="preserve">29 дүгээр зүйл </w:t>
      </w:r>
      <w:r>
        <w:rPr>
          <w:rStyle w:val="s1"/>
          <w:rFonts w:ascii="Arial" w:hAnsi="Arial" w:cs="Arial"/>
          <w:i w:val="0"/>
          <w:iCs w:val="0"/>
          <w:color w:val="000000" w:themeColor="text1"/>
          <w:lang w:val="mn-MN"/>
        </w:rPr>
        <w:t xml:space="preserve">- </w:t>
      </w:r>
      <w:r w:rsidRPr="00B4636C">
        <w:rPr>
          <w:rStyle w:val="s1"/>
          <w:rFonts w:ascii="Arial" w:hAnsi="Arial" w:cs="Arial"/>
          <w:i w:val="0"/>
          <w:iCs w:val="0"/>
          <w:color w:val="000000" w:themeColor="text1"/>
        </w:rPr>
        <w:t>Агуулгын шаардлага</w:t>
      </w:r>
    </w:p>
    <w:p w14:paraId="1463DE9A" w14:textId="77777777" w:rsidR="001B09C7" w:rsidRDefault="001B09C7" w:rsidP="001B09C7">
      <w:pPr>
        <w:pStyle w:val="Heading1"/>
        <w:spacing w:before="0" w:after="0"/>
        <w:ind w:firstLine="426"/>
        <w:jc w:val="center"/>
        <w:rPr>
          <w:rStyle w:val="s1"/>
          <w:rFonts w:ascii="Arial" w:hAnsi="Arial" w:cs="Arial"/>
          <w:sz w:val="24"/>
          <w:szCs w:val="24"/>
        </w:rPr>
      </w:pPr>
    </w:p>
    <w:p w14:paraId="565F6B79" w14:textId="77777777" w:rsidR="001B09C7" w:rsidRDefault="001B09C7" w:rsidP="001B09C7">
      <w:pPr>
        <w:pStyle w:val="Heading1"/>
        <w:spacing w:before="0" w:after="0"/>
        <w:ind w:firstLine="426"/>
        <w:jc w:val="center"/>
        <w:rPr>
          <w:rStyle w:val="s1"/>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628"/>
        <w:gridCol w:w="3716"/>
      </w:tblGrid>
      <w:tr w:rsidR="001B09C7" w:rsidRPr="00B4636C" w14:paraId="7DCA996F" w14:textId="77777777" w:rsidTr="00BE5E3C">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5AADD45" w14:textId="77777777" w:rsidR="001B09C7" w:rsidRPr="00B4636C" w:rsidRDefault="001B09C7" w:rsidP="00BE5E3C">
            <w:pPr>
              <w:pStyle w:val="p1"/>
              <w:jc w:val="center"/>
              <w:rPr>
                <w:rFonts w:ascii="Arial" w:hAnsi="Arial" w:cs="Arial"/>
                <w:b/>
                <w:bCs/>
              </w:rPr>
            </w:pPr>
            <w:r w:rsidRPr="00B4636C">
              <w:rPr>
                <w:rFonts w:ascii="Arial" w:hAnsi="Arial" w:cs="Arial"/>
                <w:b/>
                <w:bCs/>
              </w:rPr>
              <w:t>Зохицуулалт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F77184" w14:textId="77777777" w:rsidR="001B09C7" w:rsidRPr="00B4636C" w:rsidRDefault="001B09C7" w:rsidP="00BE5E3C">
            <w:pPr>
              <w:pStyle w:val="p1"/>
              <w:jc w:val="center"/>
              <w:rPr>
                <w:rFonts w:ascii="Arial" w:hAnsi="Arial" w:cs="Arial"/>
                <w:b/>
                <w:bCs/>
              </w:rPr>
            </w:pPr>
            <w:r w:rsidRPr="00B4636C">
              <w:rPr>
                <w:rFonts w:ascii="Arial" w:hAnsi="Arial" w:cs="Arial"/>
                <w:b/>
                <w:bCs/>
              </w:rPr>
              <w:t>Шаардлага хангасан эсэх</w:t>
            </w:r>
          </w:p>
        </w:tc>
      </w:tr>
      <w:tr w:rsidR="001B09C7" w:rsidRPr="00B4636C" w14:paraId="0D0FD3A7"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6D3846" w14:textId="77777777" w:rsidR="001B09C7" w:rsidRPr="00B4636C" w:rsidRDefault="001B09C7" w:rsidP="00BE5E3C">
            <w:pPr>
              <w:pStyle w:val="p1"/>
              <w:rPr>
                <w:rFonts w:ascii="Arial" w:hAnsi="Arial" w:cs="Arial"/>
              </w:rPr>
            </w:pPr>
            <w:r w:rsidRPr="00B4636C">
              <w:rPr>
                <w:rFonts w:ascii="Arial" w:hAnsi="Arial" w:cs="Arial"/>
              </w:rPr>
              <w:t>Үндсэн хууль, олон улсын гэрээнд нийцсэн</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14C67F"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36A0F56B"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375528" w14:textId="77777777" w:rsidR="001B09C7" w:rsidRPr="00B4636C" w:rsidRDefault="001B09C7" w:rsidP="00BE5E3C">
            <w:pPr>
              <w:pStyle w:val="p1"/>
              <w:rPr>
                <w:rFonts w:ascii="Arial" w:hAnsi="Arial" w:cs="Arial"/>
              </w:rPr>
            </w:pPr>
            <w:r w:rsidRPr="00B4636C">
              <w:rPr>
                <w:rFonts w:ascii="Arial" w:hAnsi="Arial" w:cs="Arial"/>
              </w:rPr>
              <w:t>Зохицуулах харилцааг бүрэн тусгасан</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CAAECE"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0D7AA91F"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F3E8F4" w14:textId="77777777" w:rsidR="001B09C7" w:rsidRPr="00B4636C" w:rsidRDefault="001B09C7" w:rsidP="00BE5E3C">
            <w:pPr>
              <w:pStyle w:val="p1"/>
              <w:rPr>
                <w:rFonts w:ascii="Arial" w:hAnsi="Arial" w:cs="Arial"/>
              </w:rPr>
            </w:pPr>
            <w:r w:rsidRPr="00B4636C">
              <w:rPr>
                <w:rFonts w:ascii="Arial" w:hAnsi="Arial" w:cs="Arial"/>
              </w:rPr>
              <w:t>Хальсан асуудал тусгаагүй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3CC5BD"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2D09B7F3"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B6CC59" w14:textId="77777777" w:rsidR="001B09C7" w:rsidRPr="00B4636C" w:rsidRDefault="001B09C7" w:rsidP="00BE5E3C">
            <w:pPr>
              <w:pStyle w:val="p1"/>
              <w:rPr>
                <w:rFonts w:ascii="Arial" w:hAnsi="Arial" w:cs="Arial"/>
              </w:rPr>
            </w:pPr>
            <w:r w:rsidRPr="00B4636C">
              <w:rPr>
                <w:rFonts w:ascii="Arial" w:hAnsi="Arial" w:cs="Arial"/>
              </w:rPr>
              <w:t>Давхардалгүй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CA541D"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643B5FBB"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E2AFD4" w14:textId="77777777" w:rsidR="001B09C7" w:rsidRPr="00B4636C" w:rsidRDefault="001B09C7" w:rsidP="00BE5E3C">
            <w:pPr>
              <w:pStyle w:val="p1"/>
              <w:rPr>
                <w:rFonts w:ascii="Arial" w:hAnsi="Arial" w:cs="Arial"/>
              </w:rPr>
            </w:pPr>
            <w:r w:rsidRPr="00B4636C">
              <w:rPr>
                <w:rFonts w:ascii="Arial" w:hAnsi="Arial" w:cs="Arial"/>
              </w:rPr>
              <w:t>Зөрчилгүй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804DF4" w14:textId="77777777" w:rsidR="001B09C7" w:rsidRPr="00B4636C" w:rsidRDefault="001B09C7" w:rsidP="00BE5E3C">
            <w:pPr>
              <w:pStyle w:val="p1"/>
              <w:rPr>
                <w:rFonts w:ascii="Arial" w:hAnsi="Arial" w:cs="Arial"/>
              </w:rPr>
            </w:pPr>
            <w:r w:rsidRPr="00B4636C">
              <w:rPr>
                <w:rFonts w:ascii="Arial" w:hAnsi="Arial" w:cs="Arial"/>
              </w:rPr>
              <w:t>Зөрчилгүй</w:t>
            </w:r>
          </w:p>
        </w:tc>
      </w:tr>
      <w:tr w:rsidR="001B09C7" w:rsidRPr="00B4636C" w14:paraId="4E879ADD"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4D47DD2" w14:textId="77777777" w:rsidR="001B09C7" w:rsidRPr="00B4636C" w:rsidRDefault="001B09C7" w:rsidP="00BE5E3C">
            <w:pPr>
              <w:pStyle w:val="p1"/>
              <w:rPr>
                <w:rFonts w:ascii="Arial" w:hAnsi="Arial" w:cs="Arial"/>
              </w:rPr>
            </w:pPr>
            <w:r w:rsidRPr="00B4636C">
              <w:rPr>
                <w:rFonts w:ascii="Arial" w:hAnsi="Arial" w:cs="Arial"/>
              </w:rPr>
              <w:t>Хэм хэмжээ тодорхой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EBC8E9"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bl>
    <w:p w14:paraId="434CF2AB" w14:textId="77777777" w:rsidR="001B09C7" w:rsidRDefault="001B09C7" w:rsidP="001B09C7">
      <w:pPr>
        <w:pStyle w:val="Heading1"/>
        <w:spacing w:before="0" w:after="0"/>
        <w:ind w:firstLine="426"/>
        <w:jc w:val="center"/>
        <w:rPr>
          <w:rStyle w:val="s1"/>
          <w:rFonts w:ascii="Arial" w:hAnsi="Arial" w:cs="Arial"/>
          <w:sz w:val="24"/>
          <w:szCs w:val="24"/>
        </w:rPr>
      </w:pPr>
    </w:p>
    <w:p w14:paraId="7A06508D" w14:textId="77777777" w:rsidR="001B09C7" w:rsidRDefault="001B09C7" w:rsidP="001B09C7">
      <w:pPr>
        <w:pStyle w:val="Heading1"/>
        <w:spacing w:before="0" w:after="0"/>
        <w:ind w:firstLine="426"/>
        <w:jc w:val="center"/>
        <w:rPr>
          <w:rStyle w:val="s1"/>
          <w:rFonts w:ascii="Arial" w:hAnsi="Arial" w:cs="Arial"/>
          <w:sz w:val="24"/>
          <w:szCs w:val="24"/>
        </w:rPr>
      </w:pPr>
    </w:p>
    <w:p w14:paraId="5F4D2788" w14:textId="77777777" w:rsidR="001B09C7" w:rsidRPr="00B4636C" w:rsidRDefault="001B09C7" w:rsidP="001B09C7">
      <w:pPr>
        <w:pStyle w:val="Heading4"/>
        <w:ind w:firstLine="567"/>
        <w:rPr>
          <w:rFonts w:ascii="Arial" w:hAnsi="Arial" w:cs="Arial"/>
          <w:i w:val="0"/>
          <w:iCs w:val="0"/>
          <w:color w:val="000000" w:themeColor="text1"/>
        </w:rPr>
      </w:pPr>
      <w:r w:rsidRPr="00B4636C">
        <w:rPr>
          <w:rStyle w:val="s1"/>
          <w:rFonts w:ascii="Arial" w:hAnsi="Arial" w:cs="Arial"/>
          <w:i w:val="0"/>
          <w:iCs w:val="0"/>
          <w:color w:val="000000" w:themeColor="text1"/>
        </w:rPr>
        <w:t xml:space="preserve">30 дугаар зүйл </w:t>
      </w:r>
      <w:r>
        <w:rPr>
          <w:rStyle w:val="s1"/>
          <w:rFonts w:ascii="Arial" w:hAnsi="Arial" w:cs="Arial"/>
          <w:i w:val="0"/>
          <w:iCs w:val="0"/>
          <w:color w:val="000000" w:themeColor="text1"/>
          <w:lang w:val="mn-MN"/>
        </w:rPr>
        <w:t xml:space="preserve">- </w:t>
      </w:r>
      <w:r w:rsidRPr="00B4636C">
        <w:rPr>
          <w:rStyle w:val="s1"/>
          <w:rFonts w:ascii="Arial" w:hAnsi="Arial" w:cs="Arial"/>
          <w:i w:val="0"/>
          <w:iCs w:val="0"/>
          <w:color w:val="000000" w:themeColor="text1"/>
        </w:rPr>
        <w:t>Найруулгын шаардлага</w:t>
      </w:r>
    </w:p>
    <w:p w14:paraId="2DF2856B" w14:textId="77777777" w:rsidR="001B09C7" w:rsidRDefault="001B09C7" w:rsidP="001B09C7">
      <w:pPr>
        <w:pStyle w:val="Heading1"/>
        <w:spacing w:before="0" w:after="0"/>
        <w:rPr>
          <w:rStyle w:val="s1"/>
          <w:rFonts w:ascii="Arial" w:hAnsi="Arial" w:cs="Arial"/>
          <w:sz w:val="24"/>
          <w:szCs w:val="24"/>
        </w:rPr>
      </w:pPr>
    </w:p>
    <w:p w14:paraId="4BF51AC2" w14:textId="77777777" w:rsidR="001B09C7" w:rsidRDefault="001B09C7" w:rsidP="001B09C7">
      <w:pPr>
        <w:pStyle w:val="Heading1"/>
        <w:spacing w:before="0" w:after="0"/>
        <w:ind w:firstLine="426"/>
        <w:jc w:val="center"/>
        <w:rPr>
          <w:rStyle w:val="s1"/>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556"/>
        <w:gridCol w:w="5788"/>
      </w:tblGrid>
      <w:tr w:rsidR="001B09C7" w:rsidRPr="00B4636C" w14:paraId="3F1B1AA2" w14:textId="77777777" w:rsidTr="00BE5E3C">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1069DC" w14:textId="77777777" w:rsidR="001B09C7" w:rsidRPr="00B4636C" w:rsidRDefault="001B09C7" w:rsidP="00BE5E3C">
            <w:pPr>
              <w:pStyle w:val="p1"/>
              <w:jc w:val="center"/>
              <w:rPr>
                <w:rFonts w:ascii="Arial" w:hAnsi="Arial" w:cs="Arial"/>
                <w:b/>
                <w:bCs/>
              </w:rPr>
            </w:pPr>
            <w:r w:rsidRPr="00B4636C">
              <w:rPr>
                <w:rFonts w:ascii="Arial" w:hAnsi="Arial" w:cs="Arial"/>
                <w:b/>
                <w:bCs/>
              </w:rPr>
              <w:t>Зохицуулалт</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B9C72F" w14:textId="77777777" w:rsidR="001B09C7" w:rsidRPr="00B4636C" w:rsidRDefault="001B09C7" w:rsidP="00BE5E3C">
            <w:pPr>
              <w:pStyle w:val="p1"/>
              <w:jc w:val="center"/>
              <w:rPr>
                <w:rFonts w:ascii="Arial" w:hAnsi="Arial" w:cs="Arial"/>
                <w:b/>
                <w:bCs/>
              </w:rPr>
            </w:pPr>
            <w:r w:rsidRPr="00B4636C">
              <w:rPr>
                <w:rFonts w:ascii="Arial" w:hAnsi="Arial" w:cs="Arial"/>
                <w:b/>
                <w:bCs/>
              </w:rPr>
              <w:t>Шаардлага хангасан эсэх</w:t>
            </w:r>
          </w:p>
        </w:tc>
      </w:tr>
      <w:tr w:rsidR="001B09C7" w:rsidRPr="00B4636C" w14:paraId="1C590196"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D99A69" w14:textId="77777777" w:rsidR="001B09C7" w:rsidRPr="00B4636C" w:rsidRDefault="001B09C7" w:rsidP="00BE5E3C">
            <w:pPr>
              <w:pStyle w:val="p1"/>
              <w:rPr>
                <w:rFonts w:ascii="Arial" w:hAnsi="Arial" w:cs="Arial"/>
              </w:rPr>
            </w:pPr>
            <w:r w:rsidRPr="00B4636C">
              <w:rPr>
                <w:rFonts w:ascii="Arial" w:hAnsi="Arial" w:cs="Arial"/>
              </w:rPr>
              <w:t>Нэр томьёо зөв</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0574A6"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3DF5AA3B"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D9EA5F2" w14:textId="77777777" w:rsidR="001B09C7" w:rsidRPr="00B4636C" w:rsidRDefault="001B09C7" w:rsidP="00BE5E3C">
            <w:pPr>
              <w:pStyle w:val="p1"/>
              <w:rPr>
                <w:rFonts w:ascii="Arial" w:hAnsi="Arial" w:cs="Arial"/>
              </w:rPr>
            </w:pPr>
            <w:r w:rsidRPr="00B4636C">
              <w:rPr>
                <w:rFonts w:ascii="Arial" w:hAnsi="Arial" w:cs="Arial"/>
              </w:rPr>
              <w:t>Давхар утгагүй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A50EF35"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r w:rsidR="001B09C7" w:rsidRPr="00B4636C" w14:paraId="738ED2EA" w14:textId="77777777" w:rsidTr="00BE5E3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907B71" w14:textId="77777777" w:rsidR="001B09C7" w:rsidRPr="00B4636C" w:rsidRDefault="001B09C7" w:rsidP="00BE5E3C">
            <w:pPr>
              <w:pStyle w:val="p1"/>
              <w:rPr>
                <w:rFonts w:ascii="Arial" w:hAnsi="Arial" w:cs="Arial"/>
              </w:rPr>
            </w:pPr>
            <w:r w:rsidRPr="00B4636C">
              <w:rPr>
                <w:rFonts w:ascii="Arial" w:hAnsi="Arial" w:cs="Arial"/>
              </w:rPr>
              <w:t>Товч, тодорхой</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DC6802" w14:textId="77777777" w:rsidR="001B09C7" w:rsidRPr="00B4636C" w:rsidRDefault="001B09C7" w:rsidP="00BE5E3C">
            <w:pPr>
              <w:pStyle w:val="p1"/>
              <w:rPr>
                <w:rFonts w:ascii="Arial" w:hAnsi="Arial" w:cs="Arial"/>
              </w:rPr>
            </w:pPr>
            <w:r w:rsidRPr="00B4636C">
              <w:rPr>
                <w:rFonts w:ascii="Arial" w:hAnsi="Arial" w:cs="Arial"/>
              </w:rPr>
              <w:t>Шаардлага хангасан</w:t>
            </w:r>
          </w:p>
        </w:tc>
      </w:tr>
    </w:tbl>
    <w:p w14:paraId="493E5212" w14:textId="77777777" w:rsidR="001B09C7" w:rsidRDefault="001B09C7" w:rsidP="001B09C7">
      <w:pPr>
        <w:pStyle w:val="p1"/>
        <w:spacing w:before="0" w:beforeAutospacing="0" w:after="0" w:afterAutospacing="0"/>
        <w:jc w:val="both"/>
        <w:rPr>
          <w:rFonts w:ascii="Arial" w:hAnsi="Arial" w:cs="Arial"/>
        </w:rPr>
      </w:pPr>
    </w:p>
    <w:p w14:paraId="76DF4824" w14:textId="77777777" w:rsidR="001B09C7" w:rsidRPr="00F55CE7" w:rsidRDefault="001B09C7" w:rsidP="001B09C7">
      <w:pPr>
        <w:pStyle w:val="p1"/>
        <w:spacing w:before="0" w:beforeAutospacing="0" w:after="0" w:afterAutospacing="0"/>
        <w:ind w:firstLine="567"/>
        <w:jc w:val="both"/>
        <w:rPr>
          <w:rFonts w:ascii="Arial" w:hAnsi="Arial" w:cs="Arial"/>
        </w:rPr>
      </w:pPr>
    </w:p>
    <w:p w14:paraId="6EDF717B" w14:textId="77777777" w:rsidR="001B09C7" w:rsidRPr="00F55CE7" w:rsidRDefault="001B09C7" w:rsidP="001B09C7">
      <w:pPr>
        <w:pStyle w:val="p2"/>
        <w:spacing w:before="0" w:beforeAutospacing="0" w:after="120" w:afterAutospacing="0"/>
        <w:ind w:firstLine="567"/>
        <w:jc w:val="both"/>
        <w:rPr>
          <w:rFonts w:ascii="Arial" w:hAnsi="Arial" w:cs="Arial"/>
        </w:rPr>
      </w:pPr>
      <w:r w:rsidRPr="00F55CE7">
        <w:rPr>
          <w:rFonts w:ascii="Arial" w:hAnsi="Arial" w:cs="Arial"/>
          <w:b/>
          <w:bCs/>
        </w:rPr>
        <w:t>ТАВ. ҮР ДҮНГ ҮНЭЛЖ, ЗӨВЛӨМЖ ӨГСӨН БАЙДАЛ</w:t>
      </w:r>
    </w:p>
    <w:p w14:paraId="0D1164D0" w14:textId="77777777" w:rsidR="001B09C7" w:rsidRPr="00F55CE7" w:rsidRDefault="001B09C7" w:rsidP="001B09C7">
      <w:pPr>
        <w:pStyle w:val="p2"/>
        <w:spacing w:before="0" w:beforeAutospacing="0" w:after="120" w:afterAutospacing="0"/>
        <w:ind w:firstLine="567"/>
        <w:jc w:val="both"/>
        <w:rPr>
          <w:rFonts w:ascii="Arial" w:hAnsi="Arial" w:cs="Arial"/>
        </w:rPr>
      </w:pPr>
      <w:r w:rsidRPr="00F55CE7">
        <w:rPr>
          <w:rFonts w:ascii="Arial" w:hAnsi="Arial" w:cs="Arial"/>
          <w:b/>
          <w:bCs/>
        </w:rPr>
        <w:t>5.1. Баримтжуулалт</w:t>
      </w:r>
    </w:p>
    <w:p w14:paraId="6F552D0B" w14:textId="77777777" w:rsidR="001B09C7" w:rsidRPr="00F55CE7" w:rsidRDefault="001B09C7" w:rsidP="001B09C7">
      <w:pPr>
        <w:pStyle w:val="p1"/>
        <w:spacing w:before="0" w:beforeAutospacing="0" w:after="120" w:afterAutospacing="0"/>
        <w:ind w:firstLine="567"/>
        <w:jc w:val="both"/>
        <w:rPr>
          <w:rFonts w:ascii="Arial" w:hAnsi="Arial" w:cs="Arial"/>
        </w:rPr>
      </w:pPr>
      <w:r w:rsidRPr="00F55CE7">
        <w:rPr>
          <w:rFonts w:ascii="Arial" w:hAnsi="Arial" w:cs="Arial"/>
        </w:rPr>
        <w:t>Хуулийн төслийн үр нөлөөг үнэлэхэд ашигласан дараах баримт бичиг, мэдээлэл, тоо баримтыг цуглуулан үр нөлөөг тооцох ажиллагааны тайланд баримтжуулж хавсаргалаа.</w:t>
      </w:r>
    </w:p>
    <w:p w14:paraId="31ADE2A7" w14:textId="77777777" w:rsidR="001B09C7" w:rsidRPr="00F55CE7" w:rsidRDefault="001B09C7" w:rsidP="001B09C7">
      <w:pPr>
        <w:pStyle w:val="p2"/>
        <w:spacing w:before="0" w:beforeAutospacing="0" w:after="0" w:afterAutospacing="0"/>
        <w:ind w:firstLine="567"/>
        <w:jc w:val="both"/>
        <w:rPr>
          <w:rFonts w:ascii="Arial" w:hAnsi="Arial" w:cs="Arial"/>
        </w:rPr>
      </w:pPr>
      <w:r w:rsidRPr="00F55CE7">
        <w:rPr>
          <w:rFonts w:ascii="Arial" w:hAnsi="Arial" w:cs="Arial"/>
          <w:b/>
          <w:bCs/>
        </w:rPr>
        <w:t>Монгол хэл дээрх</w:t>
      </w:r>
    </w:p>
    <w:p w14:paraId="76DCEA78" w14:textId="77777777" w:rsidR="001B09C7" w:rsidRPr="00F55CE7" w:rsidRDefault="001B09C7" w:rsidP="001B09C7">
      <w:pPr>
        <w:pStyle w:val="p3"/>
        <w:spacing w:before="0" w:beforeAutospacing="0" w:after="0" w:afterAutospacing="0"/>
        <w:ind w:firstLine="567"/>
        <w:jc w:val="both"/>
        <w:rPr>
          <w:rFonts w:ascii="Arial" w:hAnsi="Arial" w:cs="Arial"/>
        </w:rPr>
      </w:pPr>
      <w:r w:rsidRPr="00F55CE7">
        <w:rPr>
          <w:rFonts w:ascii="Arial" w:hAnsi="Arial" w:cs="Arial"/>
          <w:b/>
          <w:bCs/>
        </w:rPr>
        <w:t>Хууль тогтоомж</w:t>
      </w:r>
    </w:p>
    <w:p w14:paraId="141BFA94" w14:textId="77777777" w:rsidR="001B09C7" w:rsidRPr="00F55CE7" w:rsidRDefault="001B09C7" w:rsidP="001B09C7">
      <w:pPr>
        <w:pStyle w:val="ListParagraph"/>
        <w:numPr>
          <w:ilvl w:val="0"/>
          <w:numId w:val="2"/>
        </w:numPr>
        <w:jc w:val="both"/>
        <w:rPr>
          <w:rFonts w:ascii="Arial" w:hAnsi="Arial" w:cs="Arial"/>
        </w:rPr>
      </w:pPr>
      <w:r w:rsidRPr="00F55CE7">
        <w:rPr>
          <w:rFonts w:ascii="Arial" w:hAnsi="Arial" w:cs="Arial"/>
        </w:rPr>
        <w:t>Аж ахуйн нэгжийн орлогын албан татварын тухай хууль, (2019, нэмэлт өөрчлөлтүүд).</w:t>
      </w:r>
    </w:p>
    <w:p w14:paraId="1068B258" w14:textId="77777777" w:rsidR="001B09C7" w:rsidRPr="00F55CE7" w:rsidRDefault="001B09C7" w:rsidP="001B09C7">
      <w:pPr>
        <w:pStyle w:val="ListParagraph"/>
        <w:numPr>
          <w:ilvl w:val="0"/>
          <w:numId w:val="2"/>
        </w:numPr>
        <w:jc w:val="both"/>
        <w:rPr>
          <w:rFonts w:ascii="Arial" w:hAnsi="Arial" w:cs="Arial"/>
        </w:rPr>
      </w:pPr>
      <w:r w:rsidRPr="00F55CE7">
        <w:rPr>
          <w:rFonts w:ascii="Arial" w:hAnsi="Arial" w:cs="Arial"/>
        </w:rPr>
        <w:t>Төсвийн тухай хууль, (2011, нэмэлт өөрчлөлтүүд).</w:t>
      </w:r>
    </w:p>
    <w:p w14:paraId="1B8EA4C0" w14:textId="77777777" w:rsidR="001B09C7" w:rsidRPr="0033241B" w:rsidRDefault="001B09C7" w:rsidP="001B09C7">
      <w:pPr>
        <w:pStyle w:val="ListParagraph"/>
        <w:numPr>
          <w:ilvl w:val="0"/>
          <w:numId w:val="2"/>
        </w:numPr>
        <w:jc w:val="both"/>
        <w:rPr>
          <w:rFonts w:ascii="Arial" w:hAnsi="Arial" w:cs="Arial"/>
          <w:lang w:val="ru-RU"/>
        </w:rPr>
      </w:pPr>
      <w:r w:rsidRPr="0033241B">
        <w:rPr>
          <w:rFonts w:ascii="Arial" w:hAnsi="Arial" w:cs="Arial"/>
          <w:lang w:val="ru-RU"/>
        </w:rPr>
        <w:t>Төсвийн тогтвортой байдлын тухай хууль, (2010).</w:t>
      </w:r>
    </w:p>
    <w:p w14:paraId="4A5317DE" w14:textId="77777777" w:rsidR="001B09C7" w:rsidRPr="0033241B" w:rsidRDefault="001B09C7" w:rsidP="001B09C7">
      <w:pPr>
        <w:pStyle w:val="ListParagraph"/>
        <w:numPr>
          <w:ilvl w:val="0"/>
          <w:numId w:val="2"/>
        </w:numPr>
        <w:jc w:val="both"/>
        <w:rPr>
          <w:rFonts w:ascii="Arial" w:hAnsi="Arial" w:cs="Arial"/>
          <w:lang w:val="ru-RU"/>
        </w:rPr>
      </w:pPr>
      <w:r w:rsidRPr="0033241B">
        <w:rPr>
          <w:rFonts w:ascii="Arial" w:hAnsi="Arial" w:cs="Arial"/>
          <w:lang w:val="ru-RU"/>
        </w:rPr>
        <w:lastRenderedPageBreak/>
        <w:t>Үнэт цаасны зах зээлийн тухай хууль, (2013).</w:t>
      </w:r>
    </w:p>
    <w:p w14:paraId="70C76960" w14:textId="77777777" w:rsidR="001B09C7" w:rsidRPr="0033241B" w:rsidRDefault="001B09C7" w:rsidP="001B09C7">
      <w:pPr>
        <w:pStyle w:val="ListParagraph"/>
        <w:numPr>
          <w:ilvl w:val="0"/>
          <w:numId w:val="2"/>
        </w:numPr>
        <w:spacing w:after="120"/>
        <w:jc w:val="both"/>
        <w:rPr>
          <w:rFonts w:ascii="Arial" w:hAnsi="Arial" w:cs="Arial"/>
          <w:lang w:val="ru-RU"/>
        </w:rPr>
      </w:pPr>
      <w:r w:rsidRPr="0033241B">
        <w:rPr>
          <w:rFonts w:ascii="Arial" w:hAnsi="Arial" w:cs="Arial"/>
          <w:lang w:val="ru-RU"/>
        </w:rPr>
        <w:t>Монгол Улсын Хөгжлийн банкны тухай хууль.</w:t>
      </w:r>
    </w:p>
    <w:p w14:paraId="2D227DE3" w14:textId="77777777" w:rsidR="001B09C7" w:rsidRPr="00F55CE7" w:rsidRDefault="001B09C7" w:rsidP="001B09C7">
      <w:pPr>
        <w:pStyle w:val="p3"/>
        <w:spacing w:before="0" w:beforeAutospacing="0" w:after="120" w:afterAutospacing="0"/>
        <w:ind w:firstLine="567"/>
        <w:jc w:val="both"/>
        <w:rPr>
          <w:rFonts w:ascii="Arial" w:hAnsi="Arial" w:cs="Arial"/>
        </w:rPr>
      </w:pPr>
      <w:r w:rsidRPr="00F55CE7">
        <w:rPr>
          <w:rFonts w:ascii="Arial" w:hAnsi="Arial" w:cs="Arial"/>
          <w:b/>
          <w:bCs/>
        </w:rPr>
        <w:t>Ном, өгүүлэл, судалгааны тайлан</w:t>
      </w:r>
    </w:p>
    <w:p w14:paraId="1F444A9A" w14:textId="77777777" w:rsidR="001B09C7" w:rsidRPr="00F55CE7" w:rsidRDefault="001B09C7" w:rsidP="001B09C7">
      <w:pPr>
        <w:pStyle w:val="ListParagraph"/>
        <w:numPr>
          <w:ilvl w:val="0"/>
          <w:numId w:val="3"/>
        </w:numPr>
        <w:spacing w:after="120"/>
        <w:jc w:val="both"/>
        <w:rPr>
          <w:rFonts w:ascii="Arial" w:hAnsi="Arial" w:cs="Arial"/>
        </w:rPr>
      </w:pPr>
      <w:r w:rsidRPr="00F55CE7">
        <w:rPr>
          <w:rFonts w:ascii="Arial" w:hAnsi="Arial" w:cs="Arial"/>
        </w:rPr>
        <w:t>Сангийн яам, Төсвийн орлого, зарлагын гүйцэтгэлийн тайлан.</w:t>
      </w:r>
    </w:p>
    <w:p w14:paraId="19EEC752" w14:textId="77777777" w:rsidR="001B09C7" w:rsidRPr="0033241B" w:rsidRDefault="001B09C7" w:rsidP="001B09C7">
      <w:pPr>
        <w:pStyle w:val="ListParagraph"/>
        <w:numPr>
          <w:ilvl w:val="0"/>
          <w:numId w:val="3"/>
        </w:numPr>
        <w:jc w:val="both"/>
        <w:rPr>
          <w:rFonts w:ascii="Arial" w:hAnsi="Arial" w:cs="Arial"/>
          <w:lang w:val="ru-RU"/>
        </w:rPr>
      </w:pPr>
      <w:r w:rsidRPr="0033241B">
        <w:rPr>
          <w:rFonts w:ascii="Arial" w:hAnsi="Arial" w:cs="Arial"/>
          <w:lang w:val="ru-RU"/>
        </w:rPr>
        <w:t>Монголбанк, Санхүүгийн тогтвортой байдлын тайлан.</w:t>
      </w:r>
    </w:p>
    <w:p w14:paraId="7861524D" w14:textId="77777777" w:rsidR="001B09C7" w:rsidRPr="0033241B" w:rsidRDefault="001B09C7" w:rsidP="001B09C7">
      <w:pPr>
        <w:pStyle w:val="ListParagraph"/>
        <w:numPr>
          <w:ilvl w:val="0"/>
          <w:numId w:val="3"/>
        </w:numPr>
        <w:jc w:val="both"/>
        <w:rPr>
          <w:rFonts w:ascii="Arial" w:hAnsi="Arial" w:cs="Arial"/>
          <w:lang w:val="ru-RU"/>
        </w:rPr>
      </w:pPr>
      <w:r w:rsidRPr="0033241B">
        <w:rPr>
          <w:rFonts w:ascii="Arial" w:hAnsi="Arial" w:cs="Arial"/>
          <w:lang w:val="ru-RU"/>
        </w:rPr>
        <w:t>Санхүүгийн зохицуулах хороо, Хөрөнгийн зах зээлийн тойм.</w:t>
      </w:r>
    </w:p>
    <w:p w14:paraId="489F590C" w14:textId="77777777" w:rsidR="001B09C7" w:rsidRPr="0033241B" w:rsidRDefault="001B09C7" w:rsidP="001B09C7">
      <w:pPr>
        <w:pStyle w:val="ListParagraph"/>
        <w:numPr>
          <w:ilvl w:val="0"/>
          <w:numId w:val="3"/>
        </w:numPr>
        <w:jc w:val="both"/>
        <w:rPr>
          <w:rFonts w:ascii="Arial" w:hAnsi="Arial" w:cs="Arial"/>
          <w:lang w:val="ru-RU"/>
        </w:rPr>
      </w:pPr>
      <w:r w:rsidRPr="0033241B">
        <w:rPr>
          <w:rFonts w:ascii="Arial" w:hAnsi="Arial" w:cs="Arial"/>
          <w:lang w:val="ru-RU"/>
        </w:rPr>
        <w:t>Үндэсний статистикийн хороо, орон нутгийн төсөв, орлогын бүтэц.</w:t>
      </w:r>
    </w:p>
    <w:p w14:paraId="2427EB9E" w14:textId="77777777" w:rsidR="001B09C7" w:rsidRPr="0033241B" w:rsidRDefault="001B09C7" w:rsidP="001B09C7">
      <w:pPr>
        <w:pStyle w:val="ListParagraph"/>
        <w:numPr>
          <w:ilvl w:val="0"/>
          <w:numId w:val="3"/>
        </w:numPr>
        <w:spacing w:after="120"/>
        <w:jc w:val="both"/>
        <w:rPr>
          <w:rFonts w:ascii="Arial" w:hAnsi="Arial" w:cs="Arial"/>
          <w:lang w:val="ru-RU"/>
        </w:rPr>
      </w:pPr>
      <w:r w:rsidRPr="0033241B">
        <w:rPr>
          <w:rFonts w:ascii="Arial" w:hAnsi="Arial" w:cs="Arial"/>
          <w:lang w:val="ru-RU"/>
        </w:rPr>
        <w:t>Орон нутгийн санхүүжилтийн тогтолцооны судалгаа (дотоод эх сурвалжууд).</w:t>
      </w:r>
    </w:p>
    <w:p w14:paraId="2A86C01A" w14:textId="77777777" w:rsidR="001B09C7" w:rsidRPr="0033241B" w:rsidRDefault="001B09C7" w:rsidP="001B09C7">
      <w:pPr>
        <w:pStyle w:val="p2"/>
        <w:spacing w:before="0" w:beforeAutospacing="0" w:after="0" w:afterAutospacing="0"/>
        <w:ind w:firstLine="567"/>
        <w:jc w:val="both"/>
        <w:rPr>
          <w:rFonts w:ascii="Arial" w:hAnsi="Arial" w:cs="Arial"/>
          <w:lang w:val="ru-RU"/>
        </w:rPr>
      </w:pPr>
      <w:r w:rsidRPr="0033241B">
        <w:rPr>
          <w:rFonts w:ascii="Arial" w:hAnsi="Arial" w:cs="Arial"/>
          <w:b/>
          <w:bCs/>
          <w:lang w:val="ru-RU"/>
        </w:rPr>
        <w:t>Гадаад хэл дээрх</w:t>
      </w:r>
    </w:p>
    <w:p w14:paraId="0E8465AA" w14:textId="77777777" w:rsidR="001B09C7" w:rsidRPr="0033241B" w:rsidRDefault="001B09C7" w:rsidP="001B09C7">
      <w:pPr>
        <w:pStyle w:val="p3"/>
        <w:spacing w:before="0" w:beforeAutospacing="0" w:after="0" w:afterAutospacing="0"/>
        <w:ind w:firstLine="567"/>
        <w:jc w:val="both"/>
        <w:rPr>
          <w:rFonts w:ascii="Arial" w:hAnsi="Arial" w:cs="Arial"/>
          <w:lang w:val="ru-RU"/>
        </w:rPr>
      </w:pPr>
      <w:r w:rsidRPr="0033241B">
        <w:rPr>
          <w:rFonts w:ascii="Arial" w:hAnsi="Arial" w:cs="Arial"/>
          <w:b/>
          <w:bCs/>
          <w:lang w:val="ru-RU"/>
        </w:rPr>
        <w:t>Хууль тогтоомж, бодлогын баримт бичиг</w:t>
      </w:r>
    </w:p>
    <w:p w14:paraId="083CD16D" w14:textId="77777777" w:rsidR="001B09C7" w:rsidRPr="0033241B" w:rsidRDefault="001B09C7" w:rsidP="001B09C7">
      <w:pPr>
        <w:spacing w:after="120"/>
        <w:jc w:val="both"/>
        <w:rPr>
          <w:rStyle w:val="s1"/>
          <w:rFonts w:ascii="Arial" w:eastAsiaTheme="majorEastAsia" w:hAnsi="Arial" w:cs="Arial"/>
          <w:lang w:val="ru-RU"/>
        </w:rPr>
      </w:pPr>
    </w:p>
    <w:p w14:paraId="203AEB96" w14:textId="77777777" w:rsidR="001B09C7" w:rsidRPr="00F55CE7" w:rsidRDefault="001B09C7" w:rsidP="001B09C7">
      <w:pPr>
        <w:pStyle w:val="ListParagraph"/>
        <w:numPr>
          <w:ilvl w:val="0"/>
          <w:numId w:val="4"/>
        </w:numPr>
        <w:spacing w:after="120"/>
        <w:jc w:val="both"/>
        <w:rPr>
          <w:rFonts w:ascii="Arial" w:hAnsi="Arial" w:cs="Arial"/>
        </w:rPr>
      </w:pPr>
      <w:r w:rsidRPr="00F55CE7">
        <w:rPr>
          <w:rStyle w:val="s1"/>
          <w:rFonts w:ascii="Arial" w:eastAsiaTheme="majorEastAsia" w:hAnsi="Arial" w:cs="Arial"/>
        </w:rPr>
        <w:t>Олон улсын валютын сан</w:t>
      </w:r>
      <w:r w:rsidRPr="00F55CE7">
        <w:rPr>
          <w:rFonts w:ascii="Arial" w:hAnsi="Arial" w:cs="Arial"/>
        </w:rPr>
        <w:t>, Fiscal Decentralization and Local Government Financing тайлангууд.</w:t>
      </w:r>
    </w:p>
    <w:p w14:paraId="0F6C9AAF" w14:textId="77777777" w:rsidR="001B09C7" w:rsidRPr="00F55CE7" w:rsidRDefault="001B09C7" w:rsidP="001B09C7">
      <w:pPr>
        <w:pStyle w:val="ListParagraph"/>
        <w:numPr>
          <w:ilvl w:val="0"/>
          <w:numId w:val="4"/>
        </w:numPr>
        <w:jc w:val="both"/>
        <w:rPr>
          <w:rFonts w:ascii="Arial" w:hAnsi="Arial" w:cs="Arial"/>
        </w:rPr>
      </w:pPr>
      <w:r w:rsidRPr="00F55CE7">
        <w:rPr>
          <w:rStyle w:val="s1"/>
          <w:rFonts w:ascii="Arial" w:eastAsiaTheme="majorEastAsia" w:hAnsi="Arial" w:cs="Arial"/>
        </w:rPr>
        <w:t>Дэлхийн банк</w:t>
      </w:r>
      <w:r w:rsidRPr="00F55CE7">
        <w:rPr>
          <w:rFonts w:ascii="Arial" w:hAnsi="Arial" w:cs="Arial"/>
        </w:rPr>
        <w:t>, Subnational Finance and Municipal Bond Market Development Reports.</w:t>
      </w:r>
    </w:p>
    <w:p w14:paraId="5476E019" w14:textId="77777777" w:rsidR="001B09C7" w:rsidRPr="00F55CE7" w:rsidRDefault="001B09C7" w:rsidP="001B09C7">
      <w:pPr>
        <w:pStyle w:val="ListParagraph"/>
        <w:numPr>
          <w:ilvl w:val="0"/>
          <w:numId w:val="4"/>
        </w:numPr>
        <w:jc w:val="both"/>
        <w:rPr>
          <w:rFonts w:ascii="Arial" w:hAnsi="Arial" w:cs="Arial"/>
        </w:rPr>
      </w:pPr>
      <w:r w:rsidRPr="00F55CE7">
        <w:rPr>
          <w:rFonts w:ascii="Arial" w:hAnsi="Arial" w:cs="Arial"/>
        </w:rPr>
        <w:t>OECD, Fiscal Federalism Studies.</w:t>
      </w:r>
    </w:p>
    <w:p w14:paraId="6F800595" w14:textId="77777777" w:rsidR="001B09C7" w:rsidRPr="00F55CE7" w:rsidRDefault="001B09C7" w:rsidP="001B09C7">
      <w:pPr>
        <w:pStyle w:val="ListParagraph"/>
        <w:numPr>
          <w:ilvl w:val="0"/>
          <w:numId w:val="4"/>
        </w:numPr>
        <w:jc w:val="both"/>
        <w:rPr>
          <w:rFonts w:ascii="Arial" w:hAnsi="Arial" w:cs="Arial"/>
        </w:rPr>
      </w:pPr>
      <w:r w:rsidRPr="00F55CE7">
        <w:rPr>
          <w:rFonts w:ascii="Arial" w:hAnsi="Arial" w:cs="Arial"/>
        </w:rPr>
        <w:t>United States Municipal Bond Framework (Federal Tax Exemption Policy).</w:t>
      </w:r>
    </w:p>
    <w:p w14:paraId="1D63118D" w14:textId="77777777" w:rsidR="001B09C7" w:rsidRPr="00F55CE7" w:rsidRDefault="001B09C7" w:rsidP="001B09C7">
      <w:pPr>
        <w:pStyle w:val="ListParagraph"/>
        <w:numPr>
          <w:ilvl w:val="0"/>
          <w:numId w:val="4"/>
        </w:numPr>
        <w:jc w:val="both"/>
        <w:rPr>
          <w:rFonts w:ascii="Arial" w:hAnsi="Arial" w:cs="Arial"/>
        </w:rPr>
      </w:pPr>
      <w:r w:rsidRPr="00F55CE7">
        <w:rPr>
          <w:rFonts w:ascii="Arial" w:hAnsi="Arial" w:cs="Arial"/>
        </w:rPr>
        <w:t>Canada Municipal Finance Framework.</w:t>
      </w:r>
    </w:p>
    <w:p w14:paraId="7CA521C4" w14:textId="77777777" w:rsidR="001B09C7" w:rsidRPr="00F55CE7" w:rsidRDefault="001B09C7" w:rsidP="001B09C7">
      <w:pPr>
        <w:pStyle w:val="ListParagraph"/>
        <w:numPr>
          <w:ilvl w:val="0"/>
          <w:numId w:val="4"/>
        </w:numPr>
        <w:spacing w:after="120"/>
        <w:jc w:val="both"/>
        <w:rPr>
          <w:rFonts w:ascii="Arial" w:hAnsi="Arial" w:cs="Arial"/>
        </w:rPr>
      </w:pPr>
      <w:r w:rsidRPr="00F55CE7">
        <w:rPr>
          <w:rFonts w:ascii="Arial" w:hAnsi="Arial" w:cs="Arial"/>
        </w:rPr>
        <w:t>China Local Government Bond Guidelines.</w:t>
      </w:r>
    </w:p>
    <w:p w14:paraId="660D4A59" w14:textId="77777777" w:rsidR="001B09C7" w:rsidRPr="00F55CE7" w:rsidRDefault="001B09C7" w:rsidP="001B09C7">
      <w:pPr>
        <w:pStyle w:val="p3"/>
        <w:spacing w:before="0" w:beforeAutospacing="0" w:after="120" w:afterAutospacing="0"/>
        <w:ind w:firstLine="567"/>
        <w:jc w:val="both"/>
        <w:rPr>
          <w:rFonts w:ascii="Arial" w:hAnsi="Arial" w:cs="Arial"/>
        </w:rPr>
      </w:pPr>
      <w:r w:rsidRPr="00F55CE7">
        <w:rPr>
          <w:rFonts w:ascii="Arial" w:hAnsi="Arial" w:cs="Arial"/>
          <w:b/>
          <w:bCs/>
        </w:rPr>
        <w:t>Ном, өгүүлэл, судалгааны тайлан</w:t>
      </w:r>
    </w:p>
    <w:p w14:paraId="26EA129F" w14:textId="77777777" w:rsidR="001B09C7" w:rsidRPr="00F55CE7" w:rsidRDefault="001B09C7" w:rsidP="001B09C7">
      <w:pPr>
        <w:pStyle w:val="ListParagraph"/>
        <w:numPr>
          <w:ilvl w:val="0"/>
          <w:numId w:val="5"/>
        </w:numPr>
        <w:spacing w:after="120"/>
        <w:jc w:val="both"/>
        <w:rPr>
          <w:rFonts w:ascii="Arial" w:hAnsi="Arial" w:cs="Arial"/>
        </w:rPr>
      </w:pPr>
      <w:r w:rsidRPr="00F55CE7">
        <w:rPr>
          <w:rFonts w:ascii="Arial" w:hAnsi="Arial" w:cs="Arial"/>
        </w:rPr>
        <w:t>World Bank, Developing Local Currency Bond Markets.</w:t>
      </w:r>
    </w:p>
    <w:p w14:paraId="7CD932E0" w14:textId="77777777" w:rsidR="001B09C7" w:rsidRPr="00F55CE7" w:rsidRDefault="001B09C7" w:rsidP="001B09C7">
      <w:pPr>
        <w:pStyle w:val="ListParagraph"/>
        <w:numPr>
          <w:ilvl w:val="0"/>
          <w:numId w:val="5"/>
        </w:numPr>
        <w:jc w:val="both"/>
        <w:rPr>
          <w:rFonts w:ascii="Arial" w:hAnsi="Arial" w:cs="Arial"/>
        </w:rPr>
      </w:pPr>
      <w:r w:rsidRPr="00F55CE7">
        <w:rPr>
          <w:rFonts w:ascii="Arial" w:hAnsi="Arial" w:cs="Arial"/>
        </w:rPr>
        <w:t>IMF Working Papers on Fiscal Decentralization.</w:t>
      </w:r>
    </w:p>
    <w:p w14:paraId="3381C8C4" w14:textId="77777777" w:rsidR="001B09C7" w:rsidRPr="00F55CE7" w:rsidRDefault="001B09C7" w:rsidP="001B09C7">
      <w:pPr>
        <w:pStyle w:val="ListParagraph"/>
        <w:numPr>
          <w:ilvl w:val="0"/>
          <w:numId w:val="5"/>
        </w:numPr>
        <w:jc w:val="both"/>
        <w:rPr>
          <w:rFonts w:ascii="Arial" w:hAnsi="Arial" w:cs="Arial"/>
        </w:rPr>
      </w:pPr>
      <w:r w:rsidRPr="00F55CE7">
        <w:rPr>
          <w:rFonts w:ascii="Arial" w:hAnsi="Arial" w:cs="Arial"/>
        </w:rPr>
        <w:t>OECD, Subnational Government Financing and Investment Reports.</w:t>
      </w:r>
    </w:p>
    <w:p w14:paraId="14FFD7C1" w14:textId="77777777" w:rsidR="001B09C7" w:rsidRPr="00F55CE7" w:rsidRDefault="001B09C7" w:rsidP="001B09C7">
      <w:pPr>
        <w:pStyle w:val="ListParagraph"/>
        <w:numPr>
          <w:ilvl w:val="0"/>
          <w:numId w:val="5"/>
        </w:numPr>
        <w:jc w:val="both"/>
        <w:rPr>
          <w:rFonts w:ascii="Arial" w:hAnsi="Arial" w:cs="Arial"/>
        </w:rPr>
      </w:pPr>
      <w:r w:rsidRPr="00F55CE7">
        <w:rPr>
          <w:rFonts w:ascii="Arial" w:hAnsi="Arial" w:cs="Arial"/>
        </w:rPr>
        <w:t>Asian Development Bank (ADB), Local Government Financing Studies.</w:t>
      </w:r>
    </w:p>
    <w:p w14:paraId="3604C4B5" w14:textId="77777777" w:rsidR="001B09C7" w:rsidRPr="00F55CE7" w:rsidRDefault="001B09C7" w:rsidP="001B09C7">
      <w:pPr>
        <w:pStyle w:val="ListParagraph"/>
        <w:numPr>
          <w:ilvl w:val="0"/>
          <w:numId w:val="5"/>
        </w:numPr>
        <w:jc w:val="both"/>
        <w:rPr>
          <w:rFonts w:ascii="Arial" w:hAnsi="Arial" w:cs="Arial"/>
        </w:rPr>
      </w:pPr>
      <w:r w:rsidRPr="00F55CE7">
        <w:rPr>
          <w:rFonts w:ascii="Arial" w:hAnsi="Arial" w:cs="Arial"/>
        </w:rPr>
        <w:t>Municipal bond tax incentive impact studies (international comparisons).</w:t>
      </w:r>
    </w:p>
    <w:p w14:paraId="6FFB1311" w14:textId="77777777" w:rsidR="001B09C7" w:rsidRPr="00F55CE7" w:rsidRDefault="001B09C7" w:rsidP="001B09C7">
      <w:pPr>
        <w:ind w:firstLine="567"/>
        <w:jc w:val="both"/>
        <w:rPr>
          <w:rFonts w:ascii="Arial" w:hAnsi="Arial" w:cs="Arial"/>
        </w:rPr>
      </w:pPr>
    </w:p>
    <w:p w14:paraId="0E175FAD" w14:textId="77777777" w:rsidR="001B09C7" w:rsidRPr="00F55CE7" w:rsidRDefault="001B09C7" w:rsidP="001B09C7">
      <w:pPr>
        <w:pStyle w:val="p2"/>
        <w:spacing w:before="0" w:beforeAutospacing="0" w:after="120" w:afterAutospacing="0"/>
        <w:ind w:firstLine="567"/>
        <w:jc w:val="both"/>
        <w:rPr>
          <w:rFonts w:ascii="Arial" w:hAnsi="Arial" w:cs="Arial"/>
        </w:rPr>
      </w:pPr>
      <w:r w:rsidRPr="00F55CE7">
        <w:rPr>
          <w:rFonts w:ascii="Arial" w:hAnsi="Arial" w:cs="Arial"/>
          <w:b/>
          <w:bCs/>
        </w:rPr>
        <w:t>5.2. Дүгнэлт</w:t>
      </w:r>
    </w:p>
    <w:p w14:paraId="31BE23ED" w14:textId="77777777" w:rsidR="001B09C7" w:rsidRPr="00F55CE7" w:rsidRDefault="001B09C7" w:rsidP="001B09C7">
      <w:pPr>
        <w:pStyle w:val="p1"/>
        <w:spacing w:before="0" w:beforeAutospacing="0" w:after="0" w:afterAutospacing="0"/>
        <w:ind w:firstLine="567"/>
        <w:jc w:val="both"/>
        <w:rPr>
          <w:rFonts w:ascii="Arial" w:hAnsi="Arial" w:cs="Arial"/>
        </w:rPr>
      </w:pPr>
      <w:r w:rsidRPr="00F55CE7">
        <w:rPr>
          <w:rFonts w:ascii="Arial" w:hAnsi="Arial" w:cs="Arial"/>
        </w:rPr>
        <w:t>Тус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зохицуулалтуудыг хангаж, илэрхийлж чадахаар бүрэн гүйцэд томьёологдсон эсэхэд үнэлгээ хийлээ.</w:t>
      </w:r>
    </w:p>
    <w:p w14:paraId="6674F7CA" w14:textId="77777777" w:rsidR="001B09C7" w:rsidRPr="00F55CE7" w:rsidRDefault="001B09C7" w:rsidP="001B09C7">
      <w:pPr>
        <w:pStyle w:val="p1"/>
        <w:spacing w:before="0" w:beforeAutospacing="0" w:after="0" w:afterAutospacing="0"/>
        <w:ind w:firstLine="567"/>
        <w:jc w:val="both"/>
        <w:rPr>
          <w:rFonts w:ascii="Arial" w:hAnsi="Arial" w:cs="Arial"/>
        </w:rPr>
      </w:pPr>
      <w:r w:rsidRPr="00F55CE7">
        <w:rPr>
          <w:rFonts w:ascii="Arial" w:hAnsi="Arial" w:cs="Arial"/>
        </w:rPr>
        <w:t>Хуулийн төсөл нь орон нутгийн санхүүгийн бие даасан байдлыг нэмэгдүүлэх, хөрөнгийн зах зээлийн шинэ сегмент болох орон нутгийн бондын зах зээлийг бий болгох, урт хугацааны санхүүжилтийн эх үүсвэрийг өргөжүүлэх зорилготой бөгөөд эдгээр зорилго нь хуулийн төсөлд тусгасан зохицуулалттай нийцэж байна.</w:t>
      </w:r>
    </w:p>
    <w:p w14:paraId="3052DF2B" w14:textId="77777777" w:rsidR="001B09C7" w:rsidRPr="00F55CE7" w:rsidRDefault="001B09C7" w:rsidP="001B09C7">
      <w:pPr>
        <w:pStyle w:val="p1"/>
        <w:spacing w:before="0" w:beforeAutospacing="0" w:after="0" w:afterAutospacing="0"/>
        <w:ind w:firstLine="567"/>
        <w:jc w:val="both"/>
        <w:rPr>
          <w:rFonts w:ascii="Arial" w:hAnsi="Arial" w:cs="Arial"/>
        </w:rPr>
      </w:pPr>
      <w:r w:rsidRPr="00F55CE7">
        <w:rPr>
          <w:rFonts w:ascii="Arial" w:hAnsi="Arial" w:cs="Arial"/>
        </w:rPr>
        <w:t>Улсаас татаас авдаггүй аймгийн гаргасан үнэт цаасны хүүгийн орлогыг аж ахуйн нэгжийн орлогын албан татвараас чөлөөлөх зохицуулалт нь хөрөнгө оруулагчдын сонирхлыг нэмэгдүүлж, орон нутгийн үнэт цаасны зах зээлийн анхны эрэлтийг бий болгох, санхүүжилтийн өртгийг бууруулах бодлогын үр нөлөөтэй арга хэмжээ гэж үзэв.</w:t>
      </w:r>
    </w:p>
    <w:p w14:paraId="764845D7" w14:textId="77777777" w:rsidR="001B09C7" w:rsidRPr="00F55CE7" w:rsidRDefault="001B09C7" w:rsidP="001B09C7">
      <w:pPr>
        <w:pStyle w:val="p1"/>
        <w:spacing w:before="0" w:beforeAutospacing="0" w:after="0" w:afterAutospacing="0"/>
        <w:ind w:firstLine="567"/>
        <w:jc w:val="both"/>
        <w:rPr>
          <w:rFonts w:ascii="Arial" w:hAnsi="Arial" w:cs="Arial"/>
        </w:rPr>
      </w:pPr>
      <w:r w:rsidRPr="00F55CE7">
        <w:rPr>
          <w:rFonts w:ascii="Arial" w:hAnsi="Arial" w:cs="Arial"/>
        </w:rPr>
        <w:t xml:space="preserve">Богино хугацаанд улсын төсвийн орлогын тодорхой хэмжээний бууралт үүсэх боломжтой боловч дунд, урт хугацаанд орон нутгийн хөрөнгө оруулалт нэмэгдэж, </w:t>
      </w:r>
      <w:r w:rsidRPr="00F55CE7">
        <w:rPr>
          <w:rFonts w:ascii="Arial" w:hAnsi="Arial" w:cs="Arial"/>
        </w:rPr>
        <w:lastRenderedPageBreak/>
        <w:t>эдийн засгийн идэвхжил, ажлын байр, татварын суурь тэлэх замаар нийт эдийн засгийн өгөөж нь зардлаас давж гарах боломжтой.</w:t>
      </w:r>
    </w:p>
    <w:p w14:paraId="4DAC4569" w14:textId="77777777" w:rsidR="001B09C7" w:rsidRPr="00F55CE7" w:rsidRDefault="001B09C7" w:rsidP="001B09C7">
      <w:pPr>
        <w:pStyle w:val="p1"/>
        <w:spacing w:before="0" w:beforeAutospacing="0" w:after="0" w:afterAutospacing="0"/>
        <w:ind w:firstLine="567"/>
        <w:jc w:val="both"/>
        <w:rPr>
          <w:rFonts w:ascii="Arial" w:hAnsi="Arial" w:cs="Arial"/>
        </w:rPr>
      </w:pPr>
      <w:r w:rsidRPr="00F55CE7">
        <w:rPr>
          <w:rFonts w:ascii="Arial" w:hAnsi="Arial" w:cs="Arial"/>
        </w:rPr>
        <w:t>Мөн хуулийн төсөл нь бусад холбогдох хууль тогтоомжтой нийцсэн, давхардалгүй, зөрчилгүй, ойлгомжтой байдлаар боловсруулагдах боломжтой бөгөөд практикт хэрэгжих боломжтой гэж дүгнэв. Хэрэгжилтийн явцад орон нутгийн санхүүгийн сахилга бат, ил тод тайлагнал, хөрөнгө оруулагчдын итгэлийг хангах механизмыг зэрэгцүүлэн бэхжүүлэх шаардлагатай.</w:t>
      </w:r>
    </w:p>
    <w:p w14:paraId="64EFB42B" w14:textId="77777777" w:rsidR="001B09C7" w:rsidRPr="00F55CE7" w:rsidRDefault="001B09C7" w:rsidP="001B09C7">
      <w:pPr>
        <w:pStyle w:val="p5"/>
        <w:spacing w:before="0" w:beforeAutospacing="0" w:after="0" w:afterAutospacing="0"/>
        <w:ind w:firstLine="567"/>
        <w:jc w:val="both"/>
        <w:rPr>
          <w:rFonts w:ascii="Arial" w:hAnsi="Arial" w:cs="Arial"/>
        </w:rPr>
      </w:pPr>
      <w:r w:rsidRPr="00F55CE7">
        <w:rPr>
          <w:rFonts w:ascii="Arial" w:hAnsi="Arial" w:cs="Arial"/>
        </w:rPr>
        <w:t>Иймд “Аж ахуйн нэгжийн орлогын албан татварын тухай хуульд нэмэлт оруулах тухай” хуулийн төсөл нь зорилгод хүрэх, ойлгомжтой байх, бусад хууль тогтоомжтой нийцсэн, хэрэгжих боломжтой гэж үнэлэгдэж байна.</w:t>
      </w:r>
    </w:p>
    <w:p w14:paraId="5ADFCC75" w14:textId="77777777" w:rsidR="001B09C7" w:rsidRDefault="001B09C7" w:rsidP="001B09C7">
      <w:pPr>
        <w:ind w:firstLine="567"/>
        <w:jc w:val="both"/>
        <w:rPr>
          <w:rFonts w:ascii="Arial" w:hAnsi="Arial" w:cs="Arial"/>
        </w:rPr>
      </w:pPr>
    </w:p>
    <w:p w14:paraId="56B3817D" w14:textId="77777777" w:rsidR="001B09C7" w:rsidRDefault="001B09C7" w:rsidP="001B09C7">
      <w:pPr>
        <w:ind w:firstLine="567"/>
        <w:jc w:val="both"/>
        <w:rPr>
          <w:rFonts w:ascii="Arial" w:hAnsi="Arial" w:cs="Arial"/>
        </w:rPr>
      </w:pPr>
    </w:p>
    <w:p w14:paraId="3F7B8236" w14:textId="77777777" w:rsidR="001B09C7" w:rsidRDefault="001B09C7" w:rsidP="001B09C7">
      <w:pPr>
        <w:ind w:firstLine="567"/>
        <w:jc w:val="both"/>
        <w:rPr>
          <w:rFonts w:ascii="Arial" w:hAnsi="Arial" w:cs="Arial"/>
        </w:rPr>
      </w:pPr>
    </w:p>
    <w:p w14:paraId="4365E924"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41283"/>
    <w:multiLevelType w:val="multilevel"/>
    <w:tmpl w:val="D58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CB1325"/>
    <w:multiLevelType w:val="multilevel"/>
    <w:tmpl w:val="6188F74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6220D"/>
    <w:multiLevelType w:val="multilevel"/>
    <w:tmpl w:val="B0A4F34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47E5C"/>
    <w:multiLevelType w:val="multilevel"/>
    <w:tmpl w:val="10B0848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F4500E"/>
    <w:multiLevelType w:val="multilevel"/>
    <w:tmpl w:val="5792FE0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936026">
    <w:abstractNumId w:val="0"/>
  </w:num>
  <w:num w:numId="2" w16cid:durableId="514423593">
    <w:abstractNumId w:val="4"/>
  </w:num>
  <w:num w:numId="3" w16cid:durableId="1596133518">
    <w:abstractNumId w:val="1"/>
  </w:num>
  <w:num w:numId="4" w16cid:durableId="577058192">
    <w:abstractNumId w:val="3"/>
  </w:num>
  <w:num w:numId="5" w16cid:durableId="1177814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C7"/>
    <w:rsid w:val="001B09C7"/>
    <w:rsid w:val="002F1630"/>
    <w:rsid w:val="003E6615"/>
    <w:rsid w:val="006E6AE2"/>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45957E1"/>
  <w15:chartTrackingRefBased/>
  <w15:docId w15:val="{03A65B34-80A4-3644-B525-754B8429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9C7"/>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B0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9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9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9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9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9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9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9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9C7"/>
    <w:rPr>
      <w:rFonts w:eastAsiaTheme="majorEastAsia" w:cstheme="majorBidi"/>
      <w:color w:val="272727" w:themeColor="text1" w:themeTint="D8"/>
    </w:rPr>
  </w:style>
  <w:style w:type="paragraph" w:styleId="Title">
    <w:name w:val="Title"/>
    <w:basedOn w:val="Normal"/>
    <w:next w:val="Normal"/>
    <w:link w:val="TitleChar"/>
    <w:uiPriority w:val="10"/>
    <w:qFormat/>
    <w:rsid w:val="001B09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9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9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9C7"/>
    <w:rPr>
      <w:i/>
      <w:iCs/>
      <w:color w:val="404040" w:themeColor="text1" w:themeTint="BF"/>
    </w:rPr>
  </w:style>
  <w:style w:type="paragraph" w:styleId="ListParagraph">
    <w:name w:val="List Paragraph"/>
    <w:basedOn w:val="Normal"/>
    <w:uiPriority w:val="34"/>
    <w:qFormat/>
    <w:rsid w:val="001B09C7"/>
    <w:pPr>
      <w:ind w:left="720"/>
      <w:contextualSpacing/>
    </w:pPr>
  </w:style>
  <w:style w:type="character" w:styleId="IntenseEmphasis">
    <w:name w:val="Intense Emphasis"/>
    <w:basedOn w:val="DefaultParagraphFont"/>
    <w:uiPriority w:val="21"/>
    <w:qFormat/>
    <w:rsid w:val="001B09C7"/>
    <w:rPr>
      <w:i/>
      <w:iCs/>
      <w:color w:val="0F4761" w:themeColor="accent1" w:themeShade="BF"/>
    </w:rPr>
  </w:style>
  <w:style w:type="paragraph" w:styleId="IntenseQuote">
    <w:name w:val="Intense Quote"/>
    <w:basedOn w:val="Normal"/>
    <w:next w:val="Normal"/>
    <w:link w:val="IntenseQuoteChar"/>
    <w:uiPriority w:val="30"/>
    <w:qFormat/>
    <w:rsid w:val="001B0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9C7"/>
    <w:rPr>
      <w:i/>
      <w:iCs/>
      <w:color w:val="0F4761" w:themeColor="accent1" w:themeShade="BF"/>
    </w:rPr>
  </w:style>
  <w:style w:type="character" w:styleId="IntenseReference">
    <w:name w:val="Intense Reference"/>
    <w:basedOn w:val="DefaultParagraphFont"/>
    <w:uiPriority w:val="32"/>
    <w:qFormat/>
    <w:rsid w:val="001B09C7"/>
    <w:rPr>
      <w:b/>
      <w:bCs/>
      <w:smallCaps/>
      <w:color w:val="0F4761" w:themeColor="accent1" w:themeShade="BF"/>
      <w:spacing w:val="5"/>
    </w:rPr>
  </w:style>
  <w:style w:type="character" w:customStyle="1" w:styleId="s1">
    <w:name w:val="s1"/>
    <w:basedOn w:val="DefaultParagraphFont"/>
    <w:rsid w:val="001B09C7"/>
  </w:style>
  <w:style w:type="paragraph" w:customStyle="1" w:styleId="p2">
    <w:name w:val="p2"/>
    <w:basedOn w:val="Normal"/>
    <w:rsid w:val="001B09C7"/>
    <w:pPr>
      <w:spacing w:before="100" w:beforeAutospacing="1" w:after="100" w:afterAutospacing="1"/>
    </w:pPr>
  </w:style>
  <w:style w:type="paragraph" w:customStyle="1" w:styleId="p3">
    <w:name w:val="p3"/>
    <w:basedOn w:val="Normal"/>
    <w:rsid w:val="001B09C7"/>
    <w:pPr>
      <w:spacing w:before="100" w:beforeAutospacing="1" w:after="100" w:afterAutospacing="1"/>
    </w:pPr>
  </w:style>
  <w:style w:type="paragraph" w:customStyle="1" w:styleId="p4">
    <w:name w:val="p4"/>
    <w:basedOn w:val="Normal"/>
    <w:rsid w:val="001B09C7"/>
    <w:pPr>
      <w:spacing w:before="100" w:beforeAutospacing="1" w:after="100" w:afterAutospacing="1"/>
    </w:pPr>
  </w:style>
  <w:style w:type="paragraph" w:customStyle="1" w:styleId="p1">
    <w:name w:val="p1"/>
    <w:basedOn w:val="Normal"/>
    <w:rsid w:val="001B09C7"/>
    <w:pPr>
      <w:spacing w:before="100" w:beforeAutospacing="1" w:after="100" w:afterAutospacing="1"/>
    </w:pPr>
  </w:style>
  <w:style w:type="paragraph" w:customStyle="1" w:styleId="p5">
    <w:name w:val="p5"/>
    <w:basedOn w:val="Normal"/>
    <w:rsid w:val="001B09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2026-05-26T01:07:00Z</dcterms:created>
  <dcterms:modified xsi:type="dcterms:W3CDTF">2026-05-26T01:07:00Z</dcterms:modified>
</cp:coreProperties>
</file>