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799DD2" w14:textId="77777777" w:rsidR="00860F15" w:rsidRDefault="00860F15" w:rsidP="00860F15">
      <w:pPr>
        <w:pStyle w:val="Heading1"/>
        <w:spacing w:before="0" w:after="0"/>
        <w:ind w:firstLine="426"/>
        <w:jc w:val="center"/>
        <w:rPr>
          <w:rStyle w:val="s1"/>
          <w:rFonts w:ascii="Arial" w:hAnsi="Arial" w:cs="Arial"/>
          <w:sz w:val="24"/>
          <w:szCs w:val="24"/>
        </w:rPr>
      </w:pPr>
    </w:p>
    <w:p w14:paraId="11A861A6" w14:textId="77777777" w:rsidR="00860F15" w:rsidRPr="0096065E" w:rsidRDefault="00860F15" w:rsidP="00860F15">
      <w:pPr>
        <w:pStyle w:val="Heading1"/>
        <w:spacing w:before="0" w:after="0"/>
        <w:ind w:firstLine="426"/>
        <w:jc w:val="center"/>
        <w:rPr>
          <w:rFonts w:ascii="Arial" w:hAnsi="Arial" w:cs="Arial"/>
          <w:sz w:val="24"/>
          <w:szCs w:val="24"/>
        </w:rPr>
      </w:pPr>
      <w:r w:rsidRPr="0096065E">
        <w:rPr>
          <w:rStyle w:val="s1"/>
          <w:rFonts w:ascii="Arial" w:hAnsi="Arial" w:cs="Arial"/>
          <w:sz w:val="24"/>
          <w:szCs w:val="24"/>
        </w:rPr>
        <w:t>АЖ АХУЙ НЭГЖИЙН ОРЛОГЫН АЛБАН ТАТВАРЫН ТУХАЙ</w:t>
      </w:r>
    </w:p>
    <w:p w14:paraId="03B6E76A" w14:textId="77777777" w:rsidR="00860F15" w:rsidRPr="0096065E" w:rsidRDefault="00860F15" w:rsidP="00860F15">
      <w:pPr>
        <w:pStyle w:val="p2"/>
        <w:spacing w:before="0" w:beforeAutospacing="0" w:after="0" w:afterAutospacing="0"/>
        <w:ind w:firstLine="426"/>
        <w:jc w:val="center"/>
        <w:rPr>
          <w:rFonts w:ascii="Arial" w:hAnsi="Arial" w:cs="Arial"/>
          <w:b/>
          <w:bCs/>
        </w:rPr>
      </w:pPr>
      <w:r w:rsidRPr="0096065E">
        <w:rPr>
          <w:rFonts w:ascii="Arial" w:hAnsi="Arial" w:cs="Arial"/>
          <w:b/>
          <w:bCs/>
        </w:rPr>
        <w:t>ХУУЛЬД НЭМЭЛТ ОРУУЛАХ ТУХАЙ ХУУЛИЙН ТӨСЛИЙН</w:t>
      </w:r>
      <w:r w:rsidRPr="0096065E">
        <w:rPr>
          <w:rFonts w:ascii="Arial" w:hAnsi="Arial" w:cs="Arial"/>
          <w:b/>
          <w:bCs/>
        </w:rPr>
        <w:br/>
        <w:t>ҮР НӨЛӨӨНИЙ ҮНЭЛГЭЭ, ЗАРДЛЫН ТООЦОО</w:t>
      </w:r>
    </w:p>
    <w:p w14:paraId="1AD87346" w14:textId="77777777" w:rsidR="00860F15" w:rsidRPr="0096065E" w:rsidRDefault="00860F15" w:rsidP="00860F15">
      <w:pPr>
        <w:ind w:firstLine="426"/>
        <w:rPr>
          <w:rFonts w:ascii="Arial" w:hAnsi="Arial" w:cs="Arial"/>
        </w:rPr>
      </w:pPr>
    </w:p>
    <w:p w14:paraId="7CCB0CE2" w14:textId="77777777" w:rsidR="00860F15" w:rsidRPr="0096065E" w:rsidRDefault="00860F15" w:rsidP="00860F15">
      <w:pPr>
        <w:pStyle w:val="Heading2"/>
        <w:spacing w:before="0" w:after="120"/>
        <w:ind w:firstLine="426"/>
        <w:rPr>
          <w:rFonts w:ascii="Arial" w:hAnsi="Arial" w:cs="Arial"/>
          <w:sz w:val="24"/>
          <w:szCs w:val="24"/>
        </w:rPr>
      </w:pPr>
      <w:r w:rsidRPr="0096065E">
        <w:rPr>
          <w:rStyle w:val="s1"/>
          <w:rFonts w:ascii="Arial" w:hAnsi="Arial" w:cs="Arial"/>
          <w:sz w:val="24"/>
          <w:szCs w:val="24"/>
        </w:rPr>
        <w:t>Нэг. Ерөнхий үндэслэл</w:t>
      </w:r>
    </w:p>
    <w:p w14:paraId="14BA2CBF" w14:textId="77777777" w:rsidR="00860F15" w:rsidRPr="0096065E" w:rsidRDefault="00860F15" w:rsidP="00860F15">
      <w:pPr>
        <w:pStyle w:val="p3"/>
        <w:spacing w:before="0" w:beforeAutospacing="0" w:after="120" w:afterAutospacing="0"/>
        <w:ind w:firstLine="426"/>
        <w:rPr>
          <w:rFonts w:ascii="Arial" w:hAnsi="Arial" w:cs="Arial"/>
        </w:rPr>
      </w:pPr>
      <w:r w:rsidRPr="0096065E">
        <w:rPr>
          <w:rFonts w:ascii="Arial" w:hAnsi="Arial" w:cs="Arial"/>
        </w:rPr>
        <w:t>Энэхүү хуулийн төслийн зорилго нь улсаас татаас авдаггүй аймгийн гаргасан үнэт цаасны хүүгийн орлогыг аж ахуйн нэгжийн орлогын албан татвараас чөлөөлөх замаар</w:t>
      </w:r>
      <w:r>
        <w:rPr>
          <w:rFonts w:ascii="Arial" w:hAnsi="Arial" w:cs="Arial"/>
          <w:lang w:val="mn-MN"/>
        </w:rPr>
        <w:t xml:space="preserve"> </w:t>
      </w:r>
      <w:r w:rsidRPr="0096065E">
        <w:rPr>
          <w:rFonts w:ascii="Arial" w:hAnsi="Arial" w:cs="Arial"/>
        </w:rPr>
        <w:t>орон нутгийн санхүүгийн бие даасан байдлыг нэмэгдүүлэх,</w:t>
      </w:r>
      <w:r>
        <w:rPr>
          <w:rFonts w:ascii="Arial" w:hAnsi="Arial" w:cs="Arial"/>
          <w:lang w:val="mn-MN"/>
        </w:rPr>
        <w:t xml:space="preserve"> </w:t>
      </w:r>
      <w:r w:rsidRPr="0096065E">
        <w:rPr>
          <w:rFonts w:ascii="Arial" w:hAnsi="Arial" w:cs="Arial"/>
        </w:rPr>
        <w:t>дотоодын хөрөнгийн зах зээлийг хөгжүүлэх,</w:t>
      </w:r>
      <w:r>
        <w:rPr>
          <w:rFonts w:ascii="Arial" w:hAnsi="Arial" w:cs="Arial"/>
          <w:lang w:val="mn-MN"/>
        </w:rPr>
        <w:t xml:space="preserve"> </w:t>
      </w:r>
      <w:r w:rsidRPr="0096065E">
        <w:rPr>
          <w:rFonts w:ascii="Arial" w:hAnsi="Arial" w:cs="Arial"/>
        </w:rPr>
        <w:t>урт хугацааны хөрөнгө оруулалтыг дэмжихэд оршино.</w:t>
      </w:r>
    </w:p>
    <w:p w14:paraId="45534B6A" w14:textId="77777777" w:rsidR="00860F15" w:rsidRPr="0096065E" w:rsidRDefault="00860F15" w:rsidP="00860F15">
      <w:pPr>
        <w:pStyle w:val="Heading2"/>
        <w:spacing w:before="0" w:after="120"/>
        <w:ind w:firstLine="426"/>
        <w:rPr>
          <w:rFonts w:ascii="Arial" w:hAnsi="Arial" w:cs="Arial"/>
          <w:sz w:val="24"/>
          <w:szCs w:val="24"/>
        </w:rPr>
      </w:pPr>
      <w:r w:rsidRPr="0096065E">
        <w:rPr>
          <w:rStyle w:val="s1"/>
          <w:rFonts w:ascii="Arial" w:hAnsi="Arial" w:cs="Arial"/>
          <w:sz w:val="24"/>
          <w:szCs w:val="24"/>
        </w:rPr>
        <w:t>Хоёр. Эдийн засгийн үр нөлөөний үнэлгээ</w:t>
      </w:r>
    </w:p>
    <w:p w14:paraId="27810BE8" w14:textId="77777777" w:rsidR="00860F15" w:rsidRPr="00D4601E" w:rsidRDefault="00860F15" w:rsidP="00860F15">
      <w:pPr>
        <w:pStyle w:val="Heading3"/>
        <w:spacing w:before="0" w:after="120"/>
        <w:ind w:firstLine="567"/>
        <w:jc w:val="both"/>
        <w:rPr>
          <w:rFonts w:ascii="Arial" w:hAnsi="Arial" w:cs="Arial"/>
          <w:b/>
          <w:bCs/>
          <w:color w:val="000000" w:themeColor="text1"/>
        </w:rPr>
      </w:pPr>
      <w:r w:rsidRPr="00D4601E">
        <w:rPr>
          <w:rStyle w:val="s1"/>
          <w:rFonts w:ascii="Arial" w:hAnsi="Arial" w:cs="Arial"/>
          <w:b/>
          <w:bCs/>
          <w:color w:val="000000" w:themeColor="text1"/>
        </w:rPr>
        <w:t xml:space="preserve">2.1. Суурь нөхцөл </w:t>
      </w:r>
    </w:p>
    <w:p w14:paraId="1CB29A6D" w14:textId="77777777" w:rsidR="00860F15" w:rsidRPr="009F4366" w:rsidRDefault="00860F15" w:rsidP="00860F15">
      <w:pPr>
        <w:pStyle w:val="p1"/>
        <w:spacing w:before="0" w:beforeAutospacing="0" w:after="0" w:afterAutospacing="0"/>
        <w:ind w:firstLine="567"/>
        <w:jc w:val="both"/>
        <w:rPr>
          <w:rFonts w:ascii="Arial" w:hAnsi="Arial" w:cs="Arial"/>
          <w:color w:val="000000" w:themeColor="text1"/>
        </w:rPr>
      </w:pPr>
      <w:r w:rsidRPr="009F4366">
        <w:rPr>
          <w:rFonts w:ascii="Arial" w:hAnsi="Arial" w:cs="Arial"/>
          <w:color w:val="000000" w:themeColor="text1"/>
        </w:rPr>
        <w:t>Одоогийн байдлаар Монгол Улсад орон нутгийн бондын зах зээл бодитоор бүрэлдээгүй, аймаг, орон нутгууд хөрөнгийн зах зээлээс урт хугацааны, тогтвортой санхүүжилт татах боломж хязгаарлагдмал хэвээр байна. Орон нутгийн төсвийн орлогын 60</w:t>
      </w:r>
      <w:r>
        <w:rPr>
          <w:rFonts w:ascii="Arial" w:hAnsi="Arial" w:cs="Arial"/>
          <w:color w:val="000000" w:themeColor="text1"/>
          <w:lang w:val="mn-MN"/>
        </w:rPr>
        <w:t>-</w:t>
      </w:r>
      <w:r w:rsidRPr="009F4366">
        <w:rPr>
          <w:rFonts w:ascii="Arial" w:hAnsi="Arial" w:cs="Arial"/>
          <w:color w:val="000000" w:themeColor="text1"/>
        </w:rPr>
        <w:t>80 орчим хувь нь улсын төсвөөс олгогдох шилжүүлэг, санхүүгийн дэмжлэгээс хамаарч байгаа нь санхүүгийн бие даасан байдал сул, хөгжлийн бодлогоо бие даан хэрэгжүүлэх чадавх хангалтгүй байгааг илтгэнэ.</w:t>
      </w:r>
    </w:p>
    <w:p w14:paraId="0ADB0498" w14:textId="77777777" w:rsidR="00860F15" w:rsidRPr="009F4366" w:rsidRDefault="00860F15" w:rsidP="00860F15">
      <w:pPr>
        <w:pStyle w:val="p1"/>
        <w:spacing w:before="0" w:beforeAutospacing="0" w:after="0" w:afterAutospacing="0"/>
        <w:ind w:firstLine="567"/>
        <w:jc w:val="both"/>
        <w:rPr>
          <w:rFonts w:ascii="Arial" w:hAnsi="Arial" w:cs="Arial"/>
          <w:color w:val="000000" w:themeColor="text1"/>
        </w:rPr>
      </w:pPr>
      <w:r w:rsidRPr="009F4366">
        <w:rPr>
          <w:rFonts w:ascii="Arial" w:hAnsi="Arial" w:cs="Arial"/>
          <w:color w:val="000000" w:themeColor="text1"/>
        </w:rPr>
        <w:t>Нөгөө талаас Монгол Улсад хөрөнгийн зах зээлийн нийт үнэлгээ сүүлийн жилүүдэд өсөх хандлагатай байгаа хэдий ч санхүүгийн хэрэгслийн төрөлжилт хязгаарлагдмал, ялангуяа бондын зах зээл, түүн дотор орон нутгийн үнэт цаасны сегмент үндсэндээ хөгжөөгүй байна. Үүний улмаас дотоодын урт хугацааны хөрөнгө оруулалтын эх үүсвэр хомс, банкны зээлд хэт төвлөрсөн санхүүжилтийн бүтэц хадгалагдсаар байна.</w:t>
      </w:r>
    </w:p>
    <w:p w14:paraId="0F4BE927" w14:textId="77777777" w:rsidR="00860F15" w:rsidRPr="009F4366" w:rsidRDefault="00860F15" w:rsidP="00860F15">
      <w:pPr>
        <w:pStyle w:val="p1"/>
        <w:spacing w:before="0" w:beforeAutospacing="0" w:after="0" w:afterAutospacing="0"/>
        <w:ind w:firstLine="567"/>
        <w:jc w:val="both"/>
        <w:rPr>
          <w:rFonts w:ascii="Arial" w:hAnsi="Arial" w:cs="Arial"/>
          <w:color w:val="000000" w:themeColor="text1"/>
        </w:rPr>
      </w:pPr>
      <w:r w:rsidRPr="009F4366">
        <w:rPr>
          <w:rFonts w:ascii="Arial" w:hAnsi="Arial" w:cs="Arial"/>
          <w:color w:val="000000" w:themeColor="text1"/>
        </w:rPr>
        <w:t>Ийм нөхцөлд орон нутгийн үнэт цаасны зах зээлийг бодлогын түвшинд дэмжих, хөрөнгө оруулагчдын сонирхлыг татах, зах зээлийн анхны эрэлтийг бий болгох шаардлага тулгарч байна. Энэ хүрээнд орон нутгийн бондын хүүгийн орлогыг татвараас чөлөөлөх нь зах зээлийн эрэлт, өгөөжийн тэнцвэрийг сайжруулах, санхүүжилтийн өртгийг бууруулах, улмаар шинээр бүрэлдэх зах зээлийг идэвхжүүлэх бодлогын чухал эхлэл болох юм.</w:t>
      </w:r>
    </w:p>
    <w:p w14:paraId="6E3C3DE7" w14:textId="77777777" w:rsidR="00860F15" w:rsidRPr="0096065E" w:rsidRDefault="00860F15" w:rsidP="00860F15">
      <w:pPr>
        <w:rPr>
          <w:rFonts w:ascii="Arial" w:hAnsi="Arial" w:cs="Arial"/>
        </w:rPr>
      </w:pPr>
    </w:p>
    <w:p w14:paraId="181FC4BA" w14:textId="77777777" w:rsidR="00860F15" w:rsidRDefault="00860F15" w:rsidP="00860F15">
      <w:pPr>
        <w:pStyle w:val="Heading2"/>
        <w:spacing w:before="0" w:after="0"/>
        <w:ind w:firstLine="567"/>
        <w:jc w:val="both"/>
        <w:rPr>
          <w:rStyle w:val="s1"/>
          <w:rFonts w:ascii="Arial" w:hAnsi="Arial" w:cs="Arial"/>
          <w:sz w:val="24"/>
          <w:szCs w:val="24"/>
        </w:rPr>
      </w:pPr>
      <w:r w:rsidRPr="009F4366">
        <w:rPr>
          <w:rStyle w:val="s1"/>
          <w:rFonts w:ascii="Arial" w:hAnsi="Arial" w:cs="Arial"/>
          <w:sz w:val="24"/>
          <w:szCs w:val="24"/>
        </w:rPr>
        <w:t>2.2. Бодлогын өөрчлөлтийн нөлөө</w:t>
      </w:r>
    </w:p>
    <w:p w14:paraId="15CAC626" w14:textId="77777777" w:rsidR="00860F15" w:rsidRPr="009F4366" w:rsidRDefault="00860F15" w:rsidP="00860F15">
      <w:pPr>
        <w:pStyle w:val="Heading2"/>
        <w:spacing w:before="0" w:after="0"/>
        <w:ind w:firstLine="567"/>
        <w:jc w:val="both"/>
        <w:rPr>
          <w:rFonts w:ascii="Arial" w:hAnsi="Arial" w:cs="Arial"/>
          <w:sz w:val="24"/>
          <w:szCs w:val="24"/>
        </w:rPr>
      </w:pPr>
    </w:p>
    <w:p w14:paraId="1F206A96" w14:textId="77777777" w:rsidR="00860F15" w:rsidRPr="009F4366" w:rsidRDefault="00860F15" w:rsidP="00860F15">
      <w:pPr>
        <w:pStyle w:val="p2"/>
        <w:spacing w:before="0" w:beforeAutospacing="0" w:after="0" w:afterAutospacing="0"/>
        <w:ind w:firstLine="567"/>
        <w:jc w:val="both"/>
        <w:rPr>
          <w:rFonts w:ascii="Arial" w:hAnsi="Arial" w:cs="Arial"/>
        </w:rPr>
      </w:pPr>
      <w:r w:rsidRPr="009F4366">
        <w:rPr>
          <w:rFonts w:ascii="Arial" w:hAnsi="Arial" w:cs="Arial"/>
        </w:rPr>
        <w:t>Хуулийн төсөл батлагдсанаар орон нутгийн санхүүжилтийн бүтэц төрөлжиж, аймаг, орон нутгууд хөрөнгийн зах зээлээс урт хугацааны санхүүжилт татах боломж бодитоор бүрдэнэ. Үүний үр дүнд орон нутгийн бонд гаргах идэвх нэмэгдэж, арилжааны банк, даатгал, хөрөнгө оруулалтын сан зэрэг институцийн хөрөнгө оруулагчдын оролцоо өсөх нөхцөл бүрдэнэ.</w:t>
      </w:r>
    </w:p>
    <w:p w14:paraId="39A5BA9C" w14:textId="77777777" w:rsidR="00860F15" w:rsidRPr="001C2B99" w:rsidRDefault="00860F15" w:rsidP="00860F15">
      <w:pPr>
        <w:pStyle w:val="p1"/>
        <w:spacing w:before="0" w:beforeAutospacing="0" w:after="0" w:afterAutospacing="0"/>
        <w:ind w:firstLine="567"/>
        <w:jc w:val="both"/>
      </w:pPr>
      <w:r w:rsidRPr="009F4366">
        <w:rPr>
          <w:rFonts w:ascii="Arial" w:hAnsi="Arial" w:cs="Arial"/>
        </w:rPr>
        <w:t xml:space="preserve">Олон улсын байгууллагуудын судалгаагаар </w:t>
      </w:r>
      <w:r w:rsidRPr="001C2B99">
        <w:rPr>
          <w:rFonts w:ascii="Arial" w:hAnsi="Arial" w:cs="Arial"/>
        </w:rPr>
        <w:t>(</w:t>
      </w:r>
      <w:r w:rsidRPr="001C2B99">
        <w:rPr>
          <w:rStyle w:val="s2"/>
          <w:rFonts w:ascii="Arial" w:hAnsi="Arial" w:cs="Arial"/>
        </w:rPr>
        <w:t>Олон улсын валютын сангийн</w:t>
      </w:r>
      <w:r w:rsidRPr="001C2B99">
        <w:rPr>
          <w:rStyle w:val="s2"/>
          <w:rFonts w:ascii="Arial" w:hAnsi="Arial" w:cs="Arial"/>
          <w:b/>
          <w:bCs/>
        </w:rPr>
        <w:t xml:space="preserve"> </w:t>
      </w:r>
      <w:r w:rsidRPr="001C2B99">
        <w:rPr>
          <w:rStyle w:val="s2"/>
          <w:rFonts w:ascii="Arial" w:hAnsi="Arial" w:cs="Arial"/>
        </w:rPr>
        <w:t>“Төсвийн хяналтын тайлан”</w:t>
      </w:r>
      <w:r w:rsidRPr="001C2B99">
        <w:rPr>
          <w:rStyle w:val="s1"/>
          <w:rFonts w:ascii="Arial" w:eastAsiaTheme="majorEastAsia" w:hAnsi="Arial" w:cs="Arial"/>
        </w:rPr>
        <w:t xml:space="preserve">, </w:t>
      </w:r>
      <w:r w:rsidRPr="001C2B99">
        <w:rPr>
          <w:rStyle w:val="s2"/>
          <w:rFonts w:ascii="Arial" w:hAnsi="Arial" w:cs="Arial"/>
        </w:rPr>
        <w:t>Дэлхийн банкны “Орон нутгийн өр ба</w:t>
      </w:r>
      <w:r w:rsidRPr="001C2B99">
        <w:rPr>
          <w:rStyle w:val="s2"/>
          <w:rFonts w:ascii="Arial" w:hAnsi="Arial" w:cs="Arial"/>
          <w:lang w:val="mn-MN"/>
        </w:rPr>
        <w:t xml:space="preserve"> </w:t>
      </w:r>
      <w:r w:rsidRPr="001C2B99">
        <w:rPr>
          <w:rStyle w:val="s2"/>
          <w:rFonts w:ascii="Arial" w:hAnsi="Arial" w:cs="Arial"/>
        </w:rPr>
        <w:t>санхүүжилтийн судалгаа”</w:t>
      </w:r>
      <w:r w:rsidRPr="001C2B99">
        <w:rPr>
          <w:rStyle w:val="s1"/>
          <w:rFonts w:ascii="Arial" w:eastAsiaTheme="majorEastAsia" w:hAnsi="Arial" w:cs="Arial"/>
        </w:rPr>
        <w:t>)</w:t>
      </w:r>
      <w:r w:rsidRPr="009F4366">
        <w:rPr>
          <w:rFonts w:ascii="Arial" w:hAnsi="Arial" w:cs="Arial"/>
        </w:rPr>
        <w:t xml:space="preserve"> дотоодын бондын зах зээл хөгжсөн улс орнуудад орон нутгийн санхүүжилтийн 20</w:t>
      </w:r>
      <w:r>
        <w:rPr>
          <w:rFonts w:ascii="Arial" w:hAnsi="Arial" w:cs="Arial"/>
          <w:lang w:val="mn-MN"/>
        </w:rPr>
        <w:t>-</w:t>
      </w:r>
      <w:r w:rsidRPr="009F4366">
        <w:rPr>
          <w:rFonts w:ascii="Arial" w:hAnsi="Arial" w:cs="Arial"/>
        </w:rPr>
        <w:t>50 хувийг зах зээлээс бүрдүүлэх боломж бүрддэг бол хөгжиж буй орнуудад энэ үзүүлэлт эхний үе шатанд 5</w:t>
      </w:r>
      <w:r>
        <w:rPr>
          <w:rFonts w:ascii="Arial" w:hAnsi="Arial" w:cs="Arial"/>
          <w:lang w:val="mn-MN"/>
        </w:rPr>
        <w:t>-</w:t>
      </w:r>
      <w:r w:rsidRPr="009F4366">
        <w:rPr>
          <w:rFonts w:ascii="Arial" w:hAnsi="Arial" w:cs="Arial"/>
        </w:rPr>
        <w:t xml:space="preserve">15 хувийн түвшинд эхэлдэг байна. Монгол Улсын хувьд орон нутгийн бондын зах зээл шинээр бүрэлдэх тул эхний шатанд </w:t>
      </w:r>
      <w:r w:rsidRPr="009F4366">
        <w:rPr>
          <w:rFonts w:ascii="Arial" w:hAnsi="Arial" w:cs="Arial"/>
        </w:rPr>
        <w:lastRenderedPageBreak/>
        <w:t>хязгаарлагдмал хэмжээнд, үе шаттайгаар хөгжих нь эдийн засгийн хувьд зохистой гэж үзэж байна.</w:t>
      </w:r>
    </w:p>
    <w:p w14:paraId="25F4BC67" w14:textId="77777777" w:rsidR="00860F15" w:rsidRPr="009F4366" w:rsidRDefault="00860F15" w:rsidP="00860F15">
      <w:pPr>
        <w:pStyle w:val="p2"/>
        <w:spacing w:before="0" w:beforeAutospacing="0" w:after="0" w:afterAutospacing="0"/>
        <w:ind w:firstLine="567"/>
        <w:jc w:val="both"/>
        <w:rPr>
          <w:rFonts w:ascii="Arial" w:hAnsi="Arial" w:cs="Arial"/>
        </w:rPr>
      </w:pPr>
      <w:r w:rsidRPr="009F4366">
        <w:rPr>
          <w:rFonts w:ascii="Arial" w:hAnsi="Arial" w:cs="Arial"/>
        </w:rPr>
        <w:t>Монголбанкны мөнгөний бодлогын тайлан, банкны системийн нэгдсэн балансын мэдээллээр 2024</w:t>
      </w:r>
      <w:r>
        <w:rPr>
          <w:rFonts w:ascii="Arial" w:hAnsi="Arial" w:cs="Arial"/>
          <w:lang w:val="mn-MN"/>
        </w:rPr>
        <w:t>-</w:t>
      </w:r>
      <w:r w:rsidRPr="009F4366">
        <w:rPr>
          <w:rFonts w:ascii="Arial" w:hAnsi="Arial" w:cs="Arial"/>
        </w:rPr>
        <w:t xml:space="preserve">2025 оны байдлаар банкны системийн нийт актив 60 их наяд төгрөгөөс давсан бөгөөд урт хугацааны, тогтвортой өгөөжтэй санхүүгийн хэрэгслийн эрэлт өсөж байгааг харуулж байна. </w:t>
      </w:r>
      <w:r>
        <w:rPr>
          <w:rFonts w:ascii="Arial" w:hAnsi="Arial" w:cs="Arial"/>
          <w:lang w:val="mn-MN"/>
        </w:rPr>
        <w:t xml:space="preserve">Дэлхийн банкны </w:t>
      </w:r>
      <w:r w:rsidRPr="009F4366">
        <w:rPr>
          <w:rFonts w:ascii="Arial" w:hAnsi="Arial" w:cs="Arial"/>
        </w:rPr>
        <w:t>судалгаагаар банк давамгайлсан санхүүгийн системтэй орнуудад (bank-dominated system) дотоодын бондын зах зээлийг хөгжүүлэх нь хөрөнгийн хуваарилалтыг сайжруулж, санхүүгийн тогтвортой байдлыг нэмэгдүүлдэг гэж үздэг.</w:t>
      </w:r>
    </w:p>
    <w:p w14:paraId="38EC8B11" w14:textId="77777777" w:rsidR="00860F15" w:rsidRPr="009F4366" w:rsidRDefault="00860F15" w:rsidP="00860F15">
      <w:pPr>
        <w:pStyle w:val="p2"/>
        <w:spacing w:before="0" w:beforeAutospacing="0" w:after="0" w:afterAutospacing="0"/>
        <w:ind w:firstLine="567"/>
        <w:jc w:val="both"/>
        <w:rPr>
          <w:rFonts w:ascii="Arial" w:hAnsi="Arial" w:cs="Arial"/>
        </w:rPr>
      </w:pPr>
      <w:r w:rsidRPr="009F4366">
        <w:rPr>
          <w:rFonts w:ascii="Arial" w:hAnsi="Arial" w:cs="Arial"/>
        </w:rPr>
        <w:t>Ийм нөхцөлд орон нутгийн бонд нь дотоодын институцийн хөрөнгө оруулагчдын хувьд шинэ хөрөнгө оруулалтын хэрэгсэл болж, банкны активын бүтэц дэх урт хугацааны үнэт цаасны эзлэх жинг нэмэгдүүлэх боломжтой.</w:t>
      </w:r>
    </w:p>
    <w:p w14:paraId="659FE83C" w14:textId="77777777" w:rsidR="00860F15" w:rsidRPr="009F4366" w:rsidRDefault="00860F15" w:rsidP="00860F15">
      <w:pPr>
        <w:pStyle w:val="p2"/>
        <w:spacing w:before="0" w:beforeAutospacing="0" w:after="0" w:afterAutospacing="0"/>
        <w:ind w:firstLine="567"/>
        <w:jc w:val="both"/>
        <w:rPr>
          <w:rFonts w:ascii="Arial" w:hAnsi="Arial" w:cs="Arial"/>
        </w:rPr>
      </w:pPr>
      <w:r w:rsidRPr="009F4366">
        <w:rPr>
          <w:rFonts w:ascii="Arial" w:hAnsi="Arial" w:cs="Arial"/>
        </w:rPr>
        <w:t>Сангийн яам болон хөгжлийн бодлогын баримт бичгүүдэд тусгагдсан дэд бүтцийн хөрөнгө оруулалтын хэрэгцээнд тулгуурлан ойрын 3</w:t>
      </w:r>
      <w:r>
        <w:rPr>
          <w:rFonts w:ascii="Arial" w:hAnsi="Arial" w:cs="Arial"/>
          <w:lang w:val="mn-MN"/>
        </w:rPr>
        <w:t>-</w:t>
      </w:r>
      <w:r w:rsidRPr="009F4366">
        <w:rPr>
          <w:rFonts w:ascii="Arial" w:hAnsi="Arial" w:cs="Arial"/>
        </w:rPr>
        <w:t>5 жилийн хугацаанд орон нутгийн бондын зах зээл үе шаттайгаар бий болж, эхний шатанд нийт 200</w:t>
      </w:r>
      <w:r>
        <w:rPr>
          <w:rFonts w:ascii="Arial" w:hAnsi="Arial" w:cs="Arial"/>
          <w:lang w:val="mn-MN"/>
        </w:rPr>
        <w:t>-</w:t>
      </w:r>
      <w:r w:rsidRPr="009F4366">
        <w:rPr>
          <w:rFonts w:ascii="Arial" w:hAnsi="Arial" w:cs="Arial"/>
        </w:rPr>
        <w:t>400 тэрбум төгрөгийн хэмжээтэй бонд гаргах боломжтой гэж консерватив байдлаар тооцоолж байна. (</w:t>
      </w:r>
      <w:r>
        <w:rPr>
          <w:rFonts w:ascii="Arial" w:hAnsi="Arial" w:cs="Arial"/>
          <w:lang w:val="mn-MN"/>
        </w:rPr>
        <w:t>ОУВС</w:t>
      </w:r>
      <w:r w:rsidRPr="009F4366">
        <w:rPr>
          <w:rFonts w:ascii="Arial" w:hAnsi="Arial" w:cs="Arial"/>
        </w:rPr>
        <w:t>-ийн зөвлөмжид шинээр үүсэх зах зээлд эхний үе шатанд бага хэмжээгээр эхлүүлэхийг зөвлөдөг.)</w:t>
      </w:r>
    </w:p>
    <w:p w14:paraId="429D3690" w14:textId="77777777" w:rsidR="00860F15" w:rsidRPr="009F4366" w:rsidRDefault="00860F15" w:rsidP="00860F15">
      <w:pPr>
        <w:pStyle w:val="p2"/>
        <w:spacing w:before="0" w:beforeAutospacing="0" w:after="0" w:afterAutospacing="0"/>
        <w:ind w:firstLine="567"/>
        <w:jc w:val="both"/>
        <w:rPr>
          <w:rFonts w:ascii="Arial" w:hAnsi="Arial" w:cs="Arial"/>
        </w:rPr>
      </w:pPr>
      <w:r w:rsidRPr="009F4366">
        <w:rPr>
          <w:rFonts w:ascii="Arial" w:hAnsi="Arial" w:cs="Arial"/>
        </w:rPr>
        <w:t>Монгол Улсын Засгийн газрын үнэт цаасны өгөөжийн түвшин (9</w:t>
      </w:r>
      <w:r>
        <w:rPr>
          <w:rFonts w:ascii="Arial" w:hAnsi="Arial" w:cs="Arial"/>
          <w:lang w:val="mn-MN"/>
        </w:rPr>
        <w:t>-</w:t>
      </w:r>
      <w:r w:rsidRPr="009F4366">
        <w:rPr>
          <w:rFonts w:ascii="Arial" w:hAnsi="Arial" w:cs="Arial"/>
        </w:rPr>
        <w:t>12 хувь), банкны хадгаламжийн хүүгийн түвшин болон зах зээлийн эрсдэлийн нэмэгдэл (risk premium)-ийг харгалзан орон нутгийн бондын дундаж хүүг 10</w:t>
      </w:r>
      <w:r>
        <w:rPr>
          <w:rFonts w:ascii="Arial" w:hAnsi="Arial" w:cs="Arial"/>
          <w:lang w:val="mn-MN"/>
        </w:rPr>
        <w:t>-</w:t>
      </w:r>
      <w:r w:rsidRPr="009F4366">
        <w:rPr>
          <w:rFonts w:ascii="Arial" w:hAnsi="Arial" w:cs="Arial"/>
        </w:rPr>
        <w:t>12 хувийн түвшинд тогтох боломжтой гэж үзэж байна.</w:t>
      </w:r>
    </w:p>
    <w:p w14:paraId="24431A51" w14:textId="77777777" w:rsidR="00860F15" w:rsidRPr="009F4366" w:rsidRDefault="00860F15" w:rsidP="00860F15">
      <w:pPr>
        <w:pStyle w:val="p3"/>
        <w:spacing w:before="0" w:beforeAutospacing="0" w:after="0" w:afterAutospacing="0"/>
        <w:ind w:firstLine="567"/>
        <w:jc w:val="both"/>
        <w:rPr>
          <w:rFonts w:ascii="Arial" w:hAnsi="Arial" w:cs="Arial"/>
        </w:rPr>
      </w:pPr>
      <w:r w:rsidRPr="009F4366">
        <w:rPr>
          <w:rFonts w:ascii="Arial" w:hAnsi="Arial" w:cs="Arial"/>
        </w:rPr>
        <w:t>Иймд дээрх нөхцөлд жилд төлөгдөх хүүгийн орлого ойролцоогоор 20</w:t>
      </w:r>
      <w:r>
        <w:rPr>
          <w:rFonts w:ascii="Arial" w:hAnsi="Arial" w:cs="Arial"/>
          <w:lang w:val="mn-MN"/>
        </w:rPr>
        <w:t>-</w:t>
      </w:r>
      <w:r w:rsidRPr="009F4366">
        <w:rPr>
          <w:rFonts w:ascii="Arial" w:hAnsi="Arial" w:cs="Arial"/>
        </w:rPr>
        <w:t>40 тэрбум төгрөгийн түвшинд байх боломжтой бөгөөд зах зээл тэлэхийн хэрээр цаашид өсөх хандлагатай байна.</w:t>
      </w:r>
    </w:p>
    <w:p w14:paraId="3D554D66" w14:textId="77777777" w:rsidR="00860F15" w:rsidRPr="009F4366" w:rsidRDefault="00860F15" w:rsidP="00860F15">
      <w:pPr>
        <w:ind w:firstLine="567"/>
        <w:jc w:val="both"/>
        <w:rPr>
          <w:rFonts w:ascii="Arial" w:hAnsi="Arial" w:cs="Arial"/>
        </w:rPr>
      </w:pPr>
    </w:p>
    <w:p w14:paraId="0C870FD5" w14:textId="77777777" w:rsidR="00860F15" w:rsidRDefault="00860F15" w:rsidP="00860F15">
      <w:pPr>
        <w:pStyle w:val="Heading2"/>
        <w:spacing w:before="0" w:after="0"/>
        <w:ind w:firstLine="567"/>
        <w:jc w:val="both"/>
        <w:rPr>
          <w:rStyle w:val="s1"/>
          <w:rFonts w:ascii="Arial" w:hAnsi="Arial" w:cs="Arial"/>
          <w:sz w:val="24"/>
          <w:szCs w:val="24"/>
        </w:rPr>
      </w:pPr>
      <w:r w:rsidRPr="009F4366">
        <w:rPr>
          <w:rStyle w:val="s1"/>
          <w:rFonts w:ascii="Arial" w:hAnsi="Arial" w:cs="Arial"/>
          <w:sz w:val="24"/>
          <w:szCs w:val="24"/>
        </w:rPr>
        <w:t>2.3. Төсөвт үзүүлэх нөлөө</w:t>
      </w:r>
    </w:p>
    <w:p w14:paraId="347726B0" w14:textId="77777777" w:rsidR="00860F15" w:rsidRPr="009F4366" w:rsidRDefault="00860F15" w:rsidP="00860F15">
      <w:pPr>
        <w:pStyle w:val="Heading2"/>
        <w:spacing w:before="0" w:after="0"/>
        <w:ind w:firstLine="567"/>
        <w:jc w:val="both"/>
        <w:rPr>
          <w:rFonts w:ascii="Arial" w:hAnsi="Arial" w:cs="Arial"/>
          <w:sz w:val="24"/>
          <w:szCs w:val="24"/>
        </w:rPr>
      </w:pPr>
    </w:p>
    <w:p w14:paraId="5A13EC47" w14:textId="77777777" w:rsidR="00860F15" w:rsidRPr="009F4366" w:rsidRDefault="00860F15" w:rsidP="00860F15">
      <w:pPr>
        <w:pStyle w:val="p2"/>
        <w:spacing w:before="0" w:beforeAutospacing="0" w:after="0" w:afterAutospacing="0"/>
        <w:ind w:firstLine="567"/>
        <w:jc w:val="both"/>
        <w:rPr>
          <w:rFonts w:ascii="Arial" w:hAnsi="Arial" w:cs="Arial"/>
        </w:rPr>
      </w:pPr>
      <w:r w:rsidRPr="009F4366">
        <w:rPr>
          <w:rFonts w:ascii="Arial" w:hAnsi="Arial" w:cs="Arial"/>
        </w:rPr>
        <w:t>Аж ахуйн нэгжийн орлогын албан татварын тухай хуулийн дагуу хүүгийн орлогод 10 хувийн татвар ногдуулдаг бөгөөд дээрх тооцоололд үндэслэн орон нутгийн бондын хүүгийн орлогоос улсын төсөвт төвлөрөх боломжит татварын хэмжээ жилд ойролцоогоор 2.0</w:t>
      </w:r>
      <w:r>
        <w:rPr>
          <w:rFonts w:ascii="Arial" w:hAnsi="Arial" w:cs="Arial"/>
          <w:lang w:val="mn-MN"/>
        </w:rPr>
        <w:t>-</w:t>
      </w:r>
      <w:r w:rsidRPr="009F4366">
        <w:rPr>
          <w:rFonts w:ascii="Arial" w:hAnsi="Arial" w:cs="Arial"/>
        </w:rPr>
        <w:t>4.0 тэрбум төгрөгийн түвшинд байна.</w:t>
      </w:r>
    </w:p>
    <w:p w14:paraId="495C3E6D" w14:textId="77777777" w:rsidR="00860F15" w:rsidRPr="009F4366" w:rsidRDefault="00860F15" w:rsidP="00860F15">
      <w:pPr>
        <w:pStyle w:val="p2"/>
        <w:spacing w:before="0" w:beforeAutospacing="0" w:after="0" w:afterAutospacing="0"/>
        <w:ind w:firstLine="567"/>
        <w:jc w:val="both"/>
        <w:rPr>
          <w:rFonts w:ascii="Arial" w:hAnsi="Arial" w:cs="Arial"/>
        </w:rPr>
      </w:pPr>
      <w:r w:rsidRPr="009F4366">
        <w:rPr>
          <w:rFonts w:ascii="Arial" w:hAnsi="Arial" w:cs="Arial"/>
        </w:rPr>
        <w:t>Хуулийн төсөлд тусгасны дагуу уг хүүгийн орлогыг татвараас чөлөөлснөөр дээрх хэмжээний татварын орлого төвлөрөхгүй байх боловч энэ нь нийт татварын орлогын маш бага хувийг эзэлж байгаа бөгөөд макро эдийн засгийн түвшинд мэдэгдэхүйц сөрөг нөлөө үзүүлэхгүй.</w:t>
      </w:r>
    </w:p>
    <w:p w14:paraId="72D3C53E" w14:textId="77777777" w:rsidR="00860F15" w:rsidRPr="001C2B99" w:rsidRDefault="00860F15" w:rsidP="00860F15">
      <w:pPr>
        <w:pStyle w:val="p4"/>
        <w:spacing w:before="0" w:beforeAutospacing="0" w:after="0" w:afterAutospacing="0"/>
        <w:ind w:firstLine="567"/>
        <w:jc w:val="both"/>
        <w:rPr>
          <w:rFonts w:ascii="Arial" w:hAnsi="Arial" w:cs="Arial"/>
        </w:rPr>
      </w:pPr>
      <w:r w:rsidRPr="009F4366">
        <w:rPr>
          <w:rFonts w:ascii="Arial" w:hAnsi="Arial" w:cs="Arial"/>
        </w:rPr>
        <w:t xml:space="preserve">Харин </w:t>
      </w:r>
      <w:r>
        <w:rPr>
          <w:rFonts w:ascii="Arial" w:hAnsi="Arial" w:cs="Arial"/>
          <w:lang w:val="mn-MN"/>
        </w:rPr>
        <w:t>Дэлхийн банк</w:t>
      </w:r>
      <w:r w:rsidRPr="009F4366">
        <w:rPr>
          <w:rFonts w:ascii="Arial" w:hAnsi="Arial" w:cs="Arial"/>
        </w:rPr>
        <w:t xml:space="preserve"> болон </w:t>
      </w:r>
      <w:r>
        <w:rPr>
          <w:rFonts w:ascii="Arial" w:hAnsi="Arial" w:cs="Arial"/>
          <w:lang w:val="mn-MN"/>
        </w:rPr>
        <w:t>ОУВС</w:t>
      </w:r>
      <w:r w:rsidRPr="009F4366">
        <w:rPr>
          <w:rFonts w:ascii="Arial" w:hAnsi="Arial" w:cs="Arial"/>
        </w:rPr>
        <w:t>-ийн судалгаагаар дотоодын бондын зах зээл хөгжсөнөөр</w:t>
      </w:r>
      <w:r>
        <w:rPr>
          <w:rFonts w:ascii="Arial" w:hAnsi="Arial" w:cs="Arial"/>
          <w:lang w:val="mn-MN"/>
        </w:rPr>
        <w:t xml:space="preserve"> </w:t>
      </w:r>
      <w:r w:rsidRPr="009F4366">
        <w:rPr>
          <w:rFonts w:ascii="Arial" w:hAnsi="Arial" w:cs="Arial"/>
        </w:rPr>
        <w:t>дэд бүтцийн хөрөнгө оруулалт нэмэгдэх,</w:t>
      </w:r>
      <w:r>
        <w:rPr>
          <w:rFonts w:ascii="Arial" w:hAnsi="Arial" w:cs="Arial"/>
          <w:lang w:val="mn-MN"/>
        </w:rPr>
        <w:t xml:space="preserve"> </w:t>
      </w:r>
      <w:r w:rsidRPr="009F4366">
        <w:rPr>
          <w:rFonts w:ascii="Arial" w:hAnsi="Arial" w:cs="Arial"/>
        </w:rPr>
        <w:t>хувийн хэвшлийн оролцоо өсөх,</w:t>
      </w:r>
      <w:r>
        <w:rPr>
          <w:rFonts w:ascii="Arial" w:hAnsi="Arial" w:cs="Arial"/>
          <w:lang w:val="mn-MN"/>
        </w:rPr>
        <w:t xml:space="preserve"> </w:t>
      </w:r>
      <w:r w:rsidRPr="009F4366">
        <w:rPr>
          <w:rFonts w:ascii="Arial" w:hAnsi="Arial" w:cs="Arial"/>
        </w:rPr>
        <w:t>орон нутгийн эдийн засгийн идэвхжил нэмэгдэх,</w:t>
      </w:r>
      <w:r>
        <w:rPr>
          <w:rFonts w:ascii="Arial" w:hAnsi="Arial" w:cs="Arial"/>
          <w:lang w:val="mn-MN"/>
        </w:rPr>
        <w:t xml:space="preserve"> </w:t>
      </w:r>
      <w:r w:rsidRPr="009F4366">
        <w:rPr>
          <w:rFonts w:ascii="Arial" w:hAnsi="Arial" w:cs="Arial"/>
        </w:rPr>
        <w:t>татварын суурь өргөжих</w:t>
      </w:r>
      <w:r>
        <w:rPr>
          <w:rFonts w:ascii="Arial" w:hAnsi="Arial" w:cs="Arial"/>
          <w:lang w:val="mn-MN"/>
        </w:rPr>
        <w:t xml:space="preserve"> </w:t>
      </w:r>
      <w:r w:rsidRPr="009F4366">
        <w:rPr>
          <w:rFonts w:ascii="Arial" w:hAnsi="Arial" w:cs="Arial"/>
        </w:rPr>
        <w:t xml:space="preserve">дам нөлөө үзүүлдэг бөгөөд дунд хугацаанд төсвийн орлогыг нэмэгдүүлэх хандлагатай </w:t>
      </w:r>
      <w:r w:rsidRPr="001C2B99">
        <w:rPr>
          <w:rFonts w:ascii="Arial" w:hAnsi="Arial" w:cs="Arial"/>
        </w:rPr>
        <w:t>байдаг.</w:t>
      </w:r>
    </w:p>
    <w:p w14:paraId="4142E012" w14:textId="77777777" w:rsidR="00860F15" w:rsidRPr="0033241B" w:rsidRDefault="00860F15" w:rsidP="00860F15">
      <w:pPr>
        <w:pStyle w:val="p2"/>
        <w:spacing w:before="0" w:beforeAutospacing="0" w:after="0" w:afterAutospacing="0"/>
        <w:ind w:firstLine="567"/>
        <w:jc w:val="both"/>
        <w:rPr>
          <w:rFonts w:ascii="Arial" w:hAnsi="Arial" w:cs="Arial"/>
          <w:lang w:val="mn-MN"/>
        </w:rPr>
      </w:pPr>
      <w:r w:rsidRPr="001C2B99">
        <w:rPr>
          <w:rFonts w:ascii="Arial" w:hAnsi="Arial" w:cs="Arial"/>
        </w:rPr>
        <w:t>Тухайлбал, Азийн хөгжлийн банк дүгнэлтээр дэд бүтцийн хөрөнгө оруулалтын 1 төгрөг тутамд эдийн засгийн 1.3</w:t>
      </w:r>
      <w:r w:rsidRPr="001C2B99">
        <w:rPr>
          <w:rFonts w:ascii="Arial" w:hAnsi="Arial" w:cs="Arial"/>
          <w:lang w:val="mn-MN"/>
        </w:rPr>
        <w:t>-</w:t>
      </w:r>
      <w:r w:rsidRPr="001C2B99">
        <w:rPr>
          <w:rFonts w:ascii="Arial" w:hAnsi="Arial" w:cs="Arial"/>
        </w:rPr>
        <w:t>1.8 төгрөгийн нэмэлт өсөлт бий болгох боломжтой гэж үздэг. Энэ утгаараа орон нутгийн бондын санхүүжилтээр хэрэгжих төслүүд нь татварын орлогын суурийг өргөжүүлэх шууд болон шууд бус нөлөө үзүүлэх боломжтой.</w:t>
      </w:r>
      <w:r>
        <w:rPr>
          <w:rFonts w:ascii="Arial" w:hAnsi="Arial" w:cs="Arial"/>
          <w:lang w:val="mn-MN"/>
        </w:rPr>
        <w:t xml:space="preserve"> </w:t>
      </w:r>
      <w:r w:rsidRPr="0033241B">
        <w:rPr>
          <w:rFonts w:ascii="Arial" w:hAnsi="Arial" w:cs="Arial"/>
          <w:lang w:val="mn-MN"/>
        </w:rPr>
        <w:t xml:space="preserve">Иймд энэхүү татварын хөнгөлөлт нь богино хугацаанд бага хэмжээний </w:t>
      </w:r>
      <w:r w:rsidRPr="0033241B">
        <w:rPr>
          <w:rFonts w:ascii="Arial" w:hAnsi="Arial" w:cs="Arial"/>
          <w:lang w:val="mn-MN"/>
        </w:rPr>
        <w:lastRenderedPageBreak/>
        <w:t>орлогын алдагдал үүсгэх боловч дунд, урт хугацаанд эдийн засгийн өсөлт, татварын суурийн тэлэлтээр дамжин нөхөгдөх, цаашлаад илүү өндөр өгөөж бий болгох бодлогын арга хэмжээ гэж үзэж байна.</w:t>
      </w:r>
    </w:p>
    <w:p w14:paraId="3D9AF8D1" w14:textId="77777777" w:rsidR="00860F15" w:rsidRPr="0033241B" w:rsidRDefault="00860F15" w:rsidP="00860F15">
      <w:pPr>
        <w:ind w:firstLine="567"/>
        <w:jc w:val="both"/>
        <w:rPr>
          <w:rFonts w:ascii="Arial" w:hAnsi="Arial" w:cs="Arial"/>
          <w:lang w:val="mn-MN"/>
        </w:rPr>
      </w:pPr>
    </w:p>
    <w:p w14:paraId="7D484170" w14:textId="77777777" w:rsidR="00860F15" w:rsidRDefault="00860F15" w:rsidP="00860F15">
      <w:pPr>
        <w:pStyle w:val="Heading2"/>
        <w:spacing w:before="0" w:after="0"/>
        <w:ind w:firstLine="567"/>
        <w:jc w:val="both"/>
        <w:rPr>
          <w:rStyle w:val="s1"/>
          <w:rFonts w:ascii="Arial" w:hAnsi="Arial" w:cs="Arial"/>
          <w:sz w:val="24"/>
          <w:szCs w:val="24"/>
        </w:rPr>
      </w:pPr>
      <w:r w:rsidRPr="001C2B99">
        <w:rPr>
          <w:rStyle w:val="s1"/>
          <w:rFonts w:ascii="Arial" w:hAnsi="Arial" w:cs="Arial"/>
          <w:sz w:val="24"/>
          <w:szCs w:val="24"/>
        </w:rPr>
        <w:t>(ХАВСРАЛТ — ЭХ СУРВАЛЖИЙН СУУРЬ)</w:t>
      </w:r>
    </w:p>
    <w:p w14:paraId="58036BE2" w14:textId="77777777" w:rsidR="00860F15" w:rsidRPr="001C2B99" w:rsidRDefault="00860F15" w:rsidP="00860F15">
      <w:pPr>
        <w:pStyle w:val="Heading2"/>
        <w:spacing w:before="0" w:after="0"/>
        <w:ind w:firstLine="567"/>
        <w:jc w:val="both"/>
        <w:rPr>
          <w:rFonts w:ascii="Arial" w:hAnsi="Arial" w:cs="Arial"/>
          <w:sz w:val="24"/>
          <w:szCs w:val="24"/>
        </w:rPr>
      </w:pPr>
    </w:p>
    <w:p w14:paraId="164EA33B" w14:textId="77777777" w:rsidR="00860F15" w:rsidRPr="001C2B99" w:rsidRDefault="00860F15" w:rsidP="00860F15">
      <w:pPr>
        <w:pStyle w:val="ListParagraph"/>
        <w:numPr>
          <w:ilvl w:val="0"/>
          <w:numId w:val="1"/>
        </w:numPr>
        <w:jc w:val="both"/>
        <w:rPr>
          <w:rFonts w:ascii="Arial" w:hAnsi="Arial" w:cs="Arial"/>
        </w:rPr>
      </w:pPr>
      <w:r w:rsidRPr="001C2B99">
        <w:rPr>
          <w:rFonts w:ascii="Arial" w:hAnsi="Arial" w:cs="Arial"/>
        </w:rPr>
        <w:t xml:space="preserve">IMF </w:t>
      </w:r>
      <w:r>
        <w:rPr>
          <w:rFonts w:ascii="Arial" w:hAnsi="Arial" w:cs="Arial"/>
          <w:lang w:val="mn-MN"/>
        </w:rPr>
        <w:t>-</w:t>
      </w:r>
      <w:r w:rsidRPr="001C2B99">
        <w:rPr>
          <w:rFonts w:ascii="Arial" w:hAnsi="Arial" w:cs="Arial"/>
        </w:rPr>
        <w:t xml:space="preserve"> Fiscal Monitor; Public Investment &amp; Subnational Finance guidance</w:t>
      </w:r>
    </w:p>
    <w:p w14:paraId="61D8D803" w14:textId="77777777" w:rsidR="00860F15" w:rsidRPr="001C2B99" w:rsidRDefault="00860F15" w:rsidP="00860F15">
      <w:pPr>
        <w:pStyle w:val="ListParagraph"/>
        <w:numPr>
          <w:ilvl w:val="0"/>
          <w:numId w:val="1"/>
        </w:numPr>
        <w:jc w:val="both"/>
        <w:rPr>
          <w:rFonts w:ascii="Arial" w:hAnsi="Arial" w:cs="Arial"/>
        </w:rPr>
      </w:pPr>
      <w:r w:rsidRPr="001C2B99">
        <w:rPr>
          <w:rFonts w:ascii="Arial" w:hAnsi="Arial" w:cs="Arial"/>
        </w:rPr>
        <w:t xml:space="preserve">World Bank </w:t>
      </w:r>
      <w:r>
        <w:rPr>
          <w:rFonts w:ascii="Arial" w:hAnsi="Arial" w:cs="Arial"/>
          <w:lang w:val="mn-MN"/>
        </w:rPr>
        <w:t>-</w:t>
      </w:r>
      <w:r w:rsidRPr="001C2B99">
        <w:rPr>
          <w:rFonts w:ascii="Arial" w:hAnsi="Arial" w:cs="Arial"/>
        </w:rPr>
        <w:t xml:space="preserve"> Subnational Debt and Creditworthiness; Local Currency Bond Markets</w:t>
      </w:r>
    </w:p>
    <w:p w14:paraId="56E3D32A" w14:textId="77777777" w:rsidR="00860F15" w:rsidRPr="001C2B99" w:rsidRDefault="00860F15" w:rsidP="00860F15">
      <w:pPr>
        <w:pStyle w:val="ListParagraph"/>
        <w:numPr>
          <w:ilvl w:val="0"/>
          <w:numId w:val="1"/>
        </w:numPr>
        <w:jc w:val="both"/>
        <w:rPr>
          <w:rFonts w:ascii="Arial" w:hAnsi="Arial" w:cs="Arial"/>
        </w:rPr>
      </w:pPr>
      <w:r w:rsidRPr="001C2B99">
        <w:rPr>
          <w:rFonts w:ascii="Arial" w:hAnsi="Arial" w:cs="Arial"/>
        </w:rPr>
        <w:t xml:space="preserve">ADB </w:t>
      </w:r>
      <w:r>
        <w:rPr>
          <w:rFonts w:ascii="Arial" w:hAnsi="Arial" w:cs="Arial"/>
          <w:lang w:val="mn-MN"/>
        </w:rPr>
        <w:t>-</w:t>
      </w:r>
      <w:r w:rsidRPr="001C2B99">
        <w:rPr>
          <w:rFonts w:ascii="Arial" w:hAnsi="Arial" w:cs="Arial"/>
        </w:rPr>
        <w:t xml:space="preserve"> Infrastructure Financing Gap in Asia; Multiplier effect estimates</w:t>
      </w:r>
    </w:p>
    <w:p w14:paraId="7D28D78F" w14:textId="77777777" w:rsidR="00860F15" w:rsidRPr="001C2B99" w:rsidRDefault="00860F15" w:rsidP="00860F15">
      <w:pPr>
        <w:pStyle w:val="ListParagraph"/>
        <w:numPr>
          <w:ilvl w:val="0"/>
          <w:numId w:val="1"/>
        </w:numPr>
        <w:jc w:val="both"/>
        <w:rPr>
          <w:rFonts w:ascii="Arial" w:hAnsi="Arial" w:cs="Arial"/>
        </w:rPr>
      </w:pPr>
      <w:r w:rsidRPr="001C2B99">
        <w:rPr>
          <w:rFonts w:ascii="Arial" w:hAnsi="Arial" w:cs="Arial"/>
        </w:rPr>
        <w:t xml:space="preserve">Монголбанк </w:t>
      </w:r>
      <w:r>
        <w:rPr>
          <w:rFonts w:ascii="Arial" w:hAnsi="Arial" w:cs="Arial"/>
          <w:lang w:val="mn-MN"/>
        </w:rPr>
        <w:t xml:space="preserve">- </w:t>
      </w:r>
      <w:r w:rsidRPr="001C2B99">
        <w:rPr>
          <w:rFonts w:ascii="Arial" w:hAnsi="Arial" w:cs="Arial"/>
        </w:rPr>
        <w:t>Мөнгөний бодлогын тайлан (2024</w:t>
      </w:r>
      <w:r>
        <w:rPr>
          <w:rFonts w:ascii="Arial" w:hAnsi="Arial" w:cs="Arial"/>
          <w:lang w:val="mn-MN"/>
        </w:rPr>
        <w:t>-</w:t>
      </w:r>
      <w:r w:rsidRPr="001C2B99">
        <w:rPr>
          <w:rFonts w:ascii="Arial" w:hAnsi="Arial" w:cs="Arial"/>
        </w:rPr>
        <w:t>2025)</w:t>
      </w:r>
    </w:p>
    <w:p w14:paraId="22E278F8" w14:textId="77777777" w:rsidR="00860F15" w:rsidRPr="001C2B99" w:rsidRDefault="00860F15" w:rsidP="00860F15">
      <w:pPr>
        <w:pStyle w:val="ListParagraph"/>
        <w:numPr>
          <w:ilvl w:val="0"/>
          <w:numId w:val="1"/>
        </w:numPr>
        <w:jc w:val="both"/>
        <w:rPr>
          <w:rFonts w:ascii="Arial" w:hAnsi="Arial" w:cs="Arial"/>
        </w:rPr>
      </w:pPr>
      <w:r w:rsidRPr="001C2B99">
        <w:rPr>
          <w:rFonts w:ascii="Arial" w:hAnsi="Arial" w:cs="Arial"/>
        </w:rPr>
        <w:t xml:space="preserve">Сангийн яам </w:t>
      </w:r>
      <w:r>
        <w:rPr>
          <w:rFonts w:ascii="Arial" w:hAnsi="Arial" w:cs="Arial"/>
          <w:lang w:val="mn-MN"/>
        </w:rPr>
        <w:t>-</w:t>
      </w:r>
      <w:r w:rsidRPr="001C2B99">
        <w:rPr>
          <w:rFonts w:ascii="Arial" w:hAnsi="Arial" w:cs="Arial"/>
        </w:rPr>
        <w:t xml:space="preserve"> Төсвийн гүйцэтгэл, орон нутгийн төсвийн бүтэц</w:t>
      </w:r>
    </w:p>
    <w:p w14:paraId="65478AD9" w14:textId="77777777" w:rsidR="00860F15" w:rsidRPr="001C2B99" w:rsidRDefault="00860F15" w:rsidP="00860F15">
      <w:pPr>
        <w:ind w:firstLine="567"/>
        <w:jc w:val="both"/>
        <w:rPr>
          <w:rFonts w:ascii="Arial" w:hAnsi="Arial" w:cs="Arial"/>
        </w:rPr>
      </w:pPr>
    </w:p>
    <w:p w14:paraId="04A68EFC" w14:textId="77777777" w:rsidR="00860F15" w:rsidRPr="001C2B99" w:rsidRDefault="00860F15" w:rsidP="00860F15">
      <w:pPr>
        <w:pStyle w:val="Heading2"/>
        <w:spacing w:before="0" w:after="120"/>
        <w:ind w:firstLine="567"/>
        <w:jc w:val="both"/>
        <w:rPr>
          <w:rFonts w:ascii="Arial" w:hAnsi="Arial" w:cs="Arial"/>
          <w:sz w:val="24"/>
          <w:szCs w:val="24"/>
        </w:rPr>
      </w:pPr>
      <w:r w:rsidRPr="001C2B99">
        <w:rPr>
          <w:rStyle w:val="s1"/>
          <w:rFonts w:ascii="Arial" w:hAnsi="Arial" w:cs="Arial"/>
          <w:sz w:val="24"/>
          <w:szCs w:val="24"/>
        </w:rPr>
        <w:t>Гурав. Эдийн засгийн өгөөжийн үнэлгээ</w:t>
      </w:r>
    </w:p>
    <w:p w14:paraId="04C81F75" w14:textId="77777777" w:rsidR="00860F15" w:rsidRPr="001C2B99" w:rsidRDefault="00860F15" w:rsidP="00860F15">
      <w:pPr>
        <w:pStyle w:val="p2"/>
        <w:spacing w:before="0" w:beforeAutospacing="0" w:after="120" w:afterAutospacing="0"/>
        <w:ind w:firstLine="567"/>
        <w:jc w:val="both"/>
        <w:rPr>
          <w:rFonts w:ascii="Arial" w:hAnsi="Arial" w:cs="Arial"/>
        </w:rPr>
      </w:pPr>
      <w:r w:rsidRPr="001C2B99">
        <w:rPr>
          <w:rFonts w:ascii="Arial" w:hAnsi="Arial" w:cs="Arial"/>
        </w:rPr>
        <w:t>Энэхүү хуулийн төсөл хэрэгжсэнээр орон нутгийн санхүүжилтийн эх үүсвэр төрөлжиж, хөрөнгө оруулалтын үр ашиг, эдийн засгийн өгөөж нэмэгдэх нөхцөл бүрдэнэ.</w:t>
      </w:r>
    </w:p>
    <w:p w14:paraId="0C6B910A" w14:textId="77777777" w:rsidR="00860F15" w:rsidRPr="00A71EB6" w:rsidRDefault="00860F15" w:rsidP="00860F15">
      <w:pPr>
        <w:pStyle w:val="Heading3"/>
        <w:spacing w:before="0" w:after="120"/>
        <w:ind w:firstLine="567"/>
        <w:jc w:val="both"/>
        <w:rPr>
          <w:rFonts w:ascii="Arial" w:hAnsi="Arial" w:cs="Arial"/>
          <w:b/>
          <w:bCs/>
          <w:color w:val="000000" w:themeColor="text1"/>
        </w:rPr>
      </w:pPr>
      <w:r w:rsidRPr="00A71EB6">
        <w:rPr>
          <w:rStyle w:val="s1"/>
          <w:rFonts w:ascii="Arial" w:hAnsi="Arial" w:cs="Arial"/>
          <w:b/>
          <w:bCs/>
          <w:color w:val="000000" w:themeColor="text1"/>
        </w:rPr>
        <w:t>3.1. Шууд үр нөлөө</w:t>
      </w:r>
    </w:p>
    <w:p w14:paraId="15A7F5B1" w14:textId="77777777" w:rsidR="00860F15" w:rsidRPr="00A71EB6" w:rsidRDefault="00860F15" w:rsidP="00860F15">
      <w:pPr>
        <w:pStyle w:val="p2"/>
        <w:spacing w:before="0" w:beforeAutospacing="0" w:after="0" w:afterAutospacing="0"/>
        <w:ind w:firstLine="567"/>
        <w:jc w:val="both"/>
        <w:rPr>
          <w:rFonts w:ascii="Arial" w:hAnsi="Arial" w:cs="Arial"/>
          <w:color w:val="000000" w:themeColor="text1"/>
        </w:rPr>
      </w:pPr>
      <w:r w:rsidRPr="00A71EB6">
        <w:rPr>
          <w:rFonts w:ascii="Arial" w:hAnsi="Arial" w:cs="Arial"/>
          <w:color w:val="000000" w:themeColor="text1"/>
        </w:rPr>
        <w:t>Олон улсын байгууллагуудын (</w:t>
      </w:r>
      <w:r w:rsidRPr="00A71EB6">
        <w:rPr>
          <w:rFonts w:ascii="Arial" w:hAnsi="Arial" w:cs="Arial"/>
          <w:color w:val="000000" w:themeColor="text1"/>
          <w:lang w:val="mn-MN"/>
        </w:rPr>
        <w:t>ОУВС, Дэлхийн банк</w:t>
      </w:r>
      <w:r w:rsidRPr="00A71EB6">
        <w:rPr>
          <w:rFonts w:ascii="Arial" w:hAnsi="Arial" w:cs="Arial"/>
          <w:color w:val="000000" w:themeColor="text1"/>
        </w:rPr>
        <w:t>) судалгаагаар дотоодын бондын зах зээлийг хөгжүүлэх нь санхүүжилтийн өртгийг бууруулах, урт хугацааны хөрөнгө оруулалтыг нэмэгдүүлэхэд чухал нөлөө үзүүлдэг. Тухайлбал, зах зээлийн өрсөлдөөн нэмэгдэж, татварын хөнгөлөлт зэрэг бодлогын дэмжлэг үзүүлсэн нөхцөлд санхүүжилтийн өртөг 1</w:t>
      </w:r>
      <w:r w:rsidRPr="00A71EB6">
        <w:rPr>
          <w:rFonts w:ascii="Arial" w:hAnsi="Arial" w:cs="Arial"/>
          <w:color w:val="000000" w:themeColor="text1"/>
          <w:lang w:val="mn-MN"/>
        </w:rPr>
        <w:t>-</w:t>
      </w:r>
      <w:r w:rsidRPr="00A71EB6">
        <w:rPr>
          <w:rFonts w:ascii="Arial" w:hAnsi="Arial" w:cs="Arial"/>
          <w:color w:val="000000" w:themeColor="text1"/>
        </w:rPr>
        <w:t>2 нэгж хувиар буурах боломжтой гэж үздэг.</w:t>
      </w:r>
    </w:p>
    <w:p w14:paraId="67893E99" w14:textId="77777777" w:rsidR="00860F15" w:rsidRPr="00A71EB6" w:rsidRDefault="00860F15" w:rsidP="00860F15">
      <w:pPr>
        <w:pStyle w:val="p3"/>
        <w:spacing w:before="0" w:beforeAutospacing="0" w:after="0" w:afterAutospacing="0"/>
        <w:ind w:firstLine="567"/>
        <w:jc w:val="both"/>
        <w:rPr>
          <w:rFonts w:ascii="Arial" w:hAnsi="Arial" w:cs="Arial"/>
          <w:color w:val="000000" w:themeColor="text1"/>
        </w:rPr>
      </w:pPr>
      <w:r w:rsidRPr="00A71EB6">
        <w:rPr>
          <w:rFonts w:ascii="Arial" w:hAnsi="Arial" w:cs="Arial"/>
          <w:color w:val="000000" w:themeColor="text1"/>
        </w:rPr>
        <w:t>Иймд энэхүү хуулийн төсөл хэрэгжсэнээр</w:t>
      </w:r>
      <w:r w:rsidRPr="00A71EB6">
        <w:rPr>
          <w:rFonts w:ascii="Arial" w:hAnsi="Arial" w:cs="Arial"/>
          <w:color w:val="000000" w:themeColor="text1"/>
          <w:lang w:val="mn-MN"/>
        </w:rPr>
        <w:t xml:space="preserve"> </w:t>
      </w:r>
      <w:r w:rsidRPr="00A71EB6">
        <w:rPr>
          <w:rFonts w:ascii="Arial" w:hAnsi="Arial" w:cs="Arial"/>
          <w:color w:val="000000" w:themeColor="text1"/>
        </w:rPr>
        <w:t>орон нутгийн төслүүдийн</w:t>
      </w:r>
      <w:r>
        <w:rPr>
          <w:rFonts w:ascii="Arial" w:hAnsi="Arial" w:cs="Arial"/>
          <w:color w:val="000000" w:themeColor="text1"/>
          <w:lang w:val="mn-MN"/>
        </w:rPr>
        <w:t xml:space="preserve"> </w:t>
      </w:r>
      <w:r w:rsidRPr="00A71EB6">
        <w:rPr>
          <w:rFonts w:ascii="Arial" w:hAnsi="Arial" w:cs="Arial"/>
          <w:color w:val="000000" w:themeColor="text1"/>
        </w:rPr>
        <w:t>санхүүжилтийн өртөг ойролцоогоор 1.0</w:t>
      </w:r>
      <w:r w:rsidRPr="00A71EB6">
        <w:rPr>
          <w:rFonts w:ascii="Arial" w:hAnsi="Arial" w:cs="Arial"/>
          <w:color w:val="000000" w:themeColor="text1"/>
          <w:lang w:val="mn-MN"/>
        </w:rPr>
        <w:t>-</w:t>
      </w:r>
      <w:r w:rsidRPr="00A71EB6">
        <w:rPr>
          <w:rFonts w:ascii="Arial" w:hAnsi="Arial" w:cs="Arial"/>
          <w:color w:val="000000" w:themeColor="text1"/>
        </w:rPr>
        <w:t>2.0 нэгж хувиар буурах,</w:t>
      </w:r>
      <w:r w:rsidRPr="00A71EB6">
        <w:rPr>
          <w:rFonts w:ascii="Arial" w:hAnsi="Arial" w:cs="Arial"/>
          <w:color w:val="000000" w:themeColor="text1"/>
          <w:lang w:val="mn-MN"/>
        </w:rPr>
        <w:t xml:space="preserve"> </w:t>
      </w:r>
      <w:r w:rsidRPr="00A71EB6">
        <w:rPr>
          <w:rFonts w:ascii="Arial" w:hAnsi="Arial" w:cs="Arial"/>
          <w:color w:val="000000" w:themeColor="text1"/>
        </w:rPr>
        <w:t>дэд бүтэц, үйлдвэрлэлийн төслүүдийн хэрэгжилтийн хугацаа богиносох,</w:t>
      </w:r>
      <w:r w:rsidRPr="00A71EB6">
        <w:rPr>
          <w:rFonts w:ascii="Arial" w:hAnsi="Arial" w:cs="Arial"/>
          <w:color w:val="000000" w:themeColor="text1"/>
          <w:lang w:val="mn-MN"/>
        </w:rPr>
        <w:t xml:space="preserve"> </w:t>
      </w:r>
      <w:r w:rsidRPr="00A71EB6">
        <w:rPr>
          <w:rFonts w:ascii="Arial" w:hAnsi="Arial" w:cs="Arial"/>
          <w:color w:val="000000" w:themeColor="text1"/>
        </w:rPr>
        <w:t>орон нутгийн бондын зах зээл идэвхжих,</w:t>
      </w:r>
      <w:r w:rsidRPr="00A71EB6">
        <w:rPr>
          <w:rFonts w:ascii="Arial" w:hAnsi="Arial" w:cs="Arial"/>
          <w:color w:val="000000" w:themeColor="text1"/>
          <w:lang w:val="mn-MN"/>
        </w:rPr>
        <w:t xml:space="preserve"> </w:t>
      </w:r>
      <w:r w:rsidRPr="00A71EB6">
        <w:rPr>
          <w:rFonts w:ascii="Arial" w:hAnsi="Arial" w:cs="Arial"/>
          <w:color w:val="000000" w:themeColor="text1"/>
        </w:rPr>
        <w:t>хөрөнгө оруулалтын өгөөж сайжрах</w:t>
      </w:r>
      <w:r w:rsidRPr="00A71EB6">
        <w:rPr>
          <w:rFonts w:ascii="Arial" w:hAnsi="Arial" w:cs="Arial"/>
          <w:color w:val="000000" w:themeColor="text1"/>
          <w:lang w:val="mn-MN"/>
        </w:rPr>
        <w:t xml:space="preserve"> </w:t>
      </w:r>
      <w:r w:rsidRPr="00A71EB6">
        <w:rPr>
          <w:rFonts w:ascii="Arial" w:hAnsi="Arial" w:cs="Arial"/>
          <w:color w:val="000000" w:themeColor="text1"/>
        </w:rPr>
        <w:t>шууд үр нөлөө үзүүлэх боломжтой.</w:t>
      </w:r>
    </w:p>
    <w:p w14:paraId="17334F5F" w14:textId="77777777" w:rsidR="00860F15" w:rsidRPr="00A71EB6" w:rsidRDefault="00860F15" w:rsidP="00860F15">
      <w:pPr>
        <w:pStyle w:val="Heading3"/>
        <w:spacing w:before="120" w:after="120"/>
        <w:ind w:firstLine="567"/>
        <w:jc w:val="both"/>
        <w:rPr>
          <w:rFonts w:ascii="Arial" w:hAnsi="Arial" w:cs="Arial"/>
          <w:b/>
          <w:bCs/>
          <w:color w:val="000000" w:themeColor="text1"/>
        </w:rPr>
      </w:pPr>
      <w:r w:rsidRPr="00A71EB6">
        <w:rPr>
          <w:rStyle w:val="s1"/>
          <w:rFonts w:ascii="Arial" w:hAnsi="Arial" w:cs="Arial"/>
          <w:b/>
          <w:bCs/>
          <w:color w:val="000000" w:themeColor="text1"/>
        </w:rPr>
        <w:t>3.2. Дам нөлөө (эдийн засгийн үржүүлэгч нөлөө)</w:t>
      </w:r>
    </w:p>
    <w:p w14:paraId="2678B68C" w14:textId="77777777" w:rsidR="00860F15" w:rsidRPr="0033241B" w:rsidRDefault="00860F15" w:rsidP="00860F15">
      <w:pPr>
        <w:pStyle w:val="p1"/>
        <w:spacing w:before="0" w:beforeAutospacing="0" w:after="0" w:afterAutospacing="0"/>
        <w:ind w:firstLine="567"/>
        <w:jc w:val="both"/>
        <w:rPr>
          <w:rFonts w:ascii="Arial" w:hAnsi="Arial" w:cs="Arial"/>
          <w:color w:val="000000" w:themeColor="text1"/>
          <w:lang w:val="mn-MN"/>
        </w:rPr>
      </w:pPr>
      <w:r w:rsidRPr="00A71EB6">
        <w:rPr>
          <w:rFonts w:ascii="Arial" w:hAnsi="Arial" w:cs="Arial"/>
          <w:color w:val="000000" w:themeColor="text1"/>
        </w:rPr>
        <w:t>Азийн хөгжлийн банк болон Дэлхийн банкны</w:t>
      </w:r>
      <w:r w:rsidRPr="00A71EB6">
        <w:rPr>
          <w:rFonts w:ascii="Arial" w:hAnsi="Arial" w:cs="Arial"/>
          <w:color w:val="000000" w:themeColor="text1"/>
          <w:lang w:val="mn-MN"/>
        </w:rPr>
        <w:t xml:space="preserve"> </w:t>
      </w:r>
      <w:r w:rsidRPr="00A71EB6">
        <w:rPr>
          <w:rFonts w:ascii="Arial" w:hAnsi="Arial" w:cs="Arial"/>
          <w:color w:val="000000" w:themeColor="text1"/>
        </w:rPr>
        <w:t>судалгаагаар дэд бүтцийн хөрөнгө оруулалтын эдийн засгийн үржүүлэгч (multiplier) нь дунджаар 1.3</w:t>
      </w:r>
      <w:r>
        <w:rPr>
          <w:rFonts w:ascii="Arial" w:hAnsi="Arial" w:cs="Arial"/>
          <w:color w:val="000000" w:themeColor="text1"/>
          <w:lang w:val="mn-MN"/>
        </w:rPr>
        <w:t>-</w:t>
      </w:r>
      <w:r w:rsidRPr="00A71EB6">
        <w:rPr>
          <w:rFonts w:ascii="Arial" w:hAnsi="Arial" w:cs="Arial"/>
          <w:color w:val="000000" w:themeColor="text1"/>
        </w:rPr>
        <w:t>1.8 дахин байдаг гэж үздэг.</w:t>
      </w:r>
      <w:r>
        <w:rPr>
          <w:rFonts w:ascii="Arial" w:hAnsi="Arial" w:cs="Arial"/>
          <w:color w:val="000000" w:themeColor="text1"/>
          <w:lang w:val="mn-MN"/>
        </w:rPr>
        <w:t xml:space="preserve"> </w:t>
      </w:r>
      <w:r w:rsidRPr="0033241B">
        <w:rPr>
          <w:rFonts w:ascii="Arial" w:hAnsi="Arial" w:cs="Arial"/>
          <w:lang w:val="mn-MN"/>
        </w:rPr>
        <w:t>Энэхүү суурь аргачлалд тулгуурлан, эхний үе шатанд 200</w:t>
      </w:r>
      <w:r>
        <w:rPr>
          <w:rFonts w:ascii="Arial" w:hAnsi="Arial" w:cs="Arial"/>
          <w:lang w:val="mn-MN"/>
        </w:rPr>
        <w:t>-</w:t>
      </w:r>
      <w:r w:rsidRPr="0033241B">
        <w:rPr>
          <w:rFonts w:ascii="Arial" w:hAnsi="Arial" w:cs="Arial"/>
          <w:lang w:val="mn-MN"/>
        </w:rPr>
        <w:t>400 тэрбум төгрөгийн орон нутгийн бонд гарч, уг хөрөнгө оруулалт эдийн засагт дараах нөлөөг үзүүлэх боломжтой:</w:t>
      </w:r>
    </w:p>
    <w:p w14:paraId="7FFFD3D3" w14:textId="77777777" w:rsidR="00860F15" w:rsidRPr="0033241B" w:rsidRDefault="00860F15" w:rsidP="00860F15">
      <w:pPr>
        <w:pStyle w:val="ListParagraph"/>
        <w:numPr>
          <w:ilvl w:val="0"/>
          <w:numId w:val="1"/>
        </w:numPr>
        <w:jc w:val="both"/>
        <w:rPr>
          <w:rFonts w:ascii="Arial" w:hAnsi="Arial" w:cs="Arial"/>
          <w:lang w:val="mn-MN"/>
        </w:rPr>
      </w:pPr>
      <w:r w:rsidRPr="0033241B">
        <w:rPr>
          <w:rFonts w:ascii="Arial" w:hAnsi="Arial" w:cs="Arial"/>
          <w:lang w:val="mn-MN"/>
        </w:rPr>
        <w:t>ДНБ-д үзүүлэх нэмэгдэл: ойролцоогоор 260</w:t>
      </w:r>
      <w:r>
        <w:rPr>
          <w:rFonts w:ascii="Arial" w:hAnsi="Arial" w:cs="Arial"/>
          <w:lang w:val="mn-MN"/>
        </w:rPr>
        <w:t>-</w:t>
      </w:r>
      <w:r w:rsidRPr="0033241B">
        <w:rPr>
          <w:rFonts w:ascii="Arial" w:hAnsi="Arial" w:cs="Arial"/>
          <w:lang w:val="mn-MN"/>
        </w:rPr>
        <w:t>700 тэрбум төгрөг,</w:t>
      </w:r>
    </w:p>
    <w:p w14:paraId="146E43FC" w14:textId="77777777" w:rsidR="00860F15" w:rsidRPr="0033241B" w:rsidRDefault="00860F15" w:rsidP="00860F15">
      <w:pPr>
        <w:pStyle w:val="ListParagraph"/>
        <w:numPr>
          <w:ilvl w:val="0"/>
          <w:numId w:val="1"/>
        </w:numPr>
        <w:jc w:val="both"/>
        <w:rPr>
          <w:rFonts w:ascii="Arial" w:hAnsi="Arial" w:cs="Arial"/>
          <w:lang w:val="ru-RU"/>
        </w:rPr>
      </w:pPr>
      <w:r w:rsidRPr="0033241B">
        <w:rPr>
          <w:rFonts w:ascii="Arial" w:hAnsi="Arial" w:cs="Arial"/>
          <w:lang w:val="ru-RU"/>
        </w:rPr>
        <w:t>Шууд болон шууд бус ажлын байр: 2000</w:t>
      </w:r>
      <w:r>
        <w:rPr>
          <w:rFonts w:ascii="Arial" w:hAnsi="Arial" w:cs="Arial"/>
          <w:lang w:val="mn-MN"/>
        </w:rPr>
        <w:t>-</w:t>
      </w:r>
      <w:r w:rsidRPr="0033241B">
        <w:rPr>
          <w:rFonts w:ascii="Arial" w:hAnsi="Arial" w:cs="Arial"/>
          <w:lang w:val="ru-RU"/>
        </w:rPr>
        <w:t>4000,</w:t>
      </w:r>
    </w:p>
    <w:p w14:paraId="6532D776" w14:textId="77777777" w:rsidR="00860F15" w:rsidRPr="0033241B" w:rsidRDefault="00860F15" w:rsidP="00860F15">
      <w:pPr>
        <w:pStyle w:val="ListParagraph"/>
        <w:numPr>
          <w:ilvl w:val="0"/>
          <w:numId w:val="1"/>
        </w:numPr>
        <w:jc w:val="both"/>
        <w:rPr>
          <w:rFonts w:ascii="Arial" w:hAnsi="Arial" w:cs="Arial"/>
          <w:lang w:val="ru-RU"/>
        </w:rPr>
      </w:pPr>
      <w:r w:rsidRPr="0033241B">
        <w:rPr>
          <w:rFonts w:ascii="Arial" w:hAnsi="Arial" w:cs="Arial"/>
          <w:lang w:val="ru-RU"/>
        </w:rPr>
        <w:t>Дагалдах татварын орлого(НӨАТ, ХХОАТ, ААНОАТ) нэмэгдэх хандлагатай.</w:t>
      </w:r>
    </w:p>
    <w:p w14:paraId="6A80BD8E" w14:textId="77777777" w:rsidR="00860F15" w:rsidRPr="0033241B" w:rsidRDefault="00860F15" w:rsidP="00860F15">
      <w:pPr>
        <w:pStyle w:val="p2"/>
        <w:spacing w:before="0" w:beforeAutospacing="0" w:after="0" w:afterAutospacing="0"/>
        <w:ind w:firstLine="567"/>
        <w:jc w:val="both"/>
        <w:rPr>
          <w:rFonts w:ascii="Arial" w:hAnsi="Arial" w:cs="Arial"/>
          <w:lang w:val="mn-MN"/>
        </w:rPr>
      </w:pPr>
      <w:r>
        <w:rPr>
          <w:rFonts w:ascii="Arial" w:hAnsi="Arial" w:cs="Arial"/>
          <w:lang w:val="mn-MN"/>
        </w:rPr>
        <w:t>ОУВС</w:t>
      </w:r>
      <w:r w:rsidRPr="0033241B">
        <w:rPr>
          <w:rFonts w:ascii="Arial" w:hAnsi="Arial" w:cs="Arial"/>
          <w:lang w:val="ru-RU"/>
        </w:rPr>
        <w:t>-ийн үнэлгээгээр эдийн засгийн идэвхжил нэмэгдэхийн хэрээр татварын суурь өргөжиж, төсвийн орлого дунд хугацаанд тогтвортой өсөх боломжтой байдаг.</w:t>
      </w:r>
      <w:r>
        <w:rPr>
          <w:rFonts w:ascii="Arial" w:hAnsi="Arial" w:cs="Arial"/>
          <w:lang w:val="mn-MN"/>
        </w:rPr>
        <w:t xml:space="preserve"> </w:t>
      </w:r>
      <w:r w:rsidRPr="0033241B">
        <w:rPr>
          <w:rFonts w:ascii="Arial" w:hAnsi="Arial" w:cs="Arial"/>
          <w:lang w:val="mn-MN"/>
        </w:rPr>
        <w:t>Иймд орон нутгийн бондын санхүүжилт нь шууд татварын алдагдлыг нөхөхөөс гадна эдийн засгийн өргөн хүрээний өсөлтийг дэмжих дам нөлөө үзүүлэх боломжтой.</w:t>
      </w:r>
    </w:p>
    <w:p w14:paraId="67F4DBCE" w14:textId="77777777" w:rsidR="00860F15" w:rsidRPr="0033241B" w:rsidRDefault="00860F15" w:rsidP="00860F15">
      <w:pPr>
        <w:ind w:firstLine="567"/>
        <w:jc w:val="both"/>
        <w:rPr>
          <w:rFonts w:ascii="Arial" w:hAnsi="Arial" w:cs="Arial"/>
          <w:lang w:val="mn-MN"/>
        </w:rPr>
      </w:pPr>
    </w:p>
    <w:p w14:paraId="37A16B44" w14:textId="77777777" w:rsidR="00860F15" w:rsidRPr="0033241B" w:rsidRDefault="00860F15" w:rsidP="00860F15">
      <w:pPr>
        <w:pStyle w:val="Heading2"/>
        <w:spacing w:before="0" w:after="0"/>
        <w:ind w:firstLine="567"/>
        <w:jc w:val="both"/>
        <w:rPr>
          <w:rFonts w:ascii="Arial" w:hAnsi="Arial" w:cs="Arial"/>
          <w:sz w:val="24"/>
          <w:szCs w:val="24"/>
          <w:lang w:val="mn-MN"/>
        </w:rPr>
      </w:pPr>
      <w:r w:rsidRPr="0033241B">
        <w:rPr>
          <w:rStyle w:val="s1"/>
          <w:rFonts w:ascii="Arial" w:hAnsi="Arial" w:cs="Arial"/>
          <w:sz w:val="24"/>
          <w:szCs w:val="24"/>
          <w:lang w:val="mn-MN"/>
        </w:rPr>
        <w:lastRenderedPageBreak/>
        <w:t>Дөрөв. Нийгмийн үр нөлөө</w:t>
      </w:r>
    </w:p>
    <w:p w14:paraId="469CEC17" w14:textId="77777777" w:rsidR="00860F15" w:rsidRPr="0033241B" w:rsidRDefault="00860F15" w:rsidP="00860F15">
      <w:pPr>
        <w:pStyle w:val="p3"/>
        <w:spacing w:before="0" w:beforeAutospacing="0" w:after="0" w:afterAutospacing="0"/>
        <w:ind w:firstLine="567"/>
        <w:jc w:val="both"/>
        <w:rPr>
          <w:rFonts w:ascii="Arial" w:hAnsi="Arial" w:cs="Arial"/>
          <w:lang w:val="mn-MN"/>
        </w:rPr>
      </w:pPr>
      <w:r w:rsidRPr="0033241B">
        <w:rPr>
          <w:rFonts w:ascii="Arial" w:hAnsi="Arial" w:cs="Arial"/>
          <w:lang w:val="mn-MN"/>
        </w:rPr>
        <w:t>Энэхүү хуулийн төсөл хэрэгжсэнээр бүсчилсэн хөгжлийн бодлогын хэрэгжилт эрчимжиж, нийгмийн дараах эерэг үр нөлөө бий болно</w:t>
      </w:r>
      <w:r>
        <w:rPr>
          <w:rFonts w:ascii="Arial" w:hAnsi="Arial" w:cs="Arial"/>
          <w:lang w:val="mn-MN"/>
        </w:rPr>
        <w:t>. О</w:t>
      </w:r>
      <w:r w:rsidRPr="0033241B">
        <w:rPr>
          <w:rFonts w:ascii="Arial" w:hAnsi="Arial" w:cs="Arial"/>
          <w:lang w:val="mn-MN"/>
        </w:rPr>
        <w:t>рон нутгийн хөгжлийн тэнцвэр сайжрах,</w:t>
      </w:r>
      <w:r>
        <w:rPr>
          <w:rFonts w:ascii="Arial" w:hAnsi="Arial" w:cs="Arial"/>
          <w:lang w:val="mn-MN"/>
        </w:rPr>
        <w:t xml:space="preserve"> д</w:t>
      </w:r>
      <w:r w:rsidRPr="0033241B">
        <w:rPr>
          <w:rFonts w:ascii="Arial" w:hAnsi="Arial" w:cs="Arial"/>
          <w:lang w:val="mn-MN"/>
        </w:rPr>
        <w:t>отоод шилжилт хөдөлгөөн буурах нөхцөл бүрдэх,</w:t>
      </w:r>
      <w:r>
        <w:rPr>
          <w:rFonts w:ascii="Arial" w:hAnsi="Arial" w:cs="Arial"/>
          <w:lang w:val="mn-MN"/>
        </w:rPr>
        <w:t xml:space="preserve"> б</w:t>
      </w:r>
      <w:r w:rsidRPr="0033241B">
        <w:rPr>
          <w:rFonts w:ascii="Arial" w:hAnsi="Arial" w:cs="Arial"/>
          <w:lang w:val="mn-MN"/>
        </w:rPr>
        <w:t>үс нутгийн орлогын ялгаа багасах,</w:t>
      </w:r>
      <w:r>
        <w:rPr>
          <w:rFonts w:ascii="Arial" w:hAnsi="Arial" w:cs="Arial"/>
          <w:lang w:val="mn-MN"/>
        </w:rPr>
        <w:t xml:space="preserve"> о</w:t>
      </w:r>
      <w:r w:rsidRPr="0033241B">
        <w:rPr>
          <w:rFonts w:ascii="Arial" w:hAnsi="Arial" w:cs="Arial"/>
          <w:lang w:val="mn-MN"/>
        </w:rPr>
        <w:t>рон нутагт тогтвортой ажлын байр нэмэгдэх,</w:t>
      </w:r>
      <w:r>
        <w:rPr>
          <w:rFonts w:ascii="Arial" w:hAnsi="Arial" w:cs="Arial"/>
          <w:lang w:val="mn-MN"/>
        </w:rPr>
        <w:t xml:space="preserve"> н</w:t>
      </w:r>
      <w:r w:rsidRPr="0033241B">
        <w:rPr>
          <w:rFonts w:ascii="Arial" w:hAnsi="Arial" w:cs="Arial"/>
          <w:lang w:val="mn-MN"/>
        </w:rPr>
        <w:t>ийгмийн үйлчилгээний хүртээмж сайжрах</w:t>
      </w:r>
      <w:r>
        <w:rPr>
          <w:rFonts w:ascii="Arial" w:hAnsi="Arial" w:cs="Arial"/>
          <w:lang w:val="mn-MN"/>
        </w:rPr>
        <w:t xml:space="preserve"> юм</w:t>
      </w:r>
      <w:r w:rsidRPr="0033241B">
        <w:rPr>
          <w:rFonts w:ascii="Arial" w:hAnsi="Arial" w:cs="Arial"/>
          <w:lang w:val="mn-MN"/>
        </w:rPr>
        <w:t>.</w:t>
      </w:r>
    </w:p>
    <w:p w14:paraId="0D1A06C6" w14:textId="77777777" w:rsidR="00860F15" w:rsidRPr="0033241B" w:rsidRDefault="00860F15" w:rsidP="00860F15">
      <w:pPr>
        <w:pStyle w:val="p4"/>
        <w:spacing w:before="0" w:beforeAutospacing="0" w:after="0" w:afterAutospacing="0"/>
        <w:ind w:firstLine="567"/>
        <w:jc w:val="both"/>
        <w:rPr>
          <w:rFonts w:ascii="Arial" w:hAnsi="Arial" w:cs="Arial"/>
          <w:lang w:val="mn-MN"/>
        </w:rPr>
      </w:pPr>
      <w:r>
        <w:rPr>
          <w:rFonts w:ascii="Arial" w:hAnsi="Arial" w:cs="Arial"/>
          <w:lang w:val="mn-MN"/>
        </w:rPr>
        <w:t>Дэлхийн банкны</w:t>
      </w:r>
      <w:r w:rsidRPr="0033241B">
        <w:rPr>
          <w:rFonts w:ascii="Arial" w:hAnsi="Arial" w:cs="Arial"/>
          <w:lang w:val="mn-MN"/>
        </w:rPr>
        <w:t xml:space="preserve"> судалгаагаар орон нутгийн дэд бүтцийн хөрөнгө оруулалт нэмэгдэх нь ядуурлыг бууруулах, бүс нутгийн хөгжлийн ялгааг багасгахад чухал нөлөө үзүүлдэг гэж дүгнэсэн байдаг.</w:t>
      </w:r>
    </w:p>
    <w:p w14:paraId="3A829A4B" w14:textId="77777777" w:rsidR="00860F15" w:rsidRPr="0033241B" w:rsidRDefault="00860F15" w:rsidP="00860F15">
      <w:pPr>
        <w:pStyle w:val="Heading2"/>
        <w:spacing w:before="120" w:after="120"/>
        <w:ind w:firstLine="567"/>
        <w:jc w:val="both"/>
        <w:rPr>
          <w:rFonts w:ascii="Arial" w:hAnsi="Arial" w:cs="Arial"/>
          <w:sz w:val="24"/>
          <w:szCs w:val="24"/>
          <w:lang w:val="mn-MN"/>
        </w:rPr>
      </w:pPr>
      <w:r w:rsidRPr="0033241B">
        <w:rPr>
          <w:rStyle w:val="s1"/>
          <w:rFonts w:ascii="Arial" w:hAnsi="Arial" w:cs="Arial"/>
          <w:sz w:val="24"/>
          <w:szCs w:val="24"/>
          <w:lang w:val="mn-MN"/>
        </w:rPr>
        <w:t>Тав. Санхүүгийн зах зээлд үзүүлэх нөлөө</w:t>
      </w:r>
    </w:p>
    <w:p w14:paraId="3F660A36" w14:textId="77777777" w:rsidR="00860F15" w:rsidRPr="0033241B" w:rsidRDefault="00860F15" w:rsidP="00860F15">
      <w:pPr>
        <w:pStyle w:val="p3"/>
        <w:spacing w:before="120" w:beforeAutospacing="0" w:after="120" w:afterAutospacing="0"/>
        <w:ind w:firstLine="567"/>
        <w:jc w:val="both"/>
        <w:rPr>
          <w:rFonts w:ascii="Arial" w:hAnsi="Arial" w:cs="Arial"/>
          <w:lang w:val="mn-MN"/>
        </w:rPr>
      </w:pPr>
      <w:r w:rsidRPr="0033241B">
        <w:rPr>
          <w:rFonts w:ascii="Arial" w:hAnsi="Arial" w:cs="Arial"/>
          <w:lang w:val="mn-MN"/>
        </w:rPr>
        <w:t>Хуулийн төсөл батлагдсанаар Монгол Улсын санхүүгийн зах зээлд дараах бүтцийн өөрчлөлтүүд бий болно:</w:t>
      </w:r>
    </w:p>
    <w:p w14:paraId="48A280B9" w14:textId="77777777" w:rsidR="00860F15" w:rsidRPr="0033241B" w:rsidRDefault="00860F15" w:rsidP="00860F15">
      <w:pPr>
        <w:pStyle w:val="ListParagraph"/>
        <w:numPr>
          <w:ilvl w:val="0"/>
          <w:numId w:val="1"/>
        </w:numPr>
        <w:jc w:val="both"/>
        <w:rPr>
          <w:rFonts w:ascii="Arial" w:hAnsi="Arial" w:cs="Arial"/>
          <w:lang w:val="mn-MN"/>
        </w:rPr>
      </w:pPr>
      <w:r w:rsidRPr="0033241B">
        <w:rPr>
          <w:rFonts w:ascii="Arial" w:hAnsi="Arial" w:cs="Arial"/>
          <w:lang w:val="mn-MN"/>
        </w:rPr>
        <w:t>Урт хугацааны санхүүгийн хэрэгслийн төрөлжилт нэмэгдэх,</w:t>
      </w:r>
    </w:p>
    <w:p w14:paraId="1D312182" w14:textId="77777777" w:rsidR="00860F15" w:rsidRPr="0033241B" w:rsidRDefault="00860F15" w:rsidP="00860F15">
      <w:pPr>
        <w:pStyle w:val="ListParagraph"/>
        <w:numPr>
          <w:ilvl w:val="0"/>
          <w:numId w:val="1"/>
        </w:numPr>
        <w:jc w:val="both"/>
        <w:rPr>
          <w:rFonts w:ascii="Arial" w:hAnsi="Arial" w:cs="Arial"/>
          <w:lang w:val="mn-MN"/>
        </w:rPr>
      </w:pPr>
      <w:r w:rsidRPr="0033241B">
        <w:rPr>
          <w:rFonts w:ascii="Arial" w:hAnsi="Arial" w:cs="Arial"/>
          <w:lang w:val="mn-MN"/>
        </w:rPr>
        <w:t>Банкны активын бүтэц сайжирч, эрсдэлийн хуваарилалт нэмэгдэх,</w:t>
      </w:r>
    </w:p>
    <w:p w14:paraId="00DF4C13" w14:textId="77777777" w:rsidR="00860F15" w:rsidRPr="0033241B" w:rsidRDefault="00860F15" w:rsidP="00860F15">
      <w:pPr>
        <w:pStyle w:val="ListParagraph"/>
        <w:numPr>
          <w:ilvl w:val="0"/>
          <w:numId w:val="1"/>
        </w:numPr>
        <w:jc w:val="both"/>
        <w:rPr>
          <w:rFonts w:ascii="Arial" w:hAnsi="Arial" w:cs="Arial"/>
          <w:lang w:val="mn-MN"/>
        </w:rPr>
      </w:pPr>
      <w:r w:rsidRPr="0033241B">
        <w:rPr>
          <w:rFonts w:ascii="Arial" w:hAnsi="Arial" w:cs="Arial"/>
          <w:lang w:val="mn-MN"/>
        </w:rPr>
        <w:t>Даатгал, тэтгэврийн сан зэрэг институцийн хөрөнгө оруулагчдын оролцоо өсөх,</w:t>
      </w:r>
    </w:p>
    <w:p w14:paraId="11763232" w14:textId="77777777" w:rsidR="00860F15" w:rsidRPr="0033241B" w:rsidRDefault="00860F15" w:rsidP="00860F15">
      <w:pPr>
        <w:pStyle w:val="ListParagraph"/>
        <w:numPr>
          <w:ilvl w:val="0"/>
          <w:numId w:val="1"/>
        </w:numPr>
        <w:jc w:val="both"/>
        <w:rPr>
          <w:rFonts w:ascii="Arial" w:hAnsi="Arial" w:cs="Arial"/>
          <w:lang w:val="mn-MN"/>
        </w:rPr>
      </w:pPr>
      <w:r w:rsidRPr="0033241B">
        <w:rPr>
          <w:rFonts w:ascii="Arial" w:hAnsi="Arial" w:cs="Arial"/>
          <w:lang w:val="mn-MN"/>
        </w:rPr>
        <w:t>Хөрөнгийн зах зээлийн гүнзгийрэл нэмэгдэх.</w:t>
      </w:r>
    </w:p>
    <w:p w14:paraId="7E7071F7" w14:textId="77777777" w:rsidR="00860F15" w:rsidRPr="0033241B" w:rsidRDefault="00860F15" w:rsidP="00860F15">
      <w:pPr>
        <w:pStyle w:val="p4"/>
        <w:spacing w:before="120" w:beforeAutospacing="0" w:after="120" w:afterAutospacing="0"/>
        <w:ind w:firstLine="567"/>
        <w:jc w:val="both"/>
        <w:rPr>
          <w:rFonts w:ascii="Arial" w:hAnsi="Arial" w:cs="Arial"/>
          <w:color w:val="000000" w:themeColor="text1"/>
          <w:lang w:val="mn-MN"/>
        </w:rPr>
      </w:pPr>
      <w:r>
        <w:rPr>
          <w:rFonts w:ascii="Arial" w:hAnsi="Arial" w:cs="Arial"/>
          <w:lang w:val="mn-MN"/>
        </w:rPr>
        <w:t xml:space="preserve">ОУВС </w:t>
      </w:r>
      <w:r w:rsidRPr="0033241B">
        <w:rPr>
          <w:rFonts w:ascii="Arial" w:hAnsi="Arial" w:cs="Arial"/>
          <w:lang w:val="mn-MN"/>
        </w:rPr>
        <w:t xml:space="preserve">болон </w:t>
      </w:r>
      <w:r>
        <w:rPr>
          <w:rFonts w:ascii="Arial" w:hAnsi="Arial" w:cs="Arial"/>
          <w:lang w:val="mn-MN"/>
        </w:rPr>
        <w:t>Дэлхийн банкны</w:t>
      </w:r>
      <w:r w:rsidRPr="0033241B">
        <w:rPr>
          <w:rFonts w:ascii="Arial" w:hAnsi="Arial" w:cs="Arial"/>
          <w:lang w:val="mn-MN"/>
        </w:rPr>
        <w:t xml:space="preserve"> судалгаагаар дотоодын бондын зах зээл хөгжсөнөөр санхүүгийн тогтвортой байдал сайжирч, эдийн засгийн шокыг шингээх чадвар </w:t>
      </w:r>
      <w:r w:rsidRPr="0033241B">
        <w:rPr>
          <w:rFonts w:ascii="Arial" w:hAnsi="Arial" w:cs="Arial"/>
          <w:color w:val="000000" w:themeColor="text1"/>
          <w:lang w:val="mn-MN"/>
        </w:rPr>
        <w:t>нэмэгддэг.</w:t>
      </w:r>
    </w:p>
    <w:p w14:paraId="3AD11937" w14:textId="77777777" w:rsidR="00860F15" w:rsidRPr="0033241B" w:rsidRDefault="00860F15" w:rsidP="00860F15">
      <w:pPr>
        <w:pStyle w:val="Heading2"/>
        <w:spacing w:before="120" w:after="120"/>
        <w:ind w:firstLine="567"/>
        <w:jc w:val="both"/>
        <w:rPr>
          <w:rFonts w:ascii="Arial" w:hAnsi="Arial" w:cs="Arial"/>
          <w:color w:val="000000" w:themeColor="text1"/>
          <w:sz w:val="24"/>
          <w:szCs w:val="24"/>
          <w:lang w:val="mn-MN"/>
        </w:rPr>
      </w:pPr>
      <w:r w:rsidRPr="0033241B">
        <w:rPr>
          <w:rStyle w:val="s1"/>
          <w:rFonts w:ascii="Arial" w:hAnsi="Arial" w:cs="Arial"/>
          <w:color w:val="000000" w:themeColor="text1"/>
          <w:sz w:val="24"/>
          <w:szCs w:val="24"/>
          <w:lang w:val="mn-MN"/>
        </w:rPr>
        <w:t>Зургаа. Эрсдэлийн үнэлгээ</w:t>
      </w:r>
    </w:p>
    <w:p w14:paraId="02C1143F" w14:textId="77777777" w:rsidR="00860F15" w:rsidRPr="0033241B" w:rsidRDefault="00860F15" w:rsidP="00860F15">
      <w:pPr>
        <w:pStyle w:val="Heading3"/>
        <w:spacing w:before="120" w:after="120"/>
        <w:ind w:firstLine="567"/>
        <w:jc w:val="both"/>
        <w:rPr>
          <w:rFonts w:ascii="Arial" w:hAnsi="Arial" w:cs="Arial"/>
          <w:b/>
          <w:bCs/>
          <w:color w:val="000000" w:themeColor="text1"/>
          <w:lang w:val="mn-MN"/>
        </w:rPr>
      </w:pPr>
      <w:r w:rsidRPr="0033241B">
        <w:rPr>
          <w:rStyle w:val="s1"/>
          <w:rFonts w:ascii="Arial" w:hAnsi="Arial" w:cs="Arial"/>
          <w:b/>
          <w:bCs/>
          <w:color w:val="000000" w:themeColor="text1"/>
          <w:lang w:val="mn-MN"/>
        </w:rPr>
        <w:t>6.1. Болзошгүй эрсдэл</w:t>
      </w:r>
    </w:p>
    <w:p w14:paraId="44327061" w14:textId="77777777" w:rsidR="00860F15" w:rsidRPr="0033241B" w:rsidRDefault="00860F15" w:rsidP="00860F15">
      <w:pPr>
        <w:spacing w:before="120"/>
        <w:jc w:val="both"/>
        <w:rPr>
          <w:rFonts w:ascii="Arial" w:hAnsi="Arial" w:cs="Arial"/>
          <w:lang w:val="mn-MN"/>
        </w:rPr>
      </w:pPr>
      <w:r w:rsidRPr="00A71EB6">
        <w:rPr>
          <w:rFonts w:ascii="Arial" w:hAnsi="Arial" w:cs="Arial"/>
          <w:color w:val="000000" w:themeColor="text1"/>
          <w:lang w:val="mn-MN"/>
        </w:rPr>
        <w:t xml:space="preserve">- </w:t>
      </w:r>
      <w:r w:rsidRPr="0033241B">
        <w:rPr>
          <w:rFonts w:ascii="Arial" w:hAnsi="Arial" w:cs="Arial"/>
          <w:color w:val="000000" w:themeColor="text1"/>
          <w:lang w:val="mn-MN"/>
        </w:rPr>
        <w:t xml:space="preserve">Орон нутгийн </w:t>
      </w:r>
      <w:r w:rsidRPr="0033241B">
        <w:rPr>
          <w:rFonts w:ascii="Arial" w:hAnsi="Arial" w:cs="Arial"/>
          <w:lang w:val="mn-MN"/>
        </w:rPr>
        <w:t>өрийн удирдлагын сахилга бат сулрах,</w:t>
      </w:r>
    </w:p>
    <w:p w14:paraId="5E0E1B9F" w14:textId="77777777" w:rsidR="00860F15" w:rsidRPr="0033241B" w:rsidRDefault="00860F15" w:rsidP="00860F15">
      <w:pPr>
        <w:jc w:val="both"/>
        <w:rPr>
          <w:rFonts w:ascii="Arial" w:hAnsi="Arial" w:cs="Arial"/>
          <w:lang w:val="mn-MN"/>
        </w:rPr>
      </w:pPr>
      <w:r>
        <w:rPr>
          <w:rFonts w:ascii="Arial" w:hAnsi="Arial" w:cs="Arial"/>
          <w:lang w:val="mn-MN"/>
        </w:rPr>
        <w:t xml:space="preserve">- </w:t>
      </w:r>
      <w:r w:rsidRPr="0033241B">
        <w:rPr>
          <w:rFonts w:ascii="Arial" w:hAnsi="Arial" w:cs="Arial"/>
          <w:lang w:val="mn-MN"/>
        </w:rPr>
        <w:t>Санхүүжүүлсэн төслүүдийн үр ашиг хангалтгүй байх,</w:t>
      </w:r>
    </w:p>
    <w:p w14:paraId="5E468032" w14:textId="77777777" w:rsidR="00860F15" w:rsidRPr="0033241B" w:rsidRDefault="00860F15" w:rsidP="00860F15">
      <w:pPr>
        <w:jc w:val="both"/>
        <w:rPr>
          <w:rFonts w:ascii="Arial" w:hAnsi="Arial" w:cs="Arial"/>
          <w:lang w:val="mn-MN"/>
        </w:rPr>
      </w:pPr>
      <w:r>
        <w:rPr>
          <w:rFonts w:ascii="Arial" w:hAnsi="Arial" w:cs="Arial"/>
          <w:lang w:val="mn-MN"/>
        </w:rPr>
        <w:t xml:space="preserve">- </w:t>
      </w:r>
      <w:r w:rsidRPr="0033241B">
        <w:rPr>
          <w:rFonts w:ascii="Arial" w:hAnsi="Arial" w:cs="Arial"/>
          <w:lang w:val="mn-MN"/>
        </w:rPr>
        <w:t>Санхүүгийн ил тод байдал, тайлагнал хангалтгүй байх,</w:t>
      </w:r>
    </w:p>
    <w:p w14:paraId="51B0EB69" w14:textId="77777777" w:rsidR="00860F15" w:rsidRPr="0033241B" w:rsidRDefault="00860F15" w:rsidP="00860F15">
      <w:pPr>
        <w:spacing w:after="120"/>
        <w:jc w:val="both"/>
        <w:rPr>
          <w:rFonts w:ascii="Arial" w:hAnsi="Arial" w:cs="Arial"/>
          <w:color w:val="000000" w:themeColor="text1"/>
          <w:lang w:val="mn-MN"/>
        </w:rPr>
      </w:pPr>
      <w:r>
        <w:rPr>
          <w:rFonts w:ascii="Arial" w:hAnsi="Arial" w:cs="Arial"/>
          <w:lang w:val="mn-MN"/>
        </w:rPr>
        <w:t xml:space="preserve">- </w:t>
      </w:r>
      <w:r w:rsidRPr="0033241B">
        <w:rPr>
          <w:rFonts w:ascii="Arial" w:hAnsi="Arial" w:cs="Arial"/>
          <w:color w:val="000000" w:themeColor="text1"/>
          <w:lang w:val="mn-MN"/>
        </w:rPr>
        <w:t>Зах зээлийн эхний шатанд эрсдэлийн үнэлгээ дутмаг байх.</w:t>
      </w:r>
    </w:p>
    <w:p w14:paraId="0B43EE8B" w14:textId="77777777" w:rsidR="00860F15" w:rsidRPr="0033241B" w:rsidRDefault="00860F15" w:rsidP="00860F15">
      <w:pPr>
        <w:pStyle w:val="Heading3"/>
        <w:spacing w:before="0" w:after="120"/>
        <w:ind w:firstLine="567"/>
        <w:jc w:val="both"/>
        <w:rPr>
          <w:rFonts w:ascii="Arial" w:hAnsi="Arial" w:cs="Arial"/>
          <w:b/>
          <w:bCs/>
          <w:color w:val="000000" w:themeColor="text1"/>
          <w:lang w:val="mn-MN"/>
        </w:rPr>
      </w:pPr>
      <w:r w:rsidRPr="0033241B">
        <w:rPr>
          <w:rStyle w:val="s1"/>
          <w:rFonts w:ascii="Arial" w:hAnsi="Arial" w:cs="Arial"/>
          <w:b/>
          <w:bCs/>
          <w:color w:val="000000" w:themeColor="text1"/>
          <w:lang w:val="mn-MN"/>
        </w:rPr>
        <w:t>6.2. Эрсдэлийг бууруулах арга хэмжээ</w:t>
      </w:r>
    </w:p>
    <w:p w14:paraId="48230457" w14:textId="77777777" w:rsidR="00860F15" w:rsidRPr="0033241B" w:rsidRDefault="00860F15" w:rsidP="00860F15">
      <w:pPr>
        <w:pStyle w:val="p3"/>
        <w:spacing w:before="0" w:beforeAutospacing="0" w:after="120" w:afterAutospacing="0"/>
        <w:ind w:firstLine="567"/>
        <w:jc w:val="both"/>
        <w:rPr>
          <w:rFonts w:ascii="Arial" w:hAnsi="Arial" w:cs="Arial"/>
          <w:color w:val="000000" w:themeColor="text1"/>
          <w:lang w:val="mn-MN"/>
        </w:rPr>
      </w:pPr>
      <w:r w:rsidRPr="00A71EB6">
        <w:rPr>
          <w:rFonts w:ascii="Arial" w:hAnsi="Arial" w:cs="Arial"/>
          <w:color w:val="000000" w:themeColor="text1"/>
          <w:lang w:val="mn-MN"/>
        </w:rPr>
        <w:t>ОУВС болон Дэлхийн банкны</w:t>
      </w:r>
      <w:r w:rsidRPr="0033241B">
        <w:rPr>
          <w:rFonts w:ascii="Arial" w:hAnsi="Arial" w:cs="Arial"/>
          <w:color w:val="000000" w:themeColor="text1"/>
          <w:lang w:val="mn-MN"/>
        </w:rPr>
        <w:t xml:space="preserve"> зөвлөмжид тулгуурлан дараах зохицуулалтыг хамтад нь хэрэгжүүлэх шаардлагатай:</w:t>
      </w:r>
    </w:p>
    <w:p w14:paraId="026A6024" w14:textId="77777777" w:rsidR="00860F15" w:rsidRPr="0033241B" w:rsidRDefault="00860F15" w:rsidP="00860F15">
      <w:pPr>
        <w:pStyle w:val="ListParagraph"/>
        <w:numPr>
          <w:ilvl w:val="0"/>
          <w:numId w:val="1"/>
        </w:numPr>
        <w:jc w:val="both"/>
        <w:rPr>
          <w:rFonts w:ascii="Arial" w:hAnsi="Arial" w:cs="Arial"/>
          <w:lang w:val="mn-MN"/>
        </w:rPr>
      </w:pPr>
      <w:r w:rsidRPr="0033241B">
        <w:rPr>
          <w:rFonts w:ascii="Arial" w:hAnsi="Arial" w:cs="Arial"/>
          <w:lang w:val="mn-MN"/>
        </w:rPr>
        <w:t>Сангийн яамны урьдчилсан зөвшөөрөл, хяналтын механизм нэвтрүүлэх,</w:t>
      </w:r>
    </w:p>
    <w:p w14:paraId="45F6F316" w14:textId="77777777" w:rsidR="00860F15" w:rsidRPr="0033241B" w:rsidRDefault="00860F15" w:rsidP="00860F15">
      <w:pPr>
        <w:pStyle w:val="ListParagraph"/>
        <w:numPr>
          <w:ilvl w:val="0"/>
          <w:numId w:val="1"/>
        </w:numPr>
        <w:jc w:val="both"/>
        <w:rPr>
          <w:rFonts w:ascii="Arial" w:hAnsi="Arial" w:cs="Arial"/>
          <w:lang w:val="mn-MN"/>
        </w:rPr>
      </w:pPr>
      <w:r w:rsidRPr="0033241B">
        <w:rPr>
          <w:rFonts w:ascii="Arial" w:hAnsi="Arial" w:cs="Arial"/>
          <w:lang w:val="mn-MN"/>
        </w:rPr>
        <w:t>Орон нутгийн өрийн дээд хязгаар тогтоох,</w:t>
      </w:r>
    </w:p>
    <w:p w14:paraId="2DD85AB4" w14:textId="77777777" w:rsidR="00860F15" w:rsidRPr="0033241B" w:rsidRDefault="00860F15" w:rsidP="00860F15">
      <w:pPr>
        <w:pStyle w:val="ListParagraph"/>
        <w:numPr>
          <w:ilvl w:val="0"/>
          <w:numId w:val="1"/>
        </w:numPr>
        <w:jc w:val="both"/>
        <w:rPr>
          <w:rFonts w:ascii="Arial" w:hAnsi="Arial" w:cs="Arial"/>
          <w:lang w:val="mn-MN"/>
        </w:rPr>
      </w:pPr>
      <w:r w:rsidRPr="0033241B">
        <w:rPr>
          <w:rFonts w:ascii="Arial" w:hAnsi="Arial" w:cs="Arial"/>
          <w:lang w:val="mn-MN"/>
        </w:rPr>
        <w:t>Санхүүгийн тайлагнал, аудитын хатуу стандарт мөрдүүлэх,</w:t>
      </w:r>
    </w:p>
    <w:p w14:paraId="601C6F59" w14:textId="77777777" w:rsidR="00860F15" w:rsidRPr="0033241B" w:rsidRDefault="00860F15" w:rsidP="00860F15">
      <w:pPr>
        <w:pStyle w:val="ListParagraph"/>
        <w:numPr>
          <w:ilvl w:val="0"/>
          <w:numId w:val="1"/>
        </w:numPr>
        <w:jc w:val="both"/>
        <w:rPr>
          <w:rFonts w:ascii="Arial" w:hAnsi="Arial" w:cs="Arial"/>
          <w:lang w:val="mn-MN"/>
        </w:rPr>
      </w:pPr>
      <w:r w:rsidRPr="0033241B">
        <w:rPr>
          <w:rFonts w:ascii="Arial" w:hAnsi="Arial" w:cs="Arial"/>
          <w:lang w:val="mn-MN"/>
        </w:rPr>
        <w:t>Орон нутгийн үнэт цаасанд зээлжих зэрэглэл (credit rating) тогтоох,</w:t>
      </w:r>
    </w:p>
    <w:p w14:paraId="3DE89FDE" w14:textId="77777777" w:rsidR="00860F15" w:rsidRPr="0033241B" w:rsidRDefault="00860F15" w:rsidP="00860F15">
      <w:pPr>
        <w:pStyle w:val="ListParagraph"/>
        <w:numPr>
          <w:ilvl w:val="0"/>
          <w:numId w:val="1"/>
        </w:numPr>
        <w:spacing w:after="120"/>
        <w:jc w:val="both"/>
        <w:rPr>
          <w:rFonts w:ascii="Arial" w:hAnsi="Arial" w:cs="Arial"/>
          <w:lang w:val="mn-MN"/>
        </w:rPr>
      </w:pPr>
      <w:r w:rsidRPr="0033241B">
        <w:rPr>
          <w:rFonts w:ascii="Arial" w:hAnsi="Arial" w:cs="Arial"/>
          <w:lang w:val="mn-MN"/>
        </w:rPr>
        <w:t>Төсөл сонгон шалгаруулалтын ил тод, эдийн засгийн үндэслэлтэй механизмыг хэрэгжүүлэх.</w:t>
      </w:r>
    </w:p>
    <w:p w14:paraId="2049EF20" w14:textId="77777777" w:rsidR="00860F15" w:rsidRPr="0033241B" w:rsidRDefault="00860F15" w:rsidP="00860F15">
      <w:pPr>
        <w:pStyle w:val="Heading2"/>
        <w:spacing w:before="0" w:after="120"/>
        <w:ind w:firstLine="567"/>
        <w:jc w:val="both"/>
        <w:rPr>
          <w:rFonts w:ascii="Arial" w:hAnsi="Arial" w:cs="Arial"/>
          <w:sz w:val="24"/>
          <w:szCs w:val="24"/>
          <w:lang w:val="ru-RU"/>
        </w:rPr>
      </w:pPr>
      <w:r w:rsidRPr="0033241B">
        <w:rPr>
          <w:rStyle w:val="s1"/>
          <w:rFonts w:ascii="Arial" w:hAnsi="Arial" w:cs="Arial"/>
          <w:sz w:val="24"/>
          <w:szCs w:val="24"/>
          <w:lang w:val="ru-RU"/>
        </w:rPr>
        <w:t>Долоо. Зардлын тооцоо</w:t>
      </w:r>
    </w:p>
    <w:p w14:paraId="4F67728B" w14:textId="77777777" w:rsidR="00860F15" w:rsidRPr="0033241B" w:rsidRDefault="00860F15" w:rsidP="00860F15">
      <w:pPr>
        <w:pStyle w:val="Heading3"/>
        <w:spacing w:before="0" w:after="120"/>
        <w:ind w:firstLine="567"/>
        <w:jc w:val="both"/>
        <w:rPr>
          <w:rFonts w:ascii="Arial" w:hAnsi="Arial" w:cs="Arial"/>
          <w:b/>
          <w:bCs/>
          <w:color w:val="000000" w:themeColor="text1"/>
          <w:lang w:val="ru-RU"/>
        </w:rPr>
      </w:pPr>
      <w:r w:rsidRPr="0033241B">
        <w:rPr>
          <w:rStyle w:val="s1"/>
          <w:rFonts w:ascii="Arial" w:hAnsi="Arial" w:cs="Arial"/>
          <w:b/>
          <w:bCs/>
          <w:color w:val="000000" w:themeColor="text1"/>
          <w:lang w:val="ru-RU"/>
        </w:rPr>
        <w:t>7.1. Шууд төсвийн зардал</w:t>
      </w:r>
    </w:p>
    <w:p w14:paraId="4EA2291E" w14:textId="77777777" w:rsidR="00860F15" w:rsidRPr="0033241B" w:rsidRDefault="00860F15" w:rsidP="00860F15">
      <w:pPr>
        <w:pStyle w:val="p4"/>
        <w:spacing w:before="0" w:beforeAutospacing="0" w:after="120" w:afterAutospacing="0"/>
        <w:ind w:firstLine="567"/>
        <w:jc w:val="both"/>
        <w:rPr>
          <w:rFonts w:ascii="Arial" w:hAnsi="Arial" w:cs="Arial"/>
          <w:lang w:val="ru-RU"/>
        </w:rPr>
      </w:pPr>
      <w:r w:rsidRPr="0033241B">
        <w:rPr>
          <w:rFonts w:ascii="Arial" w:hAnsi="Arial" w:cs="Arial"/>
          <w:lang w:val="ru-RU"/>
        </w:rPr>
        <w:t>Энэхүү хуулийн төсөл хэрэгжихэд улсын төсвөөс шууд зардал гарахгүй.</w:t>
      </w:r>
    </w:p>
    <w:p w14:paraId="3E104FF2" w14:textId="77777777" w:rsidR="00860F15" w:rsidRPr="0033241B" w:rsidRDefault="00860F15" w:rsidP="00860F15">
      <w:pPr>
        <w:ind w:firstLine="567"/>
        <w:jc w:val="both"/>
        <w:rPr>
          <w:rFonts w:ascii="Arial" w:hAnsi="Arial" w:cs="Arial"/>
          <w:lang w:val="ru-RU"/>
        </w:rPr>
      </w:pPr>
    </w:p>
    <w:p w14:paraId="12D7CDE9" w14:textId="77777777" w:rsidR="00860F15" w:rsidRPr="0033241B" w:rsidRDefault="00860F15" w:rsidP="00860F15">
      <w:pPr>
        <w:pStyle w:val="Heading3"/>
        <w:spacing w:before="0" w:after="120"/>
        <w:ind w:firstLine="567"/>
        <w:jc w:val="both"/>
        <w:rPr>
          <w:rFonts w:ascii="Arial" w:hAnsi="Arial" w:cs="Arial"/>
          <w:b/>
          <w:bCs/>
          <w:color w:val="000000" w:themeColor="text1"/>
          <w:lang w:val="ru-RU"/>
        </w:rPr>
      </w:pPr>
      <w:r w:rsidRPr="0033241B">
        <w:rPr>
          <w:rStyle w:val="s1"/>
          <w:rFonts w:ascii="Arial" w:hAnsi="Arial" w:cs="Arial"/>
          <w:b/>
          <w:bCs/>
          <w:color w:val="000000" w:themeColor="text1"/>
          <w:lang w:val="ru-RU"/>
        </w:rPr>
        <w:lastRenderedPageBreak/>
        <w:t>7.2. Төсвийн орлогын бууралт</w:t>
      </w:r>
    </w:p>
    <w:p w14:paraId="7C0312B2" w14:textId="77777777" w:rsidR="00860F15" w:rsidRPr="0033241B" w:rsidRDefault="00860F15" w:rsidP="00860F15">
      <w:pPr>
        <w:pStyle w:val="p3"/>
        <w:spacing w:before="0" w:beforeAutospacing="0" w:after="120" w:afterAutospacing="0"/>
        <w:ind w:firstLine="567"/>
        <w:jc w:val="both"/>
        <w:rPr>
          <w:rFonts w:ascii="Arial" w:hAnsi="Arial" w:cs="Arial"/>
          <w:lang w:val="ru-RU"/>
        </w:rPr>
      </w:pPr>
      <w:r w:rsidRPr="0033241B">
        <w:rPr>
          <w:rFonts w:ascii="Arial" w:hAnsi="Arial" w:cs="Arial"/>
          <w:lang w:val="ru-RU"/>
        </w:rPr>
        <w:t>Дээрх тооцоололд үндэслэн орон нутгийн бондын хүүгийн орлогоос чөлөөлөгдөх татварын хэмжээ:</w:t>
      </w:r>
    </w:p>
    <w:p w14:paraId="1CF13991" w14:textId="77777777" w:rsidR="00860F15" w:rsidRPr="003A30E7" w:rsidRDefault="00860F15" w:rsidP="00860F15">
      <w:pPr>
        <w:pStyle w:val="ListParagraph"/>
        <w:numPr>
          <w:ilvl w:val="0"/>
          <w:numId w:val="1"/>
        </w:numPr>
        <w:jc w:val="both"/>
        <w:rPr>
          <w:rFonts w:ascii="Arial" w:hAnsi="Arial" w:cs="Arial"/>
        </w:rPr>
      </w:pPr>
      <w:r w:rsidRPr="003A30E7">
        <w:rPr>
          <w:rFonts w:ascii="Arial" w:hAnsi="Arial" w:cs="Arial"/>
        </w:rPr>
        <w:t>Жилд: ойролцоогоор 2.0</w:t>
      </w:r>
      <w:r w:rsidRPr="003A30E7">
        <w:rPr>
          <w:rFonts w:ascii="Arial" w:hAnsi="Arial" w:cs="Arial"/>
          <w:lang w:val="mn-MN"/>
        </w:rPr>
        <w:t>-</w:t>
      </w:r>
      <w:r w:rsidRPr="003A30E7">
        <w:rPr>
          <w:rFonts w:ascii="Arial" w:hAnsi="Arial" w:cs="Arial"/>
        </w:rPr>
        <w:t>4.0 тэрбум төгрөг,</w:t>
      </w:r>
    </w:p>
    <w:p w14:paraId="6D3A2FBD" w14:textId="77777777" w:rsidR="00860F15" w:rsidRPr="0033241B" w:rsidRDefault="00860F15" w:rsidP="00860F15">
      <w:pPr>
        <w:pStyle w:val="ListParagraph"/>
        <w:numPr>
          <w:ilvl w:val="0"/>
          <w:numId w:val="1"/>
        </w:numPr>
        <w:jc w:val="both"/>
        <w:rPr>
          <w:rFonts w:ascii="Arial" w:hAnsi="Arial" w:cs="Arial"/>
          <w:lang w:val="ru-RU"/>
        </w:rPr>
      </w:pPr>
      <w:r w:rsidRPr="0033241B">
        <w:rPr>
          <w:rFonts w:ascii="Arial" w:hAnsi="Arial" w:cs="Arial"/>
          <w:lang w:val="ru-RU"/>
        </w:rPr>
        <w:t>Дунд хугацаанд (4 жил): 8</w:t>
      </w:r>
      <w:r>
        <w:rPr>
          <w:rFonts w:ascii="Arial" w:hAnsi="Arial" w:cs="Arial"/>
          <w:lang w:val="mn-MN"/>
        </w:rPr>
        <w:t>-</w:t>
      </w:r>
      <w:r w:rsidRPr="0033241B">
        <w:rPr>
          <w:rFonts w:ascii="Arial" w:hAnsi="Arial" w:cs="Arial"/>
          <w:lang w:val="ru-RU"/>
        </w:rPr>
        <w:t>16 тэрбум төгрөг.</w:t>
      </w:r>
    </w:p>
    <w:p w14:paraId="6C464B1C" w14:textId="77777777" w:rsidR="00860F15" w:rsidRPr="0033241B" w:rsidRDefault="00860F15" w:rsidP="00860F15">
      <w:pPr>
        <w:pStyle w:val="p4"/>
        <w:spacing w:before="0" w:beforeAutospacing="0" w:after="0" w:afterAutospacing="0"/>
        <w:ind w:firstLine="567"/>
        <w:jc w:val="both"/>
        <w:rPr>
          <w:rFonts w:ascii="Arial" w:hAnsi="Arial" w:cs="Arial"/>
          <w:lang w:val="ru-RU"/>
        </w:rPr>
      </w:pPr>
      <w:r w:rsidRPr="0033241B">
        <w:rPr>
          <w:rFonts w:ascii="Arial" w:hAnsi="Arial" w:cs="Arial"/>
          <w:lang w:val="ru-RU"/>
        </w:rPr>
        <w:t>Энэ нь улсын нийт татварын орлоготой харьцуулахад маш бага хувь эзэлнэ.</w:t>
      </w:r>
    </w:p>
    <w:p w14:paraId="5FBC6F20" w14:textId="77777777" w:rsidR="00860F15" w:rsidRPr="0033241B" w:rsidRDefault="00860F15" w:rsidP="00860F15">
      <w:pPr>
        <w:ind w:firstLine="567"/>
        <w:jc w:val="both"/>
        <w:rPr>
          <w:rFonts w:ascii="Arial" w:hAnsi="Arial" w:cs="Arial"/>
          <w:lang w:val="ru-RU"/>
        </w:rPr>
      </w:pPr>
    </w:p>
    <w:p w14:paraId="5B000580" w14:textId="77777777" w:rsidR="00860F15" w:rsidRPr="00B56EFF" w:rsidRDefault="00860F15" w:rsidP="00860F15">
      <w:pPr>
        <w:pStyle w:val="Heading3"/>
        <w:spacing w:before="0" w:after="120"/>
        <w:ind w:firstLine="567"/>
        <w:jc w:val="both"/>
        <w:rPr>
          <w:rFonts w:ascii="Arial" w:hAnsi="Arial" w:cs="Arial"/>
          <w:b/>
          <w:bCs/>
          <w:color w:val="000000" w:themeColor="text1"/>
        </w:rPr>
      </w:pPr>
      <w:r w:rsidRPr="0033241B">
        <w:rPr>
          <w:rStyle w:val="s1"/>
          <w:rFonts w:ascii="Arial" w:hAnsi="Arial" w:cs="Arial"/>
          <w:b/>
          <w:bCs/>
          <w:color w:val="000000" w:themeColor="text1"/>
          <w:lang w:val="ru-RU"/>
        </w:rPr>
        <w:t>7.3. Нөхөх боломж</w:t>
      </w:r>
      <w:r>
        <w:rPr>
          <w:rStyle w:val="s1"/>
          <w:rFonts w:ascii="Arial" w:hAnsi="Arial" w:cs="Arial"/>
          <w:b/>
          <w:bCs/>
          <w:color w:val="000000" w:themeColor="text1"/>
        </w:rPr>
        <w:t xml:space="preserve">                             </w:t>
      </w:r>
    </w:p>
    <w:p w14:paraId="2ADFE867" w14:textId="77777777" w:rsidR="00860F15" w:rsidRPr="0033241B" w:rsidRDefault="00860F15" w:rsidP="00860F15">
      <w:pPr>
        <w:pStyle w:val="p3"/>
        <w:spacing w:before="0" w:beforeAutospacing="0" w:after="120" w:afterAutospacing="0"/>
        <w:ind w:firstLine="567"/>
        <w:jc w:val="both"/>
        <w:rPr>
          <w:rFonts w:ascii="Arial" w:hAnsi="Arial" w:cs="Arial"/>
          <w:lang w:val="ru-RU"/>
        </w:rPr>
      </w:pPr>
      <w:r w:rsidRPr="0033241B">
        <w:rPr>
          <w:rFonts w:ascii="Arial" w:hAnsi="Arial" w:cs="Arial"/>
          <w:lang w:val="ru-RU"/>
        </w:rPr>
        <w:t>Дунд хугацаанд дараах эх үүсвэрээр нөхөгдөх боломжтой:</w:t>
      </w:r>
    </w:p>
    <w:p w14:paraId="6AE37648" w14:textId="77777777" w:rsidR="00860F15" w:rsidRPr="0033241B" w:rsidRDefault="00860F15" w:rsidP="00860F15">
      <w:pPr>
        <w:pStyle w:val="ListParagraph"/>
        <w:numPr>
          <w:ilvl w:val="0"/>
          <w:numId w:val="1"/>
        </w:numPr>
        <w:jc w:val="both"/>
        <w:rPr>
          <w:rFonts w:ascii="Arial" w:hAnsi="Arial" w:cs="Arial"/>
          <w:lang w:val="ru-RU"/>
        </w:rPr>
      </w:pPr>
      <w:r w:rsidRPr="0033241B">
        <w:rPr>
          <w:rFonts w:ascii="Arial" w:hAnsi="Arial" w:cs="Arial"/>
          <w:lang w:val="ru-RU"/>
        </w:rPr>
        <w:t>Эдийн засгийн өсөлтөөс үүдэх нэмэлт татварын орлого,</w:t>
      </w:r>
    </w:p>
    <w:p w14:paraId="333D9135" w14:textId="77777777" w:rsidR="00860F15" w:rsidRPr="00D4601E" w:rsidRDefault="00860F15" w:rsidP="00860F15">
      <w:pPr>
        <w:pStyle w:val="ListParagraph"/>
        <w:numPr>
          <w:ilvl w:val="0"/>
          <w:numId w:val="1"/>
        </w:numPr>
        <w:jc w:val="both"/>
        <w:rPr>
          <w:rFonts w:ascii="Arial" w:hAnsi="Arial" w:cs="Arial"/>
        </w:rPr>
      </w:pPr>
      <w:r w:rsidRPr="00D4601E">
        <w:rPr>
          <w:rFonts w:ascii="Arial" w:hAnsi="Arial" w:cs="Arial"/>
        </w:rPr>
        <w:t>Дотоодын хөрөнгө оруулалтын өсөлт,</w:t>
      </w:r>
    </w:p>
    <w:p w14:paraId="5BF86B0E" w14:textId="77777777" w:rsidR="00860F15" w:rsidRPr="00D4601E" w:rsidRDefault="00860F15" w:rsidP="00860F15">
      <w:pPr>
        <w:pStyle w:val="ListParagraph"/>
        <w:numPr>
          <w:ilvl w:val="0"/>
          <w:numId w:val="1"/>
        </w:numPr>
        <w:jc w:val="both"/>
        <w:rPr>
          <w:rFonts w:ascii="Arial" w:hAnsi="Arial" w:cs="Arial"/>
        </w:rPr>
      </w:pPr>
      <w:r w:rsidRPr="00D4601E">
        <w:rPr>
          <w:rFonts w:ascii="Arial" w:hAnsi="Arial" w:cs="Arial"/>
        </w:rPr>
        <w:t>Орон нутгийн эдийн засгийн идэвхжил нэмэгдсэнээс бий болох татварын суурийн өргөтгөл.</w:t>
      </w:r>
    </w:p>
    <w:p w14:paraId="642FD8E4" w14:textId="77777777" w:rsidR="00860F15" w:rsidRPr="009F4366" w:rsidRDefault="00860F15" w:rsidP="00860F15">
      <w:pPr>
        <w:pStyle w:val="p4"/>
        <w:spacing w:before="120" w:beforeAutospacing="0" w:after="120" w:afterAutospacing="0"/>
        <w:ind w:firstLine="567"/>
        <w:jc w:val="both"/>
        <w:rPr>
          <w:rFonts w:ascii="Arial" w:hAnsi="Arial" w:cs="Arial"/>
        </w:rPr>
      </w:pPr>
      <w:r>
        <w:rPr>
          <w:rFonts w:ascii="Arial" w:hAnsi="Arial" w:cs="Arial"/>
          <w:lang w:val="mn-MN"/>
        </w:rPr>
        <w:t>ОУВС</w:t>
      </w:r>
      <w:r w:rsidRPr="009F4366">
        <w:rPr>
          <w:rFonts w:ascii="Arial" w:hAnsi="Arial" w:cs="Arial"/>
        </w:rPr>
        <w:t>-ийн дүгнэлтээр татварын суурь өргөжүүлэх бодлого нь татварын хувь хэмжээг нэмэгдүүлэхээс илүү тогтвортой орлогын эх үүсвэр болдог.</w:t>
      </w:r>
    </w:p>
    <w:p w14:paraId="1AA096BF" w14:textId="77777777" w:rsidR="00860F15" w:rsidRPr="009F4366" w:rsidRDefault="00860F15" w:rsidP="00860F15">
      <w:pPr>
        <w:pStyle w:val="Heading2"/>
        <w:spacing w:before="120" w:after="120"/>
        <w:ind w:firstLine="567"/>
        <w:jc w:val="both"/>
        <w:rPr>
          <w:rFonts w:ascii="Arial" w:hAnsi="Arial" w:cs="Arial"/>
          <w:sz w:val="24"/>
          <w:szCs w:val="24"/>
        </w:rPr>
      </w:pPr>
      <w:r w:rsidRPr="009F4366">
        <w:rPr>
          <w:rStyle w:val="s1"/>
          <w:rFonts w:ascii="Arial" w:hAnsi="Arial" w:cs="Arial"/>
          <w:sz w:val="24"/>
          <w:szCs w:val="24"/>
        </w:rPr>
        <w:t>Найм. Ерөнхий дүгнэлт</w:t>
      </w:r>
    </w:p>
    <w:p w14:paraId="1DC3D0CA" w14:textId="77777777" w:rsidR="00860F15" w:rsidRPr="009F4366" w:rsidRDefault="00860F15" w:rsidP="00860F15">
      <w:pPr>
        <w:pStyle w:val="p3"/>
        <w:spacing w:before="120" w:beforeAutospacing="0" w:after="120" w:afterAutospacing="0"/>
        <w:ind w:firstLine="567"/>
        <w:jc w:val="both"/>
        <w:rPr>
          <w:rFonts w:ascii="Arial" w:hAnsi="Arial" w:cs="Arial"/>
        </w:rPr>
      </w:pPr>
      <w:r w:rsidRPr="009F4366">
        <w:rPr>
          <w:rFonts w:ascii="Arial" w:hAnsi="Arial" w:cs="Arial"/>
        </w:rPr>
        <w:t>Энэхүү хуулийн төсөл нь богино хугацаанд татварын орлогын бага хэмжээний бууралтыг үүсгэх боловч дунд, урт хугацаанд:</w:t>
      </w:r>
    </w:p>
    <w:p w14:paraId="7C2DA015" w14:textId="77777777" w:rsidR="00860F15" w:rsidRPr="00D4601E" w:rsidRDefault="00860F15" w:rsidP="00860F15">
      <w:pPr>
        <w:pStyle w:val="ListParagraph"/>
        <w:numPr>
          <w:ilvl w:val="0"/>
          <w:numId w:val="1"/>
        </w:numPr>
        <w:jc w:val="both"/>
        <w:rPr>
          <w:rFonts w:ascii="Arial" w:hAnsi="Arial" w:cs="Arial"/>
        </w:rPr>
      </w:pPr>
      <w:r w:rsidRPr="00D4601E">
        <w:rPr>
          <w:rFonts w:ascii="Arial" w:hAnsi="Arial" w:cs="Arial"/>
        </w:rPr>
        <w:t>эдийн засгийн өсөлтийг дэмжих,</w:t>
      </w:r>
    </w:p>
    <w:p w14:paraId="7D634980" w14:textId="77777777" w:rsidR="00860F15" w:rsidRPr="00D4601E" w:rsidRDefault="00860F15" w:rsidP="00860F15">
      <w:pPr>
        <w:pStyle w:val="ListParagraph"/>
        <w:numPr>
          <w:ilvl w:val="0"/>
          <w:numId w:val="1"/>
        </w:numPr>
        <w:jc w:val="both"/>
        <w:rPr>
          <w:rFonts w:ascii="Arial" w:hAnsi="Arial" w:cs="Arial"/>
        </w:rPr>
      </w:pPr>
      <w:r w:rsidRPr="00D4601E">
        <w:rPr>
          <w:rFonts w:ascii="Arial" w:hAnsi="Arial" w:cs="Arial"/>
        </w:rPr>
        <w:t>орон нутгийн санхүүгийн бие даасан байдлыг нэмэгдүүлэх,</w:t>
      </w:r>
    </w:p>
    <w:p w14:paraId="6507A7B6" w14:textId="77777777" w:rsidR="00860F15" w:rsidRPr="00D4601E" w:rsidRDefault="00860F15" w:rsidP="00860F15">
      <w:pPr>
        <w:pStyle w:val="ListParagraph"/>
        <w:numPr>
          <w:ilvl w:val="0"/>
          <w:numId w:val="1"/>
        </w:numPr>
        <w:jc w:val="both"/>
        <w:rPr>
          <w:rFonts w:ascii="Arial" w:hAnsi="Arial" w:cs="Arial"/>
        </w:rPr>
      </w:pPr>
      <w:r w:rsidRPr="00D4601E">
        <w:rPr>
          <w:rFonts w:ascii="Arial" w:hAnsi="Arial" w:cs="Arial"/>
        </w:rPr>
        <w:t>бүсчилсэн хөгжлийн бодлогын хэрэгжилтийг эрчимжүүлэх,</w:t>
      </w:r>
    </w:p>
    <w:p w14:paraId="71B9E6D4" w14:textId="77777777" w:rsidR="00860F15" w:rsidRPr="00D4601E" w:rsidRDefault="00860F15" w:rsidP="00860F15">
      <w:pPr>
        <w:pStyle w:val="ListParagraph"/>
        <w:numPr>
          <w:ilvl w:val="0"/>
          <w:numId w:val="1"/>
        </w:numPr>
        <w:jc w:val="both"/>
        <w:rPr>
          <w:rFonts w:ascii="Arial" w:hAnsi="Arial" w:cs="Arial"/>
        </w:rPr>
      </w:pPr>
      <w:r w:rsidRPr="00D4601E">
        <w:rPr>
          <w:rFonts w:ascii="Arial" w:hAnsi="Arial" w:cs="Arial"/>
        </w:rPr>
        <w:t>хөрөнгийн зах зээлийн гүнзгийрэлийг нэмэгдүүлэх,</w:t>
      </w:r>
    </w:p>
    <w:p w14:paraId="03D93A92" w14:textId="77777777" w:rsidR="00860F15" w:rsidRPr="00D4601E" w:rsidRDefault="00860F15" w:rsidP="00860F15">
      <w:pPr>
        <w:pStyle w:val="ListParagraph"/>
        <w:numPr>
          <w:ilvl w:val="0"/>
          <w:numId w:val="1"/>
        </w:numPr>
        <w:jc w:val="both"/>
        <w:rPr>
          <w:rFonts w:ascii="Arial" w:hAnsi="Arial" w:cs="Arial"/>
        </w:rPr>
      </w:pPr>
      <w:r w:rsidRPr="00D4601E">
        <w:rPr>
          <w:rFonts w:ascii="Arial" w:hAnsi="Arial" w:cs="Arial"/>
        </w:rPr>
        <w:t>татварын суурийг өргөжүүлэх</w:t>
      </w:r>
      <w:r>
        <w:rPr>
          <w:rFonts w:ascii="Arial" w:hAnsi="Arial" w:cs="Arial"/>
          <w:lang w:val="mn-MN"/>
        </w:rPr>
        <w:t xml:space="preserve"> </w:t>
      </w:r>
      <w:r w:rsidRPr="00D4601E">
        <w:rPr>
          <w:rFonts w:ascii="Arial" w:hAnsi="Arial" w:cs="Arial"/>
        </w:rPr>
        <w:t>зэрэг олон талын эерэг үр нөлөө үзүүлэх стратегийн ач холбогдолтой байна.</w:t>
      </w:r>
    </w:p>
    <w:p w14:paraId="3FA8A790" w14:textId="77777777" w:rsidR="00860F15" w:rsidRPr="009F4366" w:rsidRDefault="00860F15" w:rsidP="00860F15">
      <w:pPr>
        <w:pStyle w:val="p4"/>
        <w:spacing w:before="0" w:beforeAutospacing="0" w:after="0" w:afterAutospacing="0"/>
        <w:ind w:firstLine="567"/>
        <w:jc w:val="both"/>
        <w:rPr>
          <w:rFonts w:ascii="Arial" w:hAnsi="Arial" w:cs="Arial"/>
        </w:rPr>
      </w:pPr>
      <w:r w:rsidRPr="009F4366">
        <w:rPr>
          <w:rFonts w:ascii="Arial" w:hAnsi="Arial" w:cs="Arial"/>
        </w:rPr>
        <w:t>Иймд энэхүү хуулийн төслийг батлан хэрэгжүүлэх нь Монгол Улсын эдийн засгийн тогтвортой өсөлт, санхүүгийн зах зээлийн хөгжил, орон нутгийн бие даасан байдлыг дэмжих бодлогын зөв шийдвэр гэж үзэж байна.</w:t>
      </w:r>
    </w:p>
    <w:p w14:paraId="443125D1" w14:textId="77777777" w:rsidR="00860F15" w:rsidRPr="009F4366" w:rsidRDefault="00860F15" w:rsidP="00860F15">
      <w:pPr>
        <w:ind w:firstLine="567"/>
        <w:jc w:val="both"/>
        <w:rPr>
          <w:rFonts w:ascii="Arial" w:hAnsi="Arial" w:cs="Arial"/>
        </w:rPr>
      </w:pPr>
    </w:p>
    <w:p w14:paraId="0F2CACA7" w14:textId="77777777" w:rsidR="00B435B3" w:rsidRDefault="00B435B3"/>
    <w:sectPr w:rsidR="00B435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93674"/>
    <w:multiLevelType w:val="hybridMultilevel"/>
    <w:tmpl w:val="A97EEB4E"/>
    <w:lvl w:ilvl="0" w:tplc="C7DE3B9E">
      <w:start w:val="2025"/>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86005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F15"/>
    <w:rsid w:val="002F1630"/>
    <w:rsid w:val="003E6615"/>
    <w:rsid w:val="006E6AE2"/>
    <w:rsid w:val="00860F15"/>
    <w:rsid w:val="00950B97"/>
    <w:rsid w:val="00B435B3"/>
    <w:rsid w:val="00DF48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77E9C621"/>
  <w15:chartTrackingRefBased/>
  <w15:docId w15:val="{6CBA346E-2D70-6A47-B8E6-03F31FB0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F15"/>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860F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0F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0F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0F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0F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0F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0F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0F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0F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F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0F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0F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0F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0F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0F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F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F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F15"/>
    <w:rPr>
      <w:rFonts w:eastAsiaTheme="majorEastAsia" w:cstheme="majorBidi"/>
      <w:color w:val="272727" w:themeColor="text1" w:themeTint="D8"/>
    </w:rPr>
  </w:style>
  <w:style w:type="paragraph" w:styleId="Title">
    <w:name w:val="Title"/>
    <w:basedOn w:val="Normal"/>
    <w:next w:val="Normal"/>
    <w:link w:val="TitleChar"/>
    <w:uiPriority w:val="10"/>
    <w:qFormat/>
    <w:rsid w:val="00860F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F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F1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F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0F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60F15"/>
    <w:rPr>
      <w:i/>
      <w:iCs/>
      <w:color w:val="404040" w:themeColor="text1" w:themeTint="BF"/>
    </w:rPr>
  </w:style>
  <w:style w:type="paragraph" w:styleId="ListParagraph">
    <w:name w:val="List Paragraph"/>
    <w:basedOn w:val="Normal"/>
    <w:uiPriority w:val="34"/>
    <w:qFormat/>
    <w:rsid w:val="00860F15"/>
    <w:pPr>
      <w:ind w:left="720"/>
      <w:contextualSpacing/>
    </w:pPr>
  </w:style>
  <w:style w:type="character" w:styleId="IntenseEmphasis">
    <w:name w:val="Intense Emphasis"/>
    <w:basedOn w:val="DefaultParagraphFont"/>
    <w:uiPriority w:val="21"/>
    <w:qFormat/>
    <w:rsid w:val="00860F15"/>
    <w:rPr>
      <w:i/>
      <w:iCs/>
      <w:color w:val="0F4761" w:themeColor="accent1" w:themeShade="BF"/>
    </w:rPr>
  </w:style>
  <w:style w:type="paragraph" w:styleId="IntenseQuote">
    <w:name w:val="Intense Quote"/>
    <w:basedOn w:val="Normal"/>
    <w:next w:val="Normal"/>
    <w:link w:val="IntenseQuoteChar"/>
    <w:uiPriority w:val="30"/>
    <w:qFormat/>
    <w:rsid w:val="00860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0F15"/>
    <w:rPr>
      <w:i/>
      <w:iCs/>
      <w:color w:val="0F4761" w:themeColor="accent1" w:themeShade="BF"/>
    </w:rPr>
  </w:style>
  <w:style w:type="character" w:styleId="IntenseReference">
    <w:name w:val="Intense Reference"/>
    <w:basedOn w:val="DefaultParagraphFont"/>
    <w:uiPriority w:val="32"/>
    <w:qFormat/>
    <w:rsid w:val="00860F15"/>
    <w:rPr>
      <w:b/>
      <w:bCs/>
      <w:smallCaps/>
      <w:color w:val="0F4761" w:themeColor="accent1" w:themeShade="BF"/>
      <w:spacing w:val="5"/>
    </w:rPr>
  </w:style>
  <w:style w:type="character" w:customStyle="1" w:styleId="s1">
    <w:name w:val="s1"/>
    <w:basedOn w:val="DefaultParagraphFont"/>
    <w:rsid w:val="00860F15"/>
  </w:style>
  <w:style w:type="paragraph" w:customStyle="1" w:styleId="p2">
    <w:name w:val="p2"/>
    <w:basedOn w:val="Normal"/>
    <w:rsid w:val="00860F15"/>
    <w:pPr>
      <w:spacing w:before="100" w:beforeAutospacing="1" w:after="100" w:afterAutospacing="1"/>
    </w:pPr>
  </w:style>
  <w:style w:type="paragraph" w:customStyle="1" w:styleId="p3">
    <w:name w:val="p3"/>
    <w:basedOn w:val="Normal"/>
    <w:rsid w:val="00860F15"/>
    <w:pPr>
      <w:spacing w:before="100" w:beforeAutospacing="1" w:after="100" w:afterAutospacing="1"/>
    </w:pPr>
  </w:style>
  <w:style w:type="paragraph" w:customStyle="1" w:styleId="p4">
    <w:name w:val="p4"/>
    <w:basedOn w:val="Normal"/>
    <w:rsid w:val="00860F15"/>
    <w:pPr>
      <w:spacing w:before="100" w:beforeAutospacing="1" w:after="100" w:afterAutospacing="1"/>
    </w:pPr>
  </w:style>
  <w:style w:type="paragraph" w:customStyle="1" w:styleId="p1">
    <w:name w:val="p1"/>
    <w:basedOn w:val="Normal"/>
    <w:rsid w:val="00860F15"/>
    <w:pPr>
      <w:spacing w:before="100" w:beforeAutospacing="1" w:after="100" w:afterAutospacing="1"/>
    </w:pPr>
  </w:style>
  <w:style w:type="character" w:customStyle="1" w:styleId="s2">
    <w:name w:val="s2"/>
    <w:basedOn w:val="DefaultParagraphFont"/>
    <w:rsid w:val="00860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1639</Words>
  <Characters>9343</Characters>
  <Application>Microsoft Office Word</Application>
  <DocSecurity>0</DocSecurity>
  <Lines>77</Lines>
  <Paragraphs>21</Paragraphs>
  <ScaleCrop>false</ScaleCrop>
  <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Энхжин Ундрах</dc:creator>
  <cp:keywords/>
  <dc:description/>
  <cp:lastModifiedBy>Энхжин Ундрах</cp:lastModifiedBy>
  <cp:revision>1</cp:revision>
  <dcterms:created xsi:type="dcterms:W3CDTF">2026-05-26T01:07:00Z</dcterms:created>
  <dcterms:modified xsi:type="dcterms:W3CDTF">2026-05-26T01:08:00Z</dcterms:modified>
</cp:coreProperties>
</file>