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ABC61" w14:textId="77777777" w:rsidR="00BD287E" w:rsidRPr="00E64399" w:rsidRDefault="00BD287E" w:rsidP="00BD287E">
      <w:pPr>
        <w:spacing w:before="100" w:beforeAutospacing="1" w:after="100" w:afterAutospacing="1" w:line="240" w:lineRule="auto"/>
        <w:jc w:val="center"/>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ДЭЛГЭРЭНГҮЙ ТАНИЛЦУУЛГА</w:t>
      </w:r>
    </w:p>
    <w:p w14:paraId="0B498C04" w14:textId="77777777" w:rsidR="00BD287E" w:rsidRPr="00E64399" w:rsidRDefault="00BD287E" w:rsidP="00BD287E">
      <w:pPr>
        <w:spacing w:before="100" w:beforeAutospacing="1" w:after="100" w:afterAutospacing="1" w:line="240" w:lineRule="auto"/>
        <w:ind w:left="3600"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Засаг захиргаа, нутаг дэвсгэрийн нэгж, түүний удирдлагын тухай хуульд нэмэлт, өөрчлөлт оруулах тухай хуулийн төсөл</w:t>
      </w:r>
    </w:p>
    <w:p w14:paraId="1F8D2077" w14:textId="77777777" w:rsidR="00BD287E" w:rsidRPr="00E64399" w:rsidRDefault="00BD287E" w:rsidP="00BD287E">
      <w:pPr>
        <w:spacing w:before="120" w:after="120" w:line="240" w:lineRule="auto"/>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Монгол Улсын хүн амын 50 хувь нь нийслэл Улаанбаатар хотод ажиллаж, амьдарч байна. 2025 оны байдлаар нийслэл хотын 204 хороонд суурин хүн ам 1.673.279 амьдарч байгаа бөгөөд хороодын хүн амын медиан дундаж 7,200 байна. Нийт хороодоос Багахангай дүүргийн хороо хамгийн бага нь 1800 хүн амтай бол, Баянзүрх, Сонгинохайрхан дүүргийн зарим хороод хамгийн их буюу 32,000 хүн амтай байна. Харин багуудын хувьд улсын хэмжээнд 1647 баг байгаагаас сумын төвийн баг дунджаар 2000-3500 хүнтэй бол хөдөөгийн багууд дунджаар 500-800 хүн амтай байна. Багуудын медиан дундаж нь 650-750 хүнтэй байна. </w:t>
      </w:r>
    </w:p>
    <w:p w14:paraId="042332C0" w14:textId="77777777" w:rsidR="00BD287E" w:rsidRPr="00E64399" w:rsidRDefault="00BD287E" w:rsidP="00BD287E">
      <w:pPr>
        <w:spacing w:before="120" w:after="120" w:line="240" w:lineRule="auto"/>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Сумын төвийн багуудад ИНХ нь сумын дэд бүтэц, нийгмийн асуудал зэрэг олон асуудлаар хэлэлцэн шийдвэр гаргадаг бол хөдөөгийн жижиг багуудад ИНХ нь хөрш зэргэлдээ айл өрхүүд, малчдын хамтын шийдвэр (жишээ нь: бэлчээр ашиглалт, худгийн зохицуулалт гэх мэт) гаргах цорын ганц албан ёсны талбар болдог. Нийслэл хотод иргэдийн өдөр тутмын амьдрал, орчны аюулгүй байдал, тохижилт, төсвийн зарцуулалтыг хэлэлцдэг хамгийн анхан шатны байгууллага бол хорооны ИНХ юм. </w:t>
      </w:r>
    </w:p>
    <w:p w14:paraId="555EA818" w14:textId="77777777" w:rsidR="00BD287E" w:rsidRPr="00E64399" w:rsidRDefault="00BD287E" w:rsidP="00BD287E">
      <w:pPr>
        <w:pStyle w:val="NormalWeb"/>
        <w:spacing w:before="120" w:beforeAutospacing="0" w:after="120" w:afterAutospacing="0"/>
        <w:ind w:firstLine="720"/>
        <w:jc w:val="both"/>
        <w:rPr>
          <w:rFonts w:ascii="Arial" w:hAnsi="Arial" w:cs="Arial"/>
          <w:noProof/>
          <w:lang w:val="mn-MN"/>
        </w:rPr>
      </w:pPr>
      <w:r w:rsidRPr="00E64399">
        <w:rPr>
          <w:rFonts w:ascii="Arial" w:hAnsi="Arial" w:cs="Arial"/>
          <w:noProof/>
          <w:lang w:val="mn-MN"/>
        </w:rPr>
        <w:t xml:space="preserve">Монгол Улсын Үндсэн хуульд нутгийн өөрөө удирдах ёс, иргэдийн шууд болон төлөөллийн оролцоог зааж өгсөн боловч шинэчлэн найруулсан Монгол Улсын Засаг захиргаа, нутаг дэвсгэрийн нэгж, түүний удирдлагын тухай хууль 2022 оны 01 сарын 01-ний өдрөөс хэрэгжиж эхэлсэнээр Үндсэн хуулиар олгогдсон иргэдийн эрх төрийн анхан шатанд хэрэгжихгүй болсон байна. </w:t>
      </w:r>
    </w:p>
    <w:p w14:paraId="2B639156" w14:textId="77777777" w:rsidR="00BD287E" w:rsidRPr="00E64399" w:rsidRDefault="00BD287E" w:rsidP="00BD287E">
      <w:pPr>
        <w:pStyle w:val="NormalWeb"/>
        <w:spacing w:before="120" w:beforeAutospacing="0" w:after="120" w:afterAutospacing="0"/>
        <w:ind w:firstLine="720"/>
        <w:jc w:val="both"/>
        <w:rPr>
          <w:rFonts w:ascii="Arial" w:hAnsi="Arial" w:cs="Arial"/>
          <w:noProof/>
          <w:lang w:val="mn-MN"/>
        </w:rPr>
      </w:pPr>
      <w:r w:rsidRPr="00E64399">
        <w:rPr>
          <w:rFonts w:ascii="Arial" w:hAnsi="Arial" w:cs="Arial"/>
          <w:noProof/>
          <w:lang w:val="mn-MN"/>
        </w:rPr>
        <w:t xml:space="preserve">Монгол Улсын Засаг захиргаа, нутаг дэвсгэрийн нэгж, түүний удирдлагын тухай хуулийн 32 дугаар зүйлийн </w:t>
      </w:r>
      <w:r w:rsidRPr="00E64399">
        <w:rPr>
          <w:rFonts w:ascii="Arial" w:hAnsi="Arial" w:cs="Arial"/>
          <w:noProof/>
          <w:shd w:val="clear" w:color="auto" w:fill="FFFFFF"/>
          <w:lang w:val="mn-MN"/>
        </w:rPr>
        <w:t xml:space="preserve">32.7-д “Сум, дүүргийн иргэдийн Төлөөлөгчдийн Хурлын ээлжит сонгуулийн дараах баг, хорооны иргэдийн Нийтийн Хурлын хуралдааныг сум, дүүргийн Засаг дарга шинээр томилогдсоны дараа зохион байгуулна” гэж заасан байна. </w:t>
      </w:r>
      <w:r w:rsidRPr="00E64399">
        <w:rPr>
          <w:rFonts w:ascii="Arial" w:hAnsi="Arial" w:cs="Arial"/>
          <w:noProof/>
          <w:lang w:val="mn-MN"/>
        </w:rPr>
        <w:t xml:space="preserve">Хуулийн 32 дугаар зүйлийн 32.7-д зааснаар нутгийн өөрөө удирдах анхан шатны нэгж болох баг хорооны Иргэдийн Нийтийн Хурал сум, дүүргийн Засаг дарга томилогдсоны дараа хуралдах ёстой боловч 2022 оны 01 сарын 01-нээс хойш иргэдийн Нийтийн Хурал хуралдаагүй, хуралдах эрх зүйн үндэсгүй болсон байна. Үүний улмаас орон нутгийн сонгууль 2024 оны 10 дугаар сард болсон хэдий ч хороодын Засаг дарга нар үүрэг гүйцэтгэгчээг 6 дахь жилдээ ажиллаж байгаа нь Монгол Улсын Үндсэн хууль болон Монгол Улсын Засаг захиргаа нутаг дэвсгэрийн нэгжийн тухай хуулийг зөрчиж байна. </w:t>
      </w:r>
    </w:p>
    <w:p w14:paraId="25CB6A4F" w14:textId="77777777" w:rsidR="00BD287E" w:rsidRPr="00E64399" w:rsidRDefault="00BD287E" w:rsidP="00BD287E">
      <w:pPr>
        <w:pStyle w:val="NormalWeb"/>
        <w:spacing w:before="120" w:beforeAutospacing="0" w:after="120" w:afterAutospacing="0"/>
        <w:ind w:firstLine="720"/>
        <w:jc w:val="both"/>
        <w:rPr>
          <w:rFonts w:ascii="Arial" w:hAnsi="Arial" w:cs="Arial"/>
          <w:noProof/>
          <w:lang w:val="mn-MN"/>
        </w:rPr>
      </w:pPr>
      <w:r w:rsidRPr="00E64399">
        <w:rPr>
          <w:rFonts w:ascii="Arial" w:hAnsi="Arial" w:cs="Arial"/>
          <w:noProof/>
          <w:shd w:val="clear" w:color="auto" w:fill="FFFFFF"/>
          <w:lang w:val="mn-MN"/>
        </w:rPr>
        <w:t>Иргэдийн</w:t>
      </w:r>
      <w:r w:rsidRPr="00E64399">
        <w:rPr>
          <w:rFonts w:ascii="Arial" w:hAnsi="Arial" w:cs="Arial"/>
          <w:noProof/>
          <w:lang w:val="mn-MN"/>
        </w:rPr>
        <w:t xml:space="preserve"> Нийтийн Хурлыг зохион байгуулах, худалдуулах үйл ажиллагааг зөвхөн гүйцэтгэх засаглалын албан тушаалтны шийдвэртэй шууд уялдуулсаны улмаас иргэдийн оролцооны эрх хязгаарлагдан, Иргэдийн Нийтийн Хурлын тасралтгүй ажиллагаа алдагдаж нутгийн өөрөө удирдах ёсны бие даасан шинжийг сулруулах үр дагавартай байна. ИНХ-ын хуралдаан хуралдахгүй болсны улмаас анхан шатны нэгжийн засаглал нь иргэдээсээ холдож, зөвхөн гүйцэтгэх удирдлагын шийдвэрээс хамаарах болж, улмаар олон нийтийн бухимдал нэмэгдсээр байна.</w:t>
      </w:r>
    </w:p>
    <w:p w14:paraId="07BA18EB" w14:textId="77777777" w:rsidR="00BD287E" w:rsidRPr="00E64399" w:rsidRDefault="00BD287E" w:rsidP="00BD287E">
      <w:pPr>
        <w:pStyle w:val="NormalWeb"/>
        <w:shd w:val="clear" w:color="auto" w:fill="FFFFFF"/>
        <w:spacing w:before="120" w:beforeAutospacing="0" w:after="120" w:afterAutospacing="0"/>
        <w:ind w:firstLine="720"/>
        <w:jc w:val="both"/>
        <w:rPr>
          <w:rFonts w:ascii="Arial" w:hAnsi="Arial" w:cs="Arial"/>
          <w:noProof/>
          <w:lang w:val="mn-MN"/>
        </w:rPr>
      </w:pPr>
      <w:r w:rsidRPr="00E64399">
        <w:rPr>
          <w:rFonts w:ascii="Arial" w:hAnsi="Arial" w:cs="Arial"/>
          <w:noProof/>
          <w:lang w:val="mn-MN"/>
        </w:rPr>
        <w:lastRenderedPageBreak/>
        <w:t xml:space="preserve">ИНХ хуралдахгүй, баг, хорооны Засаг даргын үүрэг гүйцэтгэгч нар хороодын үйл ажиллагааг эрхэлж, иргэдийн Нийтийн Хурал зарлан хуралдуулах субьектгүй, баг, хорооны Засаг даргын үүрэг гүйцэтгэгч нар нь иргэдийн Нийтийн Хурлын үйл ажиллагааг хариуцах болсон нь орон нутгийн анхан шатны байгууллагын засаглалд хямрал үүсгэх суурь болж байна. Тодруулбал, зарим хорооны Засаг дарга нь иргэдийн Нийтийн Хурлыг хуралдуулан, хорооны Засаг даргын тамгатай тогтоол гаргасан тохиолдол байгаа бол зарим баг, хороо нь хуралдах эрх зүйн орчингүйн улмаас хурлаа хийж чадахгүй нөхцөл байдалтай байна. Мөн орон нутгийн өдөр тутмын амьдрал, орчны аюулгүй байдал, тохижилт, төсвийн зарцуулалтын мэдээлэл нь иргэдэд хүртээмжгүй болох, орон нутгийн хөгжлийн сангийн хөрөнгийг зөв захиран зарцуулах боломж хязгаарлагдах зэрэг сөрөг үр дагавруудыг үүсгэх болсон байна. </w:t>
      </w:r>
    </w:p>
    <w:p w14:paraId="095A960A" w14:textId="77777777" w:rsidR="00BD287E" w:rsidRPr="00E64399" w:rsidRDefault="00BD287E" w:rsidP="00BD287E">
      <w:pPr>
        <w:pStyle w:val="NormalWeb"/>
        <w:spacing w:before="120" w:beforeAutospacing="0" w:after="120" w:afterAutospacing="0"/>
        <w:ind w:firstLine="720"/>
        <w:jc w:val="both"/>
        <w:rPr>
          <w:rFonts w:ascii="Arial" w:hAnsi="Arial" w:cs="Arial"/>
          <w:noProof/>
          <w:lang w:val="mn-MN"/>
        </w:rPr>
      </w:pPr>
      <w:r w:rsidRPr="00E64399">
        <w:rPr>
          <w:rFonts w:ascii="Arial" w:hAnsi="Arial" w:cs="Arial"/>
          <w:noProof/>
          <w:lang w:val="mn-MN"/>
        </w:rPr>
        <w:t xml:space="preserve">2022 оны 01 сарын 01-ний өдрөөс хэрэгжсэн Монгол Улсын Засаг захиргаа, нутаг дэвсгэрийн нэгж, түүний удирдлагын тухай хуулийг батлахдаа нийгмийн бодит эрэлт хэрэгцээг тодорхойлоогүй, хуулийг хэрэгжүүлэх нарийвчилсан журам, аргачлалыг эрх бүхий байгууллагаас батлаагүй тул бодит нөхцөл байдалтай уялдахгүй зохицуулалттай болсон байна. </w:t>
      </w:r>
    </w:p>
    <w:p w14:paraId="733AA69E" w14:textId="77777777" w:rsidR="00BD287E" w:rsidRPr="00E64399" w:rsidRDefault="00BD287E" w:rsidP="00BD287E">
      <w:pPr>
        <w:pStyle w:val="NormalWeb"/>
        <w:spacing w:before="120" w:beforeAutospacing="0" w:after="120" w:afterAutospacing="0"/>
        <w:ind w:firstLine="720"/>
        <w:jc w:val="both"/>
        <w:rPr>
          <w:rFonts w:ascii="Arial" w:hAnsi="Arial" w:cs="Arial"/>
          <w:noProof/>
          <w:lang w:val="mn-MN"/>
        </w:rPr>
      </w:pPr>
      <w:r w:rsidRPr="00E64399">
        <w:rPr>
          <w:rFonts w:ascii="Arial" w:hAnsi="Arial" w:cs="Arial"/>
          <w:noProof/>
          <w:lang w:val="mn-MN"/>
        </w:rPr>
        <w:t xml:space="preserve">Иймд 2021 онд батлагдсан Хууль тогтоомжийн тухай хуулийн дагуу холбогдох судалгааг хийсний дагуу иргэдийн Нийтийн Хурлын үйл ажиллагаа, бүрэн эрх, дотоод бүтэц, удирдлага, зохион байгуулалт, Засаг даргад нэр дэвшүүлэх үйл явцыг нарийвчлан тусгаж,  иргэдийн оролцоог бодитоор хангах үүднээс Монгол Улсын Засаг захиргаа, нутаг дэвсгэрийн нэгж, түүний удирдлагын тухай хуулийн 32 дугаар зүйлийг шинэчлэн найруулж, 56 дугаар зүйлд өөрчлөлт оруулахаар төслийг боловсрууллаа. </w:t>
      </w:r>
    </w:p>
    <w:p w14:paraId="2C16E2F3" w14:textId="77777777" w:rsidR="00BD287E" w:rsidRPr="00E64399" w:rsidRDefault="00BD287E" w:rsidP="00BD287E">
      <w:pPr>
        <w:pStyle w:val="NormalWeb"/>
        <w:spacing w:before="120" w:beforeAutospacing="0" w:after="120" w:afterAutospacing="0"/>
        <w:ind w:firstLine="720"/>
        <w:jc w:val="both"/>
        <w:rPr>
          <w:rFonts w:ascii="Arial" w:hAnsi="Arial" w:cs="Arial"/>
          <w:noProof/>
          <w:lang w:val="mn-MN"/>
        </w:rPr>
      </w:pPr>
      <w:r w:rsidRPr="00E64399">
        <w:rPr>
          <w:rFonts w:ascii="Arial" w:hAnsi="Arial" w:cs="Arial"/>
          <w:noProof/>
          <w:lang w:val="mn-MN"/>
        </w:rPr>
        <w:t xml:space="preserve">Хуулийн төслийн онцлох зохицуулалтуудыг тоймловол: </w:t>
      </w:r>
    </w:p>
    <w:p w14:paraId="050D5F52" w14:textId="77777777" w:rsidR="00BD287E" w:rsidRPr="00E64399" w:rsidRDefault="00BD287E" w:rsidP="00BD287E">
      <w:pPr>
        <w:pStyle w:val="NormalWeb"/>
        <w:spacing w:before="120" w:beforeAutospacing="0" w:after="120" w:afterAutospacing="0"/>
        <w:ind w:firstLine="720"/>
        <w:jc w:val="both"/>
        <w:rPr>
          <w:rFonts w:ascii="Arial" w:hAnsi="Arial" w:cs="Arial"/>
          <w:noProof/>
          <w:lang w:val="mn-MN"/>
        </w:rPr>
      </w:pPr>
      <w:r w:rsidRPr="00E64399">
        <w:rPr>
          <w:rFonts w:ascii="Arial" w:hAnsi="Arial" w:cs="Arial"/>
          <w:noProof/>
          <w:kern w:val="36"/>
          <w:lang w:val="mn-MN"/>
        </w:rPr>
        <w:t xml:space="preserve">ИНХ-ын </w:t>
      </w:r>
      <w:r w:rsidRPr="00E64399">
        <w:rPr>
          <w:rFonts w:ascii="Arial" w:hAnsi="Arial" w:cs="Arial"/>
          <w:noProof/>
          <w:lang w:val="mn-MN"/>
        </w:rPr>
        <w:t xml:space="preserve">үйл ажиллагааг цахимаар болон хосолсон хэлбэрээр зохион байгуулж, тухайн баг, хорооны иргэд хуралдаанд чөлөөтэй оролцох, санал өгөх эрхийг нээлттэй болгох эрх зүйн үндсийг тодорхойллоо. Одоо хүчин төгөлдөр үйлчилж байгаа хууль эрх зүйн хүрээнд баг, хорооны ИНХ-ын хуралдаан нь тухайн баг, хорооны иргэн бүрт нээлттэй бус, хуралдааны ирц хүрсэн шалтгаанаар хаалгаа барьж, иргэнийг нэмж оруулдаггүй, санал өгөх эрхийг хязгаарладаг байдалтай байна. Иймд тухайн баг, хороонд бүртгэлтэй иргэн бүрт хуралдаанд оролцох эрхийг нээлттэй болгох зохицуулалтыг нарийвчлан тусгасан болно. Мөн Монгол Улсын идэвхтэй интернет хэрэглэгчдийн тоо 2026 оны байдлаар ойролцоогоор 2.9 саяд хүрсэн бөгөөд баг, хорооны иргэдийн төрийн удирдлагад оролцох оролцоог интернетийн хэрэглээтэй уялдуулан сайжруулах боломжтой тул цахим болон танхим, хосолсон зохицуулалт байхаар хуулийн төсөлд тусгалаа. </w:t>
      </w:r>
    </w:p>
    <w:p w14:paraId="6D0E7480" w14:textId="77777777" w:rsidR="00BD287E" w:rsidRPr="00E64399" w:rsidRDefault="00BD287E" w:rsidP="00BD287E">
      <w:pPr>
        <w:pStyle w:val="NormalWeb"/>
        <w:spacing w:before="120" w:beforeAutospacing="0" w:after="120" w:afterAutospacing="0"/>
        <w:ind w:firstLine="720"/>
        <w:jc w:val="both"/>
        <w:rPr>
          <w:rFonts w:ascii="Arial" w:hAnsi="Arial" w:cs="Arial"/>
          <w:b/>
          <w:bCs/>
          <w:noProof/>
          <w:lang w:val="mn-MN"/>
        </w:rPr>
      </w:pPr>
      <w:r w:rsidRPr="00E64399">
        <w:rPr>
          <w:rFonts w:ascii="Arial" w:hAnsi="Arial" w:cs="Arial"/>
          <w:noProof/>
          <w:lang w:val="mn-MN"/>
        </w:rPr>
        <w:t xml:space="preserve">Сонгуулийн насны иргэд аливаа хязгаарлалтгүйгээр иргэдийн Нийтийн Хурлын хуралдаанд оролцох, хэлэлцэх асуудал санаачлах, санал өгөх, нэр дэвших, дэвшүүлэх болон хурлын шийдвэрийг тайлбарлах зэрэг эрх, үүргийг нарийвчлан тусгаж өгсөнөөр ИНХ-ын үйл ажиллагаа иргэдэд ойлгомжтой, тодорхой болох нөхцөл бүрдэж байна. </w:t>
      </w:r>
    </w:p>
    <w:p w14:paraId="5E9836AD" w14:textId="77777777" w:rsidR="00BD287E" w:rsidRPr="00E64399" w:rsidRDefault="00BD287E" w:rsidP="00BD287E">
      <w:pPr>
        <w:spacing w:before="120" w:after="120" w:line="240" w:lineRule="auto"/>
        <w:ind w:firstLine="720"/>
        <w:jc w:val="both"/>
        <w:rPr>
          <w:rFonts w:ascii="Arial" w:eastAsia="Times New Roman" w:hAnsi="Arial" w:cs="Arial"/>
          <w:noProof/>
          <w:sz w:val="24"/>
          <w:szCs w:val="24"/>
          <w:lang w:val="mn-MN"/>
        </w:rPr>
      </w:pPr>
      <w:r w:rsidRPr="00E64399">
        <w:rPr>
          <w:rFonts w:ascii="Arial" w:hAnsi="Arial" w:cs="Arial"/>
          <w:noProof/>
          <w:sz w:val="24"/>
          <w:szCs w:val="24"/>
          <w:lang w:val="mn-MN"/>
        </w:rPr>
        <w:t>Баг, хорооны хүн амын нягтаршал харилцан адилгүй байдаг тул ИНХ-ын хүчинтэй байдлыг сонгуулийн эрх бүхий иргэдийн тоотой уялдуулж, с</w:t>
      </w:r>
      <w:r w:rsidRPr="00E64399">
        <w:rPr>
          <w:rFonts w:ascii="Arial" w:eastAsia="Times New Roman" w:hAnsi="Arial" w:cs="Arial"/>
          <w:noProof/>
          <w:sz w:val="24"/>
          <w:szCs w:val="24"/>
          <w:lang w:val="mn-MN"/>
        </w:rPr>
        <w:t xml:space="preserve">онгуулийн эрх бүхий 500 хүртэлх иргэнтэй баг, хорооны иргэдийн Нийтийн Хурлын хуралдаанд нийт иргэдийн 10-аас доошгүй хувь нь оролцсон тохиолдолд, </w:t>
      </w:r>
      <w:r w:rsidRPr="00E64399">
        <w:rPr>
          <w:rFonts w:ascii="Arial" w:hAnsi="Arial" w:cs="Arial"/>
          <w:noProof/>
          <w:sz w:val="24"/>
          <w:szCs w:val="24"/>
          <w:lang w:val="mn-MN"/>
        </w:rPr>
        <w:t xml:space="preserve">501-3000 хүртэл сонгогчтой </w:t>
      </w:r>
      <w:r w:rsidRPr="00E64399">
        <w:rPr>
          <w:rFonts w:ascii="Arial" w:hAnsi="Arial" w:cs="Arial"/>
          <w:noProof/>
          <w:sz w:val="24"/>
          <w:szCs w:val="24"/>
          <w:lang w:val="mn-MN"/>
        </w:rPr>
        <w:lastRenderedPageBreak/>
        <w:t xml:space="preserve">бол нийт сонгогчдын 5-аас доошгүй хувь, </w:t>
      </w:r>
      <w:r w:rsidRPr="00E64399">
        <w:rPr>
          <w:rFonts w:ascii="Arial" w:eastAsia="Times New Roman" w:hAnsi="Arial" w:cs="Arial"/>
          <w:noProof/>
          <w:sz w:val="24"/>
          <w:szCs w:val="24"/>
          <w:lang w:val="mn-MN"/>
        </w:rPr>
        <w:t xml:space="preserve">3001-6000 сонгогчтой бол нийт сонгогчдын 3-аас доошгүй хувь оролцсон тохиолдолд, 6,001-аас дээш бол ирцийг 250-аас доошгүй иргэн оролцсоноор хүчин төгөлдөрт тооцох бөгөөд үүнд тухайн баг, хорооны нийт хэсгүүдийн төлөөлөл жигд хангагдсан байхаар зохицуулалтыг тусгалаа. </w:t>
      </w:r>
    </w:p>
    <w:p w14:paraId="10768582" w14:textId="77777777" w:rsidR="00BD287E" w:rsidRPr="00E64399" w:rsidRDefault="00BD287E" w:rsidP="00BD287E">
      <w:pPr>
        <w:spacing w:after="0"/>
        <w:ind w:firstLine="720"/>
        <w:jc w:val="both"/>
        <w:rPr>
          <w:rFonts w:ascii="Arial" w:eastAsia="Times New Roman" w:hAnsi="Arial" w:cs="Arial"/>
          <w:noProof/>
          <w:sz w:val="24"/>
          <w:szCs w:val="24"/>
          <w:lang w:val="mn-MN"/>
        </w:rPr>
      </w:pPr>
    </w:p>
    <w:p w14:paraId="2DEC8CF7" w14:textId="77777777" w:rsidR="00BD287E" w:rsidRPr="00E64399" w:rsidRDefault="00BD287E" w:rsidP="00BD287E">
      <w:pPr>
        <w:spacing w:after="0"/>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Иргэдийн Нийтийн Хурлын ирцийн босго </w:t>
      </w:r>
      <w:r w:rsidRPr="00E64399">
        <w:rPr>
          <w:rFonts w:ascii="Arial" w:eastAsia="Times New Roman" w:hAnsi="Arial" w:cs="Arial"/>
          <w:noProof/>
          <w:sz w:val="24"/>
          <w:szCs w:val="24"/>
          <w:lang w:val="mn-MN"/>
        </w:rPr>
        <w:tab/>
      </w:r>
      <w:r w:rsidRPr="00E64399">
        <w:rPr>
          <w:rFonts w:ascii="Arial" w:eastAsia="Times New Roman" w:hAnsi="Arial" w:cs="Arial"/>
          <w:noProof/>
          <w:sz w:val="24"/>
          <w:szCs w:val="24"/>
          <w:lang w:val="mn-MN"/>
        </w:rPr>
        <w:tab/>
      </w:r>
      <w:r w:rsidRPr="00E64399">
        <w:rPr>
          <w:rFonts w:ascii="Arial" w:eastAsia="Times New Roman" w:hAnsi="Arial" w:cs="Arial"/>
          <w:noProof/>
          <w:sz w:val="24"/>
          <w:szCs w:val="24"/>
          <w:lang w:val="mn-MN"/>
        </w:rPr>
        <w:tab/>
      </w:r>
      <w:r w:rsidRPr="00E64399">
        <w:rPr>
          <w:rFonts w:ascii="Arial" w:eastAsia="Times New Roman" w:hAnsi="Arial" w:cs="Arial"/>
          <w:noProof/>
          <w:sz w:val="24"/>
          <w:szCs w:val="24"/>
          <w:lang w:val="mn-MN"/>
        </w:rPr>
        <w:tab/>
      </w:r>
      <w:r w:rsidRPr="00E64399">
        <w:rPr>
          <w:rFonts w:ascii="Arial" w:eastAsia="Times New Roman" w:hAnsi="Arial" w:cs="Arial"/>
          <w:noProof/>
          <w:sz w:val="24"/>
          <w:szCs w:val="24"/>
          <w:lang w:val="mn-MN"/>
        </w:rPr>
        <w:tab/>
        <w:t xml:space="preserve">       хүснэгт 1</w:t>
      </w:r>
    </w:p>
    <w:tbl>
      <w:tblPr>
        <w:tblStyle w:val="TableGrid"/>
        <w:tblW w:w="0" w:type="auto"/>
        <w:tblLook w:val="04A0" w:firstRow="1" w:lastRow="0" w:firstColumn="1" w:lastColumn="0" w:noHBand="0" w:noVBand="1"/>
      </w:tblPr>
      <w:tblGrid>
        <w:gridCol w:w="2263"/>
        <w:gridCol w:w="2552"/>
        <w:gridCol w:w="4673"/>
      </w:tblGrid>
      <w:tr w:rsidR="00BD287E" w:rsidRPr="00E64399" w14:paraId="0B7EE4F7" w14:textId="77777777" w:rsidTr="005725EA">
        <w:trPr>
          <w:trHeight w:val="805"/>
        </w:trPr>
        <w:tc>
          <w:tcPr>
            <w:tcW w:w="2263" w:type="dxa"/>
          </w:tcPr>
          <w:p w14:paraId="66E8B72B" w14:textId="77777777" w:rsidR="00BD287E" w:rsidRPr="00E64399" w:rsidRDefault="00BD287E" w:rsidP="005725EA">
            <w:pPr>
              <w:jc w:val="both"/>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Сонгуулийн насны иргэдийн тоо</w:t>
            </w:r>
          </w:p>
        </w:tc>
        <w:tc>
          <w:tcPr>
            <w:tcW w:w="2552" w:type="dxa"/>
          </w:tcPr>
          <w:p w14:paraId="08C7EBDA" w14:textId="77777777" w:rsidR="00BD287E" w:rsidRPr="00E64399" w:rsidRDefault="00BD287E" w:rsidP="005725EA">
            <w:pPr>
              <w:jc w:val="both"/>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Ирцийн доод хэмжээ</w:t>
            </w:r>
          </w:p>
        </w:tc>
        <w:tc>
          <w:tcPr>
            <w:tcW w:w="4673" w:type="dxa"/>
          </w:tcPr>
          <w:p w14:paraId="78AFCE01" w14:textId="77777777" w:rsidR="00BD287E" w:rsidRPr="00E64399" w:rsidRDefault="00BD287E" w:rsidP="005725EA">
            <w:pPr>
              <w:jc w:val="both"/>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 xml:space="preserve">Тайлбар </w:t>
            </w:r>
          </w:p>
        </w:tc>
      </w:tr>
      <w:tr w:rsidR="00BD287E" w:rsidRPr="00E64399" w14:paraId="6555D6D7" w14:textId="77777777" w:rsidTr="005725EA">
        <w:tc>
          <w:tcPr>
            <w:tcW w:w="2263" w:type="dxa"/>
          </w:tcPr>
          <w:p w14:paraId="1E22A116"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500 хүртэл</w:t>
            </w:r>
          </w:p>
        </w:tc>
        <w:tc>
          <w:tcPr>
            <w:tcW w:w="2552" w:type="dxa"/>
          </w:tcPr>
          <w:p w14:paraId="318A9C2A"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Сонгуулийн насны иргэдийн 10 хувь</w:t>
            </w:r>
          </w:p>
        </w:tc>
        <w:tc>
          <w:tcPr>
            <w:tcW w:w="4673" w:type="dxa"/>
          </w:tcPr>
          <w:p w14:paraId="2D95C290"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Хүн ам багатай баг, хороонд иргэний төлөөлөх чадварыг хангана. Багуудын хүн амын медиан дундаж нь 650-750 тул багуудын тал хувь нь энэ хүрээнд хамаарна.</w:t>
            </w:r>
          </w:p>
        </w:tc>
      </w:tr>
      <w:tr w:rsidR="00BD287E" w:rsidRPr="00E64399" w14:paraId="311C314D" w14:textId="77777777" w:rsidTr="005725EA">
        <w:tc>
          <w:tcPr>
            <w:tcW w:w="2263" w:type="dxa"/>
          </w:tcPr>
          <w:p w14:paraId="291FEFB7"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501-3000</w:t>
            </w:r>
          </w:p>
        </w:tc>
        <w:tc>
          <w:tcPr>
            <w:tcW w:w="2552" w:type="dxa"/>
          </w:tcPr>
          <w:p w14:paraId="493C11C0"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Сонгуулийн насны иргэдийн 5 хувь</w:t>
            </w:r>
          </w:p>
        </w:tc>
        <w:tc>
          <w:tcPr>
            <w:tcW w:w="4673" w:type="dxa"/>
          </w:tcPr>
          <w:p w14:paraId="2081DD86"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Дундаж баг, хороонд тохиромжтой. 2500 сонгогчтой баг, хороонд 125 иргэн ирсэнээр ирц бүрдэх боломжтой</w:t>
            </w:r>
          </w:p>
        </w:tc>
      </w:tr>
      <w:tr w:rsidR="00BD287E" w:rsidRPr="00E64399" w14:paraId="17AE51BB" w14:textId="77777777" w:rsidTr="005725EA">
        <w:tc>
          <w:tcPr>
            <w:tcW w:w="2263" w:type="dxa"/>
          </w:tcPr>
          <w:p w14:paraId="219C25B9"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3001-6000</w:t>
            </w:r>
          </w:p>
        </w:tc>
        <w:tc>
          <w:tcPr>
            <w:tcW w:w="2552" w:type="dxa"/>
          </w:tcPr>
          <w:p w14:paraId="7E60005F"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Сонгуулийн насны иргэдийн 3 хувь</w:t>
            </w:r>
          </w:p>
        </w:tc>
        <w:tc>
          <w:tcPr>
            <w:tcW w:w="4673" w:type="dxa"/>
          </w:tcPr>
          <w:p w14:paraId="43FB385E"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Том баг, хорооны идэвхтэй оролцоог дэмжинэ. </w:t>
            </w:r>
          </w:p>
        </w:tc>
      </w:tr>
      <w:tr w:rsidR="00BD287E" w:rsidRPr="00E64399" w14:paraId="28613D38" w14:textId="77777777" w:rsidTr="005725EA">
        <w:tc>
          <w:tcPr>
            <w:tcW w:w="2263" w:type="dxa"/>
          </w:tcPr>
          <w:p w14:paraId="158235C6"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6001-ээс дээш </w:t>
            </w:r>
          </w:p>
        </w:tc>
        <w:tc>
          <w:tcPr>
            <w:tcW w:w="2552" w:type="dxa"/>
          </w:tcPr>
          <w:p w14:paraId="3F55A14E"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250-аас доошгүй иргэн</w:t>
            </w:r>
          </w:p>
        </w:tc>
        <w:tc>
          <w:tcPr>
            <w:tcW w:w="4673" w:type="dxa"/>
          </w:tcPr>
          <w:p w14:paraId="531A05E6" w14:textId="77777777" w:rsidR="00BD287E" w:rsidRPr="00E64399" w:rsidRDefault="00BD287E" w:rsidP="005725EA">
            <w:pPr>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Томоохон баг, хорооны нөөц боломжийг харгалзсан. Хороодын хүн амын медиан дундаж 7200 тул хороодын тал хувь нь энэ хүрээнд хамаарна.</w:t>
            </w:r>
          </w:p>
        </w:tc>
      </w:tr>
    </w:tbl>
    <w:p w14:paraId="35766011" w14:textId="77777777" w:rsidR="00BD287E" w:rsidRPr="00E64399" w:rsidRDefault="00BD287E" w:rsidP="00BD287E">
      <w:pPr>
        <w:pStyle w:val="NormalWeb"/>
        <w:spacing w:before="0" w:beforeAutospacing="0" w:after="0" w:afterAutospacing="0"/>
        <w:ind w:firstLine="720"/>
        <w:jc w:val="both"/>
        <w:rPr>
          <w:rFonts w:ascii="Arial" w:hAnsi="Arial" w:cs="Arial"/>
          <w:noProof/>
          <w:lang w:val="mn-MN"/>
        </w:rPr>
      </w:pPr>
    </w:p>
    <w:p w14:paraId="19503409" w14:textId="77777777" w:rsidR="00BD287E" w:rsidRPr="00E64399" w:rsidRDefault="00BD287E" w:rsidP="00BD287E">
      <w:pPr>
        <w:pStyle w:val="NormalWeb"/>
        <w:spacing w:before="0" w:beforeAutospacing="0" w:after="0" w:afterAutospacing="0"/>
        <w:ind w:firstLine="720"/>
        <w:jc w:val="both"/>
        <w:rPr>
          <w:rFonts w:ascii="Arial" w:hAnsi="Arial" w:cs="Arial"/>
          <w:noProof/>
          <w:lang w:val="mn-MN"/>
        </w:rPr>
      </w:pPr>
      <w:r w:rsidRPr="00E64399">
        <w:rPr>
          <w:rFonts w:ascii="Arial" w:hAnsi="Arial" w:cs="Arial"/>
          <w:noProof/>
          <w:lang w:val="mn-MN"/>
        </w:rPr>
        <w:t xml:space="preserve">ИНХ нь даргатай, ажлын албатай буюу Иргэний танхимтай байж болох зохицуулалтыг мөн тусгалаа. ИНХ нь даргатай болсноор ИНХ-ыг зарлах, хуралдуулах, даргалах, хурлын шийдвэрийг баталгаажуулах, үйл ажиллагааны зохион байгуулалтыг хангах үүрэгтэй байна. Ингэснээр гүйцэтгэх удирдлага болох хорооны Засаг дарга нь ИНХ-ын үйл ажиллагаанд оролцохгүй, иргэдийн төлөөллийн байгууллагын бие даасан байдлыг хангах эрх зүйн орчин бүрдэнэ. </w:t>
      </w:r>
    </w:p>
    <w:p w14:paraId="34E8F82A" w14:textId="77777777" w:rsidR="00BD287E" w:rsidRPr="00E64399" w:rsidRDefault="00BD287E" w:rsidP="00BD287E">
      <w:pPr>
        <w:pStyle w:val="NormalWeb"/>
        <w:spacing w:before="0" w:beforeAutospacing="0" w:after="0" w:afterAutospacing="0"/>
        <w:ind w:firstLine="720"/>
        <w:jc w:val="both"/>
        <w:rPr>
          <w:rFonts w:ascii="Arial" w:hAnsi="Arial" w:cs="Arial"/>
          <w:noProof/>
          <w:lang w:val="mn-MN"/>
        </w:rPr>
      </w:pPr>
      <w:r w:rsidRPr="00E64399">
        <w:rPr>
          <w:rFonts w:ascii="Arial" w:hAnsi="Arial" w:cs="Arial"/>
          <w:noProof/>
          <w:lang w:val="mn-MN"/>
        </w:rPr>
        <w:t xml:space="preserve">ИНХ нь 5-11 гишүүн бүхий тэргүүлэгчтэй байх бөгөөд тэргүүлэгч нь хуралдааны чөлөөт цагт зохион байгуулалтын ажлыг гүйцэтгэх чиг үүрэгтэй байхаар зохицуулсан болно. ИНХ-ын чөлөөт цагт ажлын алба буюу Иргэний танхим болон тэргүүлэгчид нь зохион байгуулалтын ажлыг хариуцан зохион байгуулж, иргэдийн санал хүсэлтийг сонгох, хэвийн ажиллагааг хангах боломж бүрдэнэ. </w:t>
      </w:r>
    </w:p>
    <w:p w14:paraId="68853441" w14:textId="77777777" w:rsidR="00BD287E" w:rsidRPr="00E64399" w:rsidRDefault="00BD287E" w:rsidP="00BD287E">
      <w:pPr>
        <w:pStyle w:val="NormalWeb"/>
        <w:spacing w:before="0" w:beforeAutospacing="0" w:after="0" w:afterAutospacing="0"/>
        <w:ind w:firstLine="720"/>
        <w:jc w:val="both"/>
        <w:rPr>
          <w:rFonts w:ascii="Arial" w:hAnsi="Arial" w:cs="Arial"/>
          <w:noProof/>
          <w:lang w:val="mn-MN"/>
        </w:rPr>
      </w:pPr>
      <w:r w:rsidRPr="00E64399">
        <w:rPr>
          <w:rFonts w:ascii="Arial" w:hAnsi="Arial" w:cs="Arial"/>
          <w:noProof/>
          <w:lang w:val="mn-MN"/>
        </w:rPr>
        <w:t xml:space="preserve">Түүнчлэн ИНХ-ын хуралдааныг гэнэт зарлаж хуралдуулдаг биш, харин тухайн жилийн эхний сард хурлын товыг баталж, иргэдэд мэдээлдэг байх зохицуулалтыг </w:t>
      </w:r>
      <w:r w:rsidRPr="00E64399">
        <w:rPr>
          <w:rFonts w:ascii="Arial" w:hAnsi="Arial" w:cs="Arial"/>
          <w:noProof/>
          <w:lang w:val="mn-MN"/>
        </w:rPr>
        <w:lastRenderedPageBreak/>
        <w:t xml:space="preserve">тусгалаа. Хурлын тов тодорхой бус, гүйцэтгэх удирдлагаас хамаардаг байсны улмаас иргэд мэдээллээс холдож, ИНХ-ын хуралдаанд оролцож чадахгүй байх нөхцөл бүрдээд байсан юм. </w:t>
      </w:r>
    </w:p>
    <w:p w14:paraId="59328903" w14:textId="77777777" w:rsidR="00BD287E" w:rsidRPr="00E64399" w:rsidRDefault="00BD287E" w:rsidP="00BD287E">
      <w:pPr>
        <w:pStyle w:val="NormalWeb"/>
        <w:spacing w:before="0" w:beforeAutospacing="0" w:after="0" w:afterAutospacing="0"/>
        <w:ind w:firstLine="720"/>
        <w:jc w:val="both"/>
        <w:rPr>
          <w:rFonts w:ascii="Arial" w:hAnsi="Arial" w:cs="Arial"/>
          <w:noProof/>
          <w:lang w:val="mn-MN"/>
        </w:rPr>
      </w:pPr>
      <w:r w:rsidRPr="00E64399">
        <w:rPr>
          <w:rFonts w:ascii="Arial" w:hAnsi="Arial" w:cs="Arial"/>
          <w:noProof/>
          <w:lang w:val="mn-MN"/>
        </w:rPr>
        <w:t xml:space="preserve">Баг, хорооны Засаг даргад нэр дэвшүүлэх ажиллагааг ил тод, чөлөөтэй, тэгш, нууц санал хураалтын зарчимд үндэслэн зохион байгуулж, иргэдийн Нийтийн Хурлаар нээлттэй хэлэлцэх, тухайн баг, хороонд бүртгэлтэй, сонгуулийн насны иргэд санал өгөх эрхтэй байх зохицуулалтыг тусгалаа. </w:t>
      </w:r>
    </w:p>
    <w:p w14:paraId="02BF2B69" w14:textId="77777777" w:rsidR="00BD287E" w:rsidRPr="00E64399" w:rsidRDefault="00BD287E" w:rsidP="00BD287E">
      <w:pPr>
        <w:pStyle w:val="NormalWeb"/>
        <w:spacing w:before="0" w:beforeAutospacing="0" w:after="0" w:afterAutospacing="0"/>
        <w:ind w:firstLine="720"/>
        <w:jc w:val="both"/>
        <w:rPr>
          <w:rFonts w:ascii="Arial" w:hAnsi="Arial" w:cs="Arial"/>
          <w:noProof/>
          <w:lang w:val="mn-MN"/>
        </w:rPr>
      </w:pPr>
      <w:r w:rsidRPr="00E64399">
        <w:rPr>
          <w:rFonts w:ascii="Arial" w:hAnsi="Arial" w:cs="Arial"/>
          <w:noProof/>
          <w:lang w:val="mn-MN"/>
        </w:rPr>
        <w:t xml:space="preserve">Түүнчлэн тус хуулийн 56.4.1-д хорооны Засаг даргад нэр дэвшигч нь дээд боловсролтой байх, багийн Засаг дарга нь бүрэн дундаас дээш боловсролтой байх шаардлага тавьж байгаа нь иргэдийг мэргэжил боловсролоор ялгаварлан гадуурхсан заалт болсоноос гадна дээд боловсролтой хүний нөөцийн хүрэлцээгүй байдлын улмаас бодит байдалтай нийцэхгүй байгаа юм. Иймд Үндсэн хуулийн суурь зарчмыг баримтлан, баг, хорооны Засаг даргад нэр дэвшигчийг бүрэн дундаас дээш боловсролтой байхаар өөрчлөлт оруулахаар тусгалаа. </w:t>
      </w:r>
    </w:p>
    <w:p w14:paraId="7AF0FD29" w14:textId="77777777" w:rsidR="00BD287E" w:rsidRPr="00E64399" w:rsidRDefault="00BD287E" w:rsidP="00BD287E">
      <w:pPr>
        <w:pStyle w:val="NormalWeb"/>
        <w:spacing w:before="0" w:beforeAutospacing="0" w:after="0" w:afterAutospacing="0"/>
        <w:ind w:firstLine="720"/>
        <w:jc w:val="both"/>
        <w:rPr>
          <w:rFonts w:ascii="Arial" w:hAnsi="Arial" w:cs="Arial"/>
          <w:noProof/>
          <w:lang w:val="mn-MN"/>
        </w:rPr>
      </w:pPr>
      <w:r w:rsidRPr="00E64399">
        <w:rPr>
          <w:rFonts w:ascii="Arial" w:hAnsi="Arial" w:cs="Arial"/>
          <w:noProof/>
          <w:lang w:val="mn-MN"/>
        </w:rPr>
        <w:t xml:space="preserve">32 дугаар зүйлийг шинэчлэн найруулсантай холбогдуулан 56 дугаар зүйлийн 56.5-ын 56.5.1, 56.5.2 дахь хэсгүүдэд баг, хорооны Засаг даргад нэр дэвшүүлэхдээ бүрэн дундаас дээш боловсролтой, иргэдийн Нийтийн Хурлын санал хураалтаар хамгийн олон санал авсан хүнийг нэр дэвшүүлэх зохицуулалтыг оруулсан болно. </w:t>
      </w:r>
    </w:p>
    <w:p w14:paraId="0A2CF993" w14:textId="77777777" w:rsidR="00BD287E" w:rsidRPr="00E64399" w:rsidRDefault="00BD287E" w:rsidP="00BD287E">
      <w:pPr>
        <w:spacing w:after="0" w:line="240" w:lineRule="auto"/>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Тус хуулийн 32 дугаар зүйлийг шинэчлэн найруулсан нэмэлт, өөрчлөлтийн төсөл батлагдсанаар баг, хороодын Иргэдийн Нийтийн Хурлын үйл ажиллагаа тогтмолжиж иргэдийн төрийн шийдвэр гаргах түвшинд оролцох оролцоо нэмэгдэж шууд ардчилал бэхжих юм. Баг, хорооны Засаг даргыг иргэдийн оролцоотой нэр дэвшүүлэх замаар хариуцлагын тогтолцоог сайжруулах боломж бүрдэнэ. Мөн орон нутгийн хөгжлийн сангийн хөрөнгийг үр ашигтай зарцуулах, хяналт тавих, баг, хорооны иргэдийн Нийтийн Хурлаар асуудал шийдвэрлэдэг 14 хуулийн хэрэгжилтийг хангах ач холбогдолтой болно. </w:t>
      </w:r>
    </w:p>
    <w:p w14:paraId="7A6F2130" w14:textId="77777777" w:rsidR="00BD287E" w:rsidRPr="00E64399" w:rsidRDefault="00BD287E" w:rsidP="00BD287E">
      <w:pPr>
        <w:spacing w:after="0" w:line="240" w:lineRule="auto"/>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32.16-д "олгож болно" гэсэн факультатив хэлбэрийг хэрэглэсэн нь хуулийн зохистой шийдэл. Хурлын даргын урамшуулал олгох эсэхийг тухайн шатны ИТХ өөрөө шийдвэрлэх тул улсын болон орон нутгийн төсөвт заавал ачаалал үүсгэхгүй.ал олгохоор тооцсон бөгөөд жилд улсын хэмжээнд 16.2 тэрбум төгрөг зарцуулагдахаар байна. Үүний 87.7% нь орон нутгийн багийн, 12.3% нь нийслэлийн хорооны хөгжлийг дэмжихэд зарцуулагдана.</w:t>
      </w:r>
    </w:p>
    <w:p w14:paraId="145935C3" w14:textId="77777777" w:rsidR="00BD287E" w:rsidRPr="00E64399" w:rsidRDefault="00BD287E" w:rsidP="00BD287E">
      <w:pPr>
        <w:spacing w:after="0" w:line="240" w:lineRule="auto"/>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Хуулийн төсөл нь шууд ардчиллыг бэхжүүлж, иргэдийн оролцоог нэмэгдүүлэхийн зэрэгцээ улсын төсөвт шинэ заавал зардал үүсгэхгүй байхаар зохион байгуулагдсан — 32.16-ийн факультатив урамшуулалын заалт болон ажлын албаны одоо байгаа төсвөөс санхүүжих зохицуулалт нь иймд чиглэсэн. юм. Мөн ИНХ-ын үйл ажиллагаа тогтмолжиж, "үүрэг гүйцэтгэгч" Засаг дарга нарыг хууль ёсны дагуу нэр дэвшүүлж, томилон, иргэний хяналттай, хариуцлагатай засаглалыг төлөвшүүлэх суурь эрх зүйн орчин болно. Хуралдааны үйл ажиллагаанд цахим оролцоог нэмэгдүүлсэнээр ИНХ-ын шийдвэр бүр иргэдэд нээлттэй болж, авлига, ашиг сонирхлын зөрчлөөс сэргийлэх шууд үр дагавар үүсгэнэ. </w:t>
      </w:r>
    </w:p>
    <w:p w14:paraId="3D702F1D" w14:textId="77777777" w:rsidR="00BD287E" w:rsidRPr="00E64399" w:rsidRDefault="00BD287E" w:rsidP="00BD287E">
      <w:pPr>
        <w:spacing w:after="0" w:line="240" w:lineRule="auto"/>
        <w:ind w:firstLine="720"/>
        <w:jc w:val="both"/>
        <w:rPr>
          <w:rFonts w:ascii="Arial" w:eastAsia="Times New Roman" w:hAnsi="Arial" w:cs="Arial"/>
          <w:noProof/>
          <w:sz w:val="24"/>
          <w:szCs w:val="24"/>
          <w:lang w:val="mn-MN"/>
        </w:rPr>
      </w:pPr>
    </w:p>
    <w:p w14:paraId="13CC4AFF" w14:textId="77777777" w:rsidR="00BD287E" w:rsidRPr="00E64399" w:rsidRDefault="00BD287E" w:rsidP="00BD287E">
      <w:pPr>
        <w:spacing w:after="0" w:line="240" w:lineRule="auto"/>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Хуулийн зохицуулалтын харьцуулалт </w:t>
      </w:r>
      <w:r w:rsidRPr="00E64399">
        <w:rPr>
          <w:rFonts w:ascii="Arial" w:eastAsia="Times New Roman" w:hAnsi="Arial" w:cs="Arial"/>
          <w:noProof/>
          <w:sz w:val="24"/>
          <w:szCs w:val="24"/>
          <w:lang w:val="mn-MN"/>
        </w:rPr>
        <w:tab/>
      </w:r>
      <w:r w:rsidRPr="00E64399">
        <w:rPr>
          <w:rFonts w:ascii="Arial" w:eastAsia="Times New Roman" w:hAnsi="Arial" w:cs="Arial"/>
          <w:noProof/>
          <w:sz w:val="24"/>
          <w:szCs w:val="24"/>
          <w:lang w:val="mn-MN"/>
        </w:rPr>
        <w:tab/>
      </w:r>
      <w:r w:rsidRPr="00E64399">
        <w:rPr>
          <w:rFonts w:ascii="Arial" w:eastAsia="Times New Roman" w:hAnsi="Arial" w:cs="Arial"/>
          <w:noProof/>
          <w:sz w:val="24"/>
          <w:szCs w:val="24"/>
          <w:lang w:val="mn-MN"/>
        </w:rPr>
        <w:tab/>
      </w:r>
      <w:r w:rsidRPr="00E64399">
        <w:rPr>
          <w:rFonts w:ascii="Arial" w:eastAsia="Times New Roman" w:hAnsi="Arial" w:cs="Arial"/>
          <w:noProof/>
          <w:sz w:val="24"/>
          <w:szCs w:val="24"/>
          <w:lang w:val="mn-MN"/>
        </w:rPr>
        <w:tab/>
      </w:r>
      <w:r w:rsidRPr="00E64399">
        <w:rPr>
          <w:rFonts w:ascii="Arial" w:eastAsia="Times New Roman" w:hAnsi="Arial" w:cs="Arial"/>
          <w:noProof/>
          <w:sz w:val="24"/>
          <w:szCs w:val="24"/>
          <w:lang w:val="mn-MN"/>
        </w:rPr>
        <w:tab/>
        <w:t xml:space="preserve">       хүснэгт 2</w:t>
      </w:r>
    </w:p>
    <w:tbl>
      <w:tblPr>
        <w:tblW w:w="902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14"/>
        <w:gridCol w:w="2835"/>
        <w:gridCol w:w="3377"/>
      </w:tblGrid>
      <w:tr w:rsidR="00BD287E" w:rsidRPr="00E64399" w14:paraId="4721AABF"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1F65DBDA" w14:textId="77777777" w:rsidR="00BD287E" w:rsidRPr="00E64399" w:rsidRDefault="00BD287E" w:rsidP="005725EA">
            <w:pPr>
              <w:jc w:val="both"/>
              <w:rPr>
                <w:rFonts w:ascii="Arial" w:hAnsi="Arial" w:cs="Arial"/>
                <w:noProof/>
                <w:sz w:val="24"/>
                <w:szCs w:val="24"/>
                <w:lang w:val="mn-MN"/>
              </w:rPr>
            </w:pPr>
            <w:r w:rsidRPr="00E64399">
              <w:rPr>
                <w:rFonts w:ascii="Arial" w:hAnsi="Arial" w:cs="Arial"/>
                <w:b/>
                <w:bCs/>
                <w:noProof/>
                <w:sz w:val="24"/>
                <w:szCs w:val="24"/>
                <w:lang w:val="mn-MN"/>
              </w:rPr>
              <w:t>Одоогийн зохицуулалт</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1AFEB0D" w14:textId="77777777" w:rsidR="00BD287E" w:rsidRPr="00E64399" w:rsidRDefault="00BD287E" w:rsidP="005725EA">
            <w:pPr>
              <w:jc w:val="both"/>
              <w:rPr>
                <w:rFonts w:ascii="Arial" w:hAnsi="Arial" w:cs="Arial"/>
                <w:noProof/>
                <w:sz w:val="24"/>
                <w:szCs w:val="24"/>
                <w:lang w:val="mn-MN"/>
              </w:rPr>
            </w:pPr>
            <w:r w:rsidRPr="00E64399">
              <w:rPr>
                <w:rFonts w:ascii="Arial" w:hAnsi="Arial" w:cs="Arial"/>
                <w:b/>
                <w:bCs/>
                <w:noProof/>
                <w:sz w:val="24"/>
                <w:szCs w:val="24"/>
                <w:lang w:val="mn-MN"/>
              </w:rPr>
              <w:t>Хуулийн төслийн зохицуулалт</w:t>
            </w:r>
          </w:p>
        </w:tc>
        <w:tc>
          <w:tcPr>
            <w:tcW w:w="33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D915AE" w14:textId="77777777" w:rsidR="00BD287E" w:rsidRPr="00E64399" w:rsidRDefault="00BD287E" w:rsidP="005725EA">
            <w:pPr>
              <w:jc w:val="both"/>
              <w:rPr>
                <w:rFonts w:ascii="Arial" w:hAnsi="Arial" w:cs="Arial"/>
                <w:noProof/>
                <w:sz w:val="24"/>
                <w:szCs w:val="24"/>
                <w:lang w:val="mn-MN"/>
              </w:rPr>
            </w:pPr>
            <w:r w:rsidRPr="00E64399">
              <w:rPr>
                <w:rFonts w:ascii="Arial" w:hAnsi="Arial" w:cs="Arial"/>
                <w:b/>
                <w:bCs/>
                <w:noProof/>
                <w:sz w:val="24"/>
                <w:szCs w:val="24"/>
                <w:lang w:val="mn-MN"/>
              </w:rPr>
              <w:t>Өөрчлөлтийн үндэслэл</w:t>
            </w:r>
          </w:p>
        </w:tc>
      </w:tr>
      <w:tr w:rsidR="00BD287E" w:rsidRPr="00E64399" w14:paraId="244118C9"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71A04903"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lastRenderedPageBreak/>
              <w:t>ИНХ-ын хуралдааныг Засаг дарга зарлана — гүйцэтгэх засаглалаас хамааралтай</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D1DD9F3"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ИНХ-ын дарга бие даан зарлана — жилийн эхэнд цаглабар батална</w:t>
            </w:r>
          </w:p>
        </w:tc>
        <w:tc>
          <w:tcPr>
            <w:tcW w:w="33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3EFB71" w14:textId="77777777" w:rsidR="00BD287E" w:rsidRPr="00E64399" w:rsidRDefault="00BD287E" w:rsidP="005725EA">
            <w:pPr>
              <w:jc w:val="both"/>
              <w:rPr>
                <w:rFonts w:ascii="Arial" w:hAnsi="Arial" w:cs="Arial"/>
                <w:i/>
                <w:iCs/>
                <w:noProof/>
                <w:sz w:val="24"/>
                <w:szCs w:val="24"/>
                <w:lang w:val="mn-MN"/>
              </w:rPr>
            </w:pPr>
            <w:r w:rsidRPr="00E64399">
              <w:rPr>
                <w:rFonts w:ascii="Arial" w:hAnsi="Arial" w:cs="Arial"/>
                <w:i/>
                <w:iCs/>
                <w:noProof/>
                <w:sz w:val="24"/>
                <w:szCs w:val="24"/>
                <w:lang w:val="mn-MN"/>
              </w:rPr>
              <w:t>Нутгийн өөрөө удирдах ёсны бие даасан байдлыг хангана</w:t>
            </w:r>
          </w:p>
        </w:tc>
      </w:tr>
      <w:tr w:rsidR="00BD287E" w:rsidRPr="00E64399" w14:paraId="100B1EFA"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70609EE0"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"Хуралдааны дарга" — байнгын статусгүй, урамшуулалгүй</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5BBD8A2"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ИНХ-ын дарга — Засаг даргын цалингийн 50% урамшуулалтай</w:t>
            </w:r>
          </w:p>
        </w:tc>
        <w:tc>
          <w:tcPr>
            <w:tcW w:w="33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729000" w14:textId="77777777" w:rsidR="00BD287E" w:rsidRPr="00E64399" w:rsidRDefault="00BD287E" w:rsidP="005725EA">
            <w:pPr>
              <w:jc w:val="both"/>
              <w:rPr>
                <w:rFonts w:ascii="Arial" w:hAnsi="Arial" w:cs="Arial"/>
                <w:noProof/>
                <w:sz w:val="24"/>
                <w:szCs w:val="24"/>
                <w:lang w:val="mn-MN"/>
              </w:rPr>
            </w:pPr>
            <w:r w:rsidRPr="00E64399">
              <w:rPr>
                <w:rFonts w:ascii="Arial" w:hAnsi="Arial" w:cs="Arial"/>
                <w:i/>
                <w:iCs/>
                <w:noProof/>
                <w:sz w:val="24"/>
                <w:szCs w:val="24"/>
                <w:lang w:val="mn-MN"/>
              </w:rPr>
              <w:t>Ажиллах хүн олдохгүй байх практик асуудлыг шийднэ</w:t>
            </w:r>
          </w:p>
        </w:tc>
      </w:tr>
      <w:tr w:rsidR="00BD287E" w:rsidRPr="00E64399" w14:paraId="448CFBB9"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15B02188"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Ирцийн шаардлага нэг хэмжигдэхүүнтэй — жижиг баг, том хороонд адил</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103278A"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4 шатлал: 10% / 5% / 3% / 250 иргэн — хүн амтай уялдсан</w:t>
            </w:r>
          </w:p>
        </w:tc>
        <w:tc>
          <w:tcPr>
            <w:tcW w:w="33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109767" w14:textId="77777777" w:rsidR="00BD287E" w:rsidRPr="00E64399" w:rsidRDefault="00BD287E" w:rsidP="005725EA">
            <w:pPr>
              <w:jc w:val="both"/>
              <w:rPr>
                <w:rFonts w:ascii="Arial" w:hAnsi="Arial" w:cs="Arial"/>
                <w:noProof/>
                <w:sz w:val="24"/>
                <w:szCs w:val="24"/>
                <w:lang w:val="mn-MN"/>
              </w:rPr>
            </w:pPr>
            <w:r w:rsidRPr="00E64399">
              <w:rPr>
                <w:rFonts w:ascii="Arial" w:hAnsi="Arial" w:cs="Arial"/>
                <w:i/>
                <w:iCs/>
                <w:noProof/>
                <w:sz w:val="24"/>
                <w:szCs w:val="24"/>
                <w:lang w:val="mn-MN"/>
              </w:rPr>
              <w:t>Хот, хөдөөгийн онцлогт тохирсон бодит зохицуулалт</w:t>
            </w:r>
          </w:p>
        </w:tc>
      </w:tr>
      <w:tr w:rsidR="00BD287E" w:rsidRPr="00E64399" w14:paraId="387E53F4"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6FA1AF9C"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Зөвхөн танхимын хуралдаан — хөдөлмөрийн насныхан оролцох боломж хязгаарлагдмал</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8DAF7D9"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Цахим болон хосолсон хэлбэр хуульчлагдана.</w:t>
            </w:r>
          </w:p>
        </w:tc>
        <w:tc>
          <w:tcPr>
            <w:tcW w:w="33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630331" w14:textId="77777777" w:rsidR="00BD287E" w:rsidRPr="00E64399" w:rsidRDefault="00BD287E" w:rsidP="005725EA">
            <w:pPr>
              <w:jc w:val="both"/>
              <w:rPr>
                <w:rFonts w:ascii="Arial" w:hAnsi="Arial" w:cs="Arial"/>
                <w:noProof/>
                <w:sz w:val="24"/>
                <w:szCs w:val="24"/>
                <w:lang w:val="mn-MN"/>
              </w:rPr>
            </w:pPr>
            <w:r w:rsidRPr="00E64399">
              <w:rPr>
                <w:rFonts w:ascii="Arial" w:hAnsi="Arial" w:cs="Arial"/>
                <w:i/>
                <w:iCs/>
                <w:noProof/>
                <w:sz w:val="24"/>
                <w:szCs w:val="24"/>
                <w:lang w:val="mn-MN"/>
              </w:rPr>
              <w:t>Баг, хороод боломжоо ашиглан хуралдаан зохион байгуулж, иргэдийн оролцоог нэмэгдүүлнэ.</w:t>
            </w:r>
          </w:p>
        </w:tc>
      </w:tr>
      <w:tr w:rsidR="00BD287E" w:rsidRPr="00E64399" w14:paraId="449F41B6"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616799DF"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Засаг даргад нэр дэвшүүлэх нь Засаг даргын мэдэлд</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E86DEDF"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Бүтэн өдрийн санал хураалт — иргэн бүр оролцох эрхтэй.</w:t>
            </w:r>
          </w:p>
        </w:tc>
        <w:tc>
          <w:tcPr>
            <w:tcW w:w="33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20E933" w14:textId="77777777" w:rsidR="00BD287E" w:rsidRPr="00E64399" w:rsidRDefault="00BD287E" w:rsidP="005725EA">
            <w:pPr>
              <w:jc w:val="both"/>
              <w:rPr>
                <w:rFonts w:ascii="Arial" w:hAnsi="Arial" w:cs="Arial"/>
                <w:noProof/>
                <w:sz w:val="24"/>
                <w:szCs w:val="24"/>
                <w:lang w:val="mn-MN"/>
              </w:rPr>
            </w:pPr>
            <w:r w:rsidRPr="00E64399">
              <w:rPr>
                <w:rFonts w:ascii="Arial" w:hAnsi="Arial" w:cs="Arial"/>
                <w:i/>
                <w:iCs/>
                <w:noProof/>
                <w:sz w:val="24"/>
                <w:szCs w:val="24"/>
                <w:lang w:val="mn-MN"/>
              </w:rPr>
              <w:t>Хариуцлагын тогтолцоо, ил тод байдал сайжирна.</w:t>
            </w:r>
          </w:p>
        </w:tc>
      </w:tr>
      <w:tr w:rsidR="00BD287E" w:rsidRPr="00E64399" w14:paraId="14AFB8E3"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2CA8CA72"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Хорооны Засаг даргад дээд боловсрол, багийн Засаг даргад бүрэн дунд боловсрол шаардана</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26B3D65" w14:textId="77777777" w:rsidR="00BD287E" w:rsidRPr="00E64399" w:rsidRDefault="00BD287E" w:rsidP="005725EA">
            <w:pPr>
              <w:jc w:val="both"/>
              <w:rPr>
                <w:rFonts w:ascii="Arial" w:hAnsi="Arial" w:cs="Arial"/>
                <w:noProof/>
                <w:sz w:val="24"/>
                <w:szCs w:val="24"/>
                <w:lang w:val="mn-MN"/>
              </w:rPr>
            </w:pPr>
            <w:r w:rsidRPr="00E64399">
              <w:rPr>
                <w:rFonts w:ascii="Arial" w:hAnsi="Arial" w:cs="Arial"/>
                <w:noProof/>
                <w:sz w:val="24"/>
                <w:szCs w:val="24"/>
                <w:lang w:val="mn-MN"/>
              </w:rPr>
              <w:t>Баг, хорооны Засаг даргад аль алинд бүрэн дундаас дээш боловсрол</w:t>
            </w:r>
          </w:p>
        </w:tc>
        <w:tc>
          <w:tcPr>
            <w:tcW w:w="337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1F3E8E" w14:textId="77777777" w:rsidR="00BD287E" w:rsidRPr="00E64399" w:rsidRDefault="00BD287E" w:rsidP="005725EA">
            <w:pPr>
              <w:jc w:val="both"/>
              <w:rPr>
                <w:rFonts w:ascii="Arial" w:hAnsi="Arial" w:cs="Arial"/>
                <w:noProof/>
                <w:sz w:val="24"/>
                <w:szCs w:val="24"/>
                <w:lang w:val="mn-MN"/>
              </w:rPr>
            </w:pPr>
            <w:r w:rsidRPr="00E64399">
              <w:rPr>
                <w:rFonts w:ascii="Arial" w:hAnsi="Arial" w:cs="Arial"/>
                <w:i/>
                <w:iCs/>
                <w:noProof/>
                <w:sz w:val="24"/>
                <w:szCs w:val="24"/>
                <w:lang w:val="mn-MN"/>
              </w:rPr>
              <w:t>Тэгш бус шаардлагыг Үндсэн хуулийн зарчимд нийцүүлнэ</w:t>
            </w:r>
          </w:p>
        </w:tc>
      </w:tr>
    </w:tbl>
    <w:p w14:paraId="34549423" w14:textId="77777777" w:rsidR="00BD287E" w:rsidRPr="00E64399" w:rsidRDefault="00BD287E" w:rsidP="00BD287E">
      <w:pPr>
        <w:spacing w:after="0" w:line="240" w:lineRule="auto"/>
        <w:ind w:firstLine="720"/>
        <w:jc w:val="both"/>
        <w:rPr>
          <w:rFonts w:ascii="Arial" w:eastAsia="Times New Roman" w:hAnsi="Arial" w:cs="Arial"/>
          <w:noProof/>
          <w:sz w:val="24"/>
          <w:szCs w:val="24"/>
          <w:lang w:val="mn-MN"/>
        </w:rPr>
      </w:pPr>
    </w:p>
    <w:p w14:paraId="2BC3DAFB" w14:textId="77777777" w:rsidR="00BD287E" w:rsidRDefault="00BD287E" w:rsidP="00BD287E">
      <w:pPr>
        <w:spacing w:before="60" w:after="60"/>
        <w:ind w:firstLine="720"/>
        <w:jc w:val="both"/>
        <w:rPr>
          <w:rFonts w:ascii="Arial" w:eastAsia="Times New Roman" w:hAnsi="Arial" w:cs="Arial"/>
          <w:noProof/>
          <w:sz w:val="24"/>
          <w:szCs w:val="24"/>
          <w:lang w:val="mn-MN"/>
        </w:rPr>
      </w:pPr>
      <w:r w:rsidRPr="00E64399">
        <w:rPr>
          <w:rFonts w:ascii="Arial" w:hAnsi="Arial" w:cs="Arial"/>
          <w:noProof/>
          <w:color w:val="000000"/>
          <w:sz w:val="24"/>
          <w:szCs w:val="24"/>
          <w:lang w:val="mn-MN"/>
        </w:rPr>
        <w:t>Энэхүү хуулийн нэмэлт, өөрчлөлт нь Монгол Улсын засаг захиргааны анхан шатны нэгжийн засаглалыг "хямра</w:t>
      </w:r>
      <w:bookmarkStart w:id="0" w:name="_GoBack"/>
      <w:bookmarkEnd w:id="0"/>
      <w:r w:rsidRPr="00E64399">
        <w:rPr>
          <w:rFonts w:ascii="Arial" w:hAnsi="Arial" w:cs="Arial"/>
          <w:noProof/>
          <w:color w:val="000000"/>
          <w:sz w:val="24"/>
          <w:szCs w:val="24"/>
          <w:lang w:val="mn-MN"/>
        </w:rPr>
        <w:t>л"-аас гаргаж, иргэдийн өөрөө удирдах ёсыг бодитоор хэрэгжүүлэх суурь эрх зүйн орчин болно.</w:t>
      </w:r>
      <w:r w:rsidRPr="00E64399">
        <w:rPr>
          <w:rFonts w:ascii="Arial" w:eastAsia="Times New Roman" w:hAnsi="Arial" w:cs="Arial"/>
          <w:noProof/>
          <w:sz w:val="24"/>
          <w:szCs w:val="24"/>
          <w:lang w:val="mn-MN"/>
        </w:rPr>
        <w:t xml:space="preserve"> </w:t>
      </w:r>
    </w:p>
    <w:p w14:paraId="13B4A7FA" w14:textId="77777777" w:rsidR="00BD287E" w:rsidRDefault="00BD287E" w:rsidP="00BD287E">
      <w:pPr>
        <w:spacing w:before="60" w:after="60"/>
        <w:ind w:firstLine="720"/>
        <w:jc w:val="both"/>
        <w:rPr>
          <w:rFonts w:ascii="Arial" w:eastAsia="Times New Roman" w:hAnsi="Arial" w:cs="Arial"/>
          <w:noProof/>
          <w:sz w:val="24"/>
          <w:szCs w:val="24"/>
          <w:lang w:val="mn-MN"/>
        </w:rPr>
      </w:pPr>
    </w:p>
    <w:p w14:paraId="149CDEAA" w14:textId="77777777" w:rsidR="00BD287E" w:rsidRDefault="00BD287E" w:rsidP="00BD287E">
      <w:pPr>
        <w:spacing w:before="60" w:after="60"/>
        <w:ind w:firstLine="720"/>
        <w:jc w:val="both"/>
        <w:rPr>
          <w:rFonts w:ascii="Arial" w:eastAsia="Times New Roman" w:hAnsi="Arial" w:cs="Arial"/>
          <w:noProof/>
          <w:sz w:val="24"/>
          <w:szCs w:val="24"/>
          <w:lang w:val="mn-MN"/>
        </w:rPr>
      </w:pPr>
    </w:p>
    <w:p w14:paraId="2E449501" w14:textId="77777777" w:rsidR="004A0245" w:rsidRDefault="004A0245" w:rsidP="00BD287E"/>
    <w:sectPr w:rsidR="004A0245" w:rsidSect="00BD287E">
      <w:footerReference w:type="default" r:id="rId6"/>
      <w:pgSz w:w="12240" w:h="15840"/>
      <w:pgMar w:top="1440" w:right="9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93172" w14:textId="77777777" w:rsidR="00E925B2" w:rsidRDefault="00E925B2" w:rsidP="00BD287E">
      <w:pPr>
        <w:spacing w:after="0" w:line="240" w:lineRule="auto"/>
      </w:pPr>
      <w:r>
        <w:separator/>
      </w:r>
    </w:p>
  </w:endnote>
  <w:endnote w:type="continuationSeparator" w:id="0">
    <w:p w14:paraId="0AB123C5" w14:textId="77777777" w:rsidR="00E925B2" w:rsidRDefault="00E925B2" w:rsidP="00BD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712404"/>
      <w:docPartObj>
        <w:docPartGallery w:val="Page Numbers (Bottom of Page)"/>
        <w:docPartUnique/>
      </w:docPartObj>
    </w:sdtPr>
    <w:sdtEndPr>
      <w:rPr>
        <w:noProof/>
      </w:rPr>
    </w:sdtEndPr>
    <w:sdtContent>
      <w:p w14:paraId="79FF6BB7" w14:textId="2AE0D975" w:rsidR="00BD287E" w:rsidRDefault="00BD28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8D29FB" w14:textId="77777777" w:rsidR="00BD287E" w:rsidRDefault="00BD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A0142" w14:textId="77777777" w:rsidR="00E925B2" w:rsidRDefault="00E925B2" w:rsidP="00BD287E">
      <w:pPr>
        <w:spacing w:after="0" w:line="240" w:lineRule="auto"/>
      </w:pPr>
      <w:r>
        <w:separator/>
      </w:r>
    </w:p>
  </w:footnote>
  <w:footnote w:type="continuationSeparator" w:id="0">
    <w:p w14:paraId="5C5B1208" w14:textId="77777777" w:rsidR="00E925B2" w:rsidRDefault="00E925B2" w:rsidP="00BD28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7E"/>
    <w:rsid w:val="004A0245"/>
    <w:rsid w:val="00BD287E"/>
    <w:rsid w:val="00E9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5106"/>
  <w15:chartTrackingRefBased/>
  <w15:docId w15:val="{AB2ED406-9465-4D64-BB53-A28E04EF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287E"/>
    <w:pPr>
      <w:spacing w:after="200" w:line="288"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87E"/>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8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2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87E"/>
    <w:rPr>
      <w:sz w:val="21"/>
      <w:szCs w:val="21"/>
    </w:rPr>
  </w:style>
  <w:style w:type="paragraph" w:styleId="Footer">
    <w:name w:val="footer"/>
    <w:basedOn w:val="Normal"/>
    <w:link w:val="FooterChar"/>
    <w:uiPriority w:val="99"/>
    <w:unhideWhenUsed/>
    <w:rsid w:val="00BD2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87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10551</Characters>
  <Application>Microsoft Office Word</Application>
  <DocSecurity>0</DocSecurity>
  <Lines>87</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 chimeg</dc:creator>
  <cp:keywords/>
  <dc:description/>
  <cp:lastModifiedBy>uran chimeg</cp:lastModifiedBy>
  <cp:revision>1</cp:revision>
  <dcterms:created xsi:type="dcterms:W3CDTF">2026-06-02T04:03:00Z</dcterms:created>
  <dcterms:modified xsi:type="dcterms:W3CDTF">2026-06-02T04:04:00Z</dcterms:modified>
</cp:coreProperties>
</file>