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3B6491" w14:textId="77777777" w:rsidR="004B0697" w:rsidRPr="00E64399" w:rsidRDefault="004B0697" w:rsidP="004B0697">
      <w:pPr>
        <w:jc w:val="center"/>
        <w:rPr>
          <w:rFonts w:ascii="Arial" w:hAnsi="Arial" w:cs="Arial"/>
          <w:b/>
          <w:bCs/>
          <w:sz w:val="24"/>
          <w:szCs w:val="24"/>
        </w:rPr>
      </w:pPr>
      <w:r w:rsidRPr="00E64399">
        <w:rPr>
          <w:rFonts w:ascii="Arial" w:hAnsi="Arial" w:cs="Arial"/>
          <w:b/>
          <w:bCs/>
          <w:sz w:val="24"/>
          <w:szCs w:val="24"/>
          <w:lang w:val="mn-MN"/>
        </w:rPr>
        <w:t xml:space="preserve">МОНГОЛ УЛСЫН ЗАСАГ ЗАХИРГАА, НУТАГ ДЭВСГЭРИЙН НЭГЖ, ТҮҮНИЙ УДИРДЛАГЫН ТУХАЙ </w:t>
      </w:r>
      <w:r w:rsidRPr="00E64399">
        <w:rPr>
          <w:rFonts w:ascii="Arial" w:hAnsi="Arial" w:cs="Arial"/>
          <w:b/>
          <w:bCs/>
          <w:sz w:val="24"/>
          <w:szCs w:val="24"/>
        </w:rPr>
        <w:t>ХУУЛЬД НЭМЭЛТ, ӨӨРЧЛӨЛТ ОРУУЛАХ ТУХАЙ ХУУЛИЙГ ХЭРЭГЖҮҮЛСЭНЭЭР ГАРАХ ЗАРДЛЫН ТООЦООЛОЛ</w:t>
      </w:r>
    </w:p>
    <w:p w14:paraId="178DD7EC" w14:textId="77777777" w:rsidR="004B0697" w:rsidRPr="00E64399" w:rsidRDefault="004B0697" w:rsidP="004B0697">
      <w:pPr>
        <w:jc w:val="center"/>
        <w:rPr>
          <w:rFonts w:ascii="Arial" w:hAnsi="Arial" w:cs="Arial"/>
          <w:b/>
          <w:bCs/>
          <w:sz w:val="24"/>
          <w:szCs w:val="24"/>
        </w:rPr>
      </w:pPr>
      <w:r w:rsidRPr="00E64399">
        <w:rPr>
          <w:rFonts w:ascii="Arial" w:hAnsi="Arial" w:cs="Arial"/>
          <w:b/>
          <w:bCs/>
          <w:sz w:val="24"/>
          <w:szCs w:val="24"/>
        </w:rPr>
        <w:t>УДИРТГАЛ</w:t>
      </w:r>
    </w:p>
    <w:p w14:paraId="37A12E45" w14:textId="77777777" w:rsidR="004B0697" w:rsidRPr="000448E3" w:rsidRDefault="004B0697" w:rsidP="004B0697">
      <w:pPr>
        <w:ind w:firstLine="720"/>
        <w:jc w:val="both"/>
        <w:rPr>
          <w:rFonts w:ascii="Arial" w:hAnsi="Arial" w:cs="Arial"/>
          <w:noProof/>
          <w:sz w:val="24"/>
          <w:szCs w:val="24"/>
          <w:lang w:val="mn-MN"/>
        </w:rPr>
      </w:pPr>
      <w:r w:rsidRPr="000448E3">
        <w:rPr>
          <w:rFonts w:ascii="Arial" w:hAnsi="Arial" w:cs="Arial"/>
          <w:noProof/>
          <w:sz w:val="24"/>
          <w:szCs w:val="24"/>
          <w:lang w:val="mn-MN"/>
        </w:rPr>
        <w:t xml:space="preserve">Энэхүү зардлын тайлангийн зорилго нь “Монгол Улсын засаг захиргаа, нутаг дэвсгэрийн нэгж, түүний удирдлагын тухай хуульд нэмэлт, өөрчлөлт оруулах тухай хуулийн төслийг хэрэгжүүлэх хүрээнд гарах зардлыг тооцоход оршино. </w:t>
      </w:r>
    </w:p>
    <w:p w14:paraId="3D78F1BC" w14:textId="77777777" w:rsidR="004B0697" w:rsidRPr="000448E3" w:rsidRDefault="004B0697" w:rsidP="004B0697">
      <w:pPr>
        <w:ind w:firstLine="720"/>
        <w:jc w:val="both"/>
        <w:rPr>
          <w:rFonts w:ascii="Arial" w:hAnsi="Arial" w:cs="Arial"/>
          <w:noProof/>
          <w:sz w:val="24"/>
          <w:szCs w:val="24"/>
          <w:lang w:val="mn-MN"/>
        </w:rPr>
      </w:pPr>
      <w:r w:rsidRPr="000448E3">
        <w:rPr>
          <w:rFonts w:ascii="Arial" w:hAnsi="Arial" w:cs="Arial"/>
          <w:noProof/>
          <w:sz w:val="24"/>
          <w:szCs w:val="24"/>
          <w:lang w:val="mn-MN"/>
        </w:rPr>
        <w:t xml:space="preserve">Хуулийн төсөлд баг, хорооны иргэдийн Нийтийн Хурлын эрх зүйн үндсийг тодорхойлж, түүнтэй холбогдсон харилцааг зохицуулахаар хуулийн 32 дугаар зүйлийг шинэчлэн өөрчилсөн бөгөөд баг, хорооны иргэдийн Нийтийн Хурлын даргыг чиг үүргийг хэрэгжүүлэхэд шаардлагатай санхүүгийн хөшүүрэг бий болгох, урамшууллын тогтолцоог тодорхойлсон. Иймд хуулийн төслийг хэрэгжүүлэхтэй холбогдон гарах зардлын тооцоог Монгол Улсын Хууль тогтоомжийн тухай хуулийн 18.1 дэх хэсэг, Монгол Улсын Засгийн газрын 2016 оны Аргачлал батлах тухай 59 тоот тогтоолын дагуу  хийж, хууль тогтоомжийг хэрэгжүүлэхтэй холбогдон гарах зардал, эрх зүйн зохицуулалтад хамаарах төрийн байгууллагын зардлын ангиллаар тооцон боловсрууллаа. </w:t>
      </w:r>
    </w:p>
    <w:p w14:paraId="63DE813A" w14:textId="77777777" w:rsidR="004B0697" w:rsidRPr="00E64399" w:rsidRDefault="004B0697" w:rsidP="004B0697">
      <w:pPr>
        <w:ind w:firstLine="720"/>
        <w:jc w:val="both"/>
        <w:rPr>
          <w:rFonts w:ascii="Arial" w:hAnsi="Arial" w:cs="Arial"/>
          <w:sz w:val="24"/>
          <w:szCs w:val="24"/>
          <w:lang w:val="mn-MN"/>
        </w:rPr>
      </w:pPr>
      <w:r w:rsidRPr="00E64399">
        <w:rPr>
          <w:rFonts w:ascii="Arial" w:hAnsi="Arial" w:cs="Arial"/>
          <w:sz w:val="24"/>
          <w:szCs w:val="24"/>
          <w:lang w:val="mn-MN"/>
        </w:rPr>
        <w:t>Нэг. Төрийн байгууллагад учрах зардлын тооцоо</w:t>
      </w:r>
    </w:p>
    <w:p w14:paraId="6A10764B" w14:textId="77777777" w:rsidR="004B0697" w:rsidRPr="00E64399" w:rsidRDefault="004B0697" w:rsidP="004B0697">
      <w:pPr>
        <w:ind w:firstLine="720"/>
        <w:jc w:val="both"/>
        <w:rPr>
          <w:rFonts w:ascii="Arial" w:hAnsi="Arial" w:cs="Arial"/>
          <w:noProof/>
          <w:sz w:val="24"/>
          <w:szCs w:val="24"/>
        </w:rPr>
      </w:pPr>
      <w:r w:rsidRPr="00E64399">
        <w:rPr>
          <w:rFonts w:ascii="Arial" w:hAnsi="Arial" w:cs="Arial"/>
          <w:sz w:val="24"/>
          <w:szCs w:val="24"/>
          <w:lang w:val="mn-MN"/>
        </w:rPr>
        <w:t xml:space="preserve">Монгол Улсын Засгийн газрын 2024 оны 12 сарын 25-ны өдрийн Төрийн албаны зарим албан тушаалын цалингийн хэмжээ, доод хэмжээг шинэчлэн тогтоох тухай 238 тоот тогтоолоор төрийн </w:t>
      </w:r>
      <w:r w:rsidRPr="00E64399">
        <w:rPr>
          <w:rFonts w:ascii="Arial" w:hAnsi="Arial" w:cs="Arial"/>
          <w:noProof/>
          <w:sz w:val="24"/>
          <w:szCs w:val="24"/>
        </w:rPr>
        <w:t xml:space="preserve">улс төрийн албан тушаал эрхэлдэг зарим албан хаагчийн болон төрийн улс төрийн албан тушаалтны бүрэн эрхийн хугацаанд зөвхөн өөрт нь үйлчлэх албан тушаалын цалингийн хэмжээг шинэчлэн тогтоосон. Тус тогтоолд тогтоосноор хорооны Засаг даргын цалин 1632000 төгрөг, багийн Засаг даргын цалин 1438000 төгрөг байна. </w:t>
      </w:r>
    </w:p>
    <w:p w14:paraId="14970E7D" w14:textId="77777777" w:rsidR="004B0697" w:rsidRPr="00E64399" w:rsidRDefault="004B0697" w:rsidP="004B0697">
      <w:pPr>
        <w:ind w:firstLine="720"/>
        <w:jc w:val="both"/>
        <w:rPr>
          <w:rFonts w:ascii="Arial" w:hAnsi="Arial" w:cs="Arial"/>
          <w:noProof/>
          <w:sz w:val="24"/>
          <w:szCs w:val="24"/>
        </w:rPr>
      </w:pPr>
      <w:r w:rsidRPr="00E64399">
        <w:rPr>
          <w:rFonts w:ascii="Arial" w:hAnsi="Arial" w:cs="Arial"/>
          <w:noProof/>
          <w:sz w:val="24"/>
          <w:szCs w:val="24"/>
        </w:rPr>
        <w:t>2026 оны байдлаар Монгол Улсын нийслэл Улаанбаатар хотод 204 хороо, 1647 баг (</w:t>
      </w:r>
      <w:r w:rsidRPr="00E64399">
        <w:rPr>
          <w:rFonts w:ascii="Arial" w:hAnsi="Arial" w:cs="Arial"/>
          <w:noProof/>
          <w:sz w:val="24"/>
          <w:szCs w:val="24"/>
          <w:lang w:val="mn-MN"/>
        </w:rPr>
        <w:t>ЗГХЭГ-ын 202</w:t>
      </w:r>
      <w:r w:rsidRPr="00E64399">
        <w:rPr>
          <w:rFonts w:ascii="Arial" w:hAnsi="Arial" w:cs="Arial"/>
          <w:noProof/>
          <w:sz w:val="24"/>
          <w:szCs w:val="24"/>
        </w:rPr>
        <w:t>6</w:t>
      </w:r>
      <w:r w:rsidRPr="00E64399">
        <w:rPr>
          <w:rFonts w:ascii="Arial" w:hAnsi="Arial" w:cs="Arial"/>
          <w:noProof/>
          <w:sz w:val="24"/>
          <w:szCs w:val="24"/>
          <w:lang w:val="mn-MN"/>
        </w:rPr>
        <w:t xml:space="preserve"> оны мэдээллээр</w:t>
      </w:r>
      <w:r w:rsidRPr="00E64399">
        <w:rPr>
          <w:rFonts w:ascii="Arial" w:hAnsi="Arial" w:cs="Arial"/>
          <w:noProof/>
          <w:sz w:val="24"/>
          <w:szCs w:val="24"/>
        </w:rPr>
        <w:t>) ажиллаж байна. Аргачлалын дагуу хүний нөөцийн зардлыг (урамшуулал) баг болон хорооны Засаг даргын үндсэн цалингийн 50 хувиар тооцов.</w:t>
      </w:r>
    </w:p>
    <w:p w14:paraId="021392D4" w14:textId="77777777" w:rsidR="004B0697" w:rsidRPr="00E64399" w:rsidRDefault="004B0697" w:rsidP="004B0697">
      <w:pPr>
        <w:jc w:val="both"/>
        <w:rPr>
          <w:rFonts w:ascii="Arial" w:hAnsi="Arial" w:cs="Arial"/>
          <w:noProof/>
          <w:sz w:val="24"/>
          <w:szCs w:val="24"/>
        </w:rPr>
      </w:pPr>
      <w:r w:rsidRPr="00E64399">
        <w:rPr>
          <w:rFonts w:ascii="Arial" w:hAnsi="Arial" w:cs="Arial"/>
          <w:noProof/>
          <w:sz w:val="24"/>
          <w:szCs w:val="24"/>
        </w:rPr>
        <w:t>1. Хурлын даргын урамшуулал — факультатив зохицуулалт (32.16)</w:t>
      </w:r>
    </w:p>
    <w:p w14:paraId="43F47215" w14:textId="77777777" w:rsidR="004B0697" w:rsidRPr="00E64399" w:rsidRDefault="004B0697" w:rsidP="004B0697">
      <w:pPr>
        <w:numPr>
          <w:ilvl w:val="0"/>
          <w:numId w:val="1"/>
        </w:numPr>
        <w:spacing w:after="160" w:line="259" w:lineRule="auto"/>
        <w:jc w:val="both"/>
        <w:rPr>
          <w:rFonts w:ascii="Arial" w:hAnsi="Arial" w:cs="Arial"/>
          <w:noProof/>
          <w:sz w:val="24"/>
          <w:szCs w:val="24"/>
        </w:rPr>
      </w:pPr>
      <w:r w:rsidRPr="00E64399">
        <w:rPr>
          <w:rFonts w:ascii="Arial" w:hAnsi="Arial" w:cs="Arial"/>
          <w:noProof/>
          <w:sz w:val="24"/>
          <w:szCs w:val="24"/>
        </w:rPr>
        <w:t>Засаг даргын үндсэн цалин: 1,632,000 төгрөг.</w:t>
      </w:r>
    </w:p>
    <w:p w14:paraId="13C969C6" w14:textId="77777777" w:rsidR="004B0697" w:rsidRPr="00E64399" w:rsidRDefault="004B0697" w:rsidP="004B0697">
      <w:pPr>
        <w:numPr>
          <w:ilvl w:val="0"/>
          <w:numId w:val="1"/>
        </w:numPr>
        <w:spacing w:after="160" w:line="259" w:lineRule="auto"/>
        <w:jc w:val="both"/>
        <w:rPr>
          <w:rFonts w:ascii="Arial" w:hAnsi="Arial" w:cs="Arial"/>
          <w:noProof/>
          <w:sz w:val="24"/>
          <w:szCs w:val="24"/>
        </w:rPr>
      </w:pPr>
      <w:r w:rsidRPr="00E64399">
        <w:rPr>
          <w:rFonts w:ascii="Arial" w:hAnsi="Arial" w:cs="Arial"/>
          <w:noProof/>
          <w:sz w:val="24"/>
          <w:szCs w:val="24"/>
        </w:rPr>
        <w:t>Хурлын даргад олгож болох урамшуулалын дээд хэмжээ (Засаг даргын цалингийн 50%): хорооны хувьд 816,000 төгрөг/сар — энэ нь заавал гарах зардал биш, тухайн шатны ИТХ-ийн шийдвэрт үндэслэнэ.</w:t>
      </w:r>
    </w:p>
    <w:p w14:paraId="30EB88C1" w14:textId="77777777" w:rsidR="004B0697" w:rsidRPr="00E64399" w:rsidRDefault="004B0697" w:rsidP="004B0697">
      <w:pPr>
        <w:numPr>
          <w:ilvl w:val="0"/>
          <w:numId w:val="1"/>
        </w:numPr>
        <w:spacing w:after="160" w:line="259" w:lineRule="auto"/>
        <w:jc w:val="both"/>
        <w:rPr>
          <w:rFonts w:ascii="Arial" w:hAnsi="Arial" w:cs="Arial"/>
          <w:noProof/>
          <w:sz w:val="24"/>
          <w:szCs w:val="24"/>
        </w:rPr>
      </w:pPr>
      <w:r w:rsidRPr="00E64399">
        <w:rPr>
          <w:rFonts w:ascii="Arial" w:hAnsi="Arial" w:cs="Arial"/>
          <w:noProof/>
          <w:sz w:val="24"/>
          <w:szCs w:val="24"/>
        </w:rPr>
        <w:lastRenderedPageBreak/>
        <w:t>Хорооны тоо: 204.</w:t>
      </w:r>
    </w:p>
    <w:p w14:paraId="56EA13F3" w14:textId="77777777" w:rsidR="004B0697" w:rsidRPr="00E64399" w:rsidRDefault="004B0697" w:rsidP="004B0697">
      <w:pPr>
        <w:numPr>
          <w:ilvl w:val="0"/>
          <w:numId w:val="1"/>
        </w:numPr>
        <w:spacing w:after="160" w:line="259" w:lineRule="auto"/>
        <w:jc w:val="both"/>
        <w:rPr>
          <w:rFonts w:ascii="Arial" w:hAnsi="Arial" w:cs="Arial"/>
          <w:noProof/>
          <w:sz w:val="24"/>
          <w:szCs w:val="24"/>
        </w:rPr>
      </w:pPr>
      <w:r w:rsidRPr="00E64399">
        <w:rPr>
          <w:rFonts w:ascii="Arial" w:hAnsi="Arial" w:cs="Arial"/>
          <w:noProof/>
          <w:sz w:val="24"/>
          <w:szCs w:val="24"/>
        </w:rPr>
        <w:t>Хэрэв бүх хорооны ИТХ шийдвэрлэсэн тохиолдолд дээд хэмжээ: 816,000 × 204 = 166,464,000 төгрөг/сар.</w:t>
      </w:r>
    </w:p>
    <w:p w14:paraId="6D0C4830" w14:textId="77777777" w:rsidR="004B0697" w:rsidRPr="00E64399" w:rsidRDefault="004B0697" w:rsidP="004B0697">
      <w:pPr>
        <w:numPr>
          <w:ilvl w:val="0"/>
          <w:numId w:val="1"/>
        </w:numPr>
        <w:spacing w:after="160" w:line="259" w:lineRule="auto"/>
        <w:jc w:val="both"/>
        <w:rPr>
          <w:rFonts w:ascii="Arial" w:hAnsi="Arial" w:cs="Arial"/>
          <w:noProof/>
          <w:sz w:val="24"/>
          <w:szCs w:val="24"/>
        </w:rPr>
      </w:pPr>
      <w:r w:rsidRPr="00E64399">
        <w:rPr>
          <w:rFonts w:ascii="Arial" w:hAnsi="Arial" w:cs="Arial"/>
          <w:noProof/>
          <w:sz w:val="24"/>
          <w:szCs w:val="24"/>
        </w:rPr>
        <w:t>Жилийн дээд хэмжээ (заавал биш): 1,997,568,000 төгрөг.</w:t>
      </w:r>
    </w:p>
    <w:p w14:paraId="0B3A3D65" w14:textId="77777777" w:rsidR="004B0697" w:rsidRPr="00E64399" w:rsidRDefault="004B0697" w:rsidP="004B0697">
      <w:pPr>
        <w:jc w:val="both"/>
        <w:rPr>
          <w:rFonts w:ascii="Arial" w:hAnsi="Arial" w:cs="Arial"/>
          <w:noProof/>
          <w:sz w:val="24"/>
          <w:szCs w:val="24"/>
        </w:rPr>
      </w:pPr>
      <w:r w:rsidRPr="00E64399">
        <w:rPr>
          <w:rFonts w:ascii="Arial" w:hAnsi="Arial" w:cs="Arial"/>
          <w:noProof/>
          <w:sz w:val="24"/>
          <w:szCs w:val="24"/>
        </w:rPr>
        <w:t>2. Багийн Хурлын даргын урамшуулал — факультатив (орон нутаг)</w:t>
      </w:r>
    </w:p>
    <w:p w14:paraId="54520B28" w14:textId="77777777" w:rsidR="004B0697" w:rsidRPr="00E64399" w:rsidRDefault="004B0697" w:rsidP="004B0697">
      <w:pPr>
        <w:numPr>
          <w:ilvl w:val="0"/>
          <w:numId w:val="2"/>
        </w:numPr>
        <w:spacing w:after="160" w:line="259" w:lineRule="auto"/>
        <w:jc w:val="both"/>
        <w:rPr>
          <w:rFonts w:ascii="Arial" w:hAnsi="Arial" w:cs="Arial"/>
          <w:noProof/>
          <w:sz w:val="24"/>
          <w:szCs w:val="24"/>
        </w:rPr>
      </w:pPr>
      <w:r w:rsidRPr="00E64399">
        <w:rPr>
          <w:rFonts w:ascii="Arial" w:hAnsi="Arial" w:cs="Arial"/>
          <w:noProof/>
          <w:sz w:val="24"/>
          <w:szCs w:val="24"/>
        </w:rPr>
        <w:t>Засаг даргын үндсэн цалин: 1,438,000 төгрөг.</w:t>
      </w:r>
    </w:p>
    <w:p w14:paraId="6A82D199" w14:textId="77777777" w:rsidR="004B0697" w:rsidRPr="00E64399" w:rsidRDefault="004B0697" w:rsidP="004B0697">
      <w:pPr>
        <w:numPr>
          <w:ilvl w:val="0"/>
          <w:numId w:val="2"/>
        </w:numPr>
        <w:spacing w:after="160" w:line="259" w:lineRule="auto"/>
        <w:jc w:val="both"/>
        <w:rPr>
          <w:rFonts w:ascii="Arial" w:hAnsi="Arial" w:cs="Arial"/>
          <w:noProof/>
          <w:sz w:val="24"/>
          <w:szCs w:val="24"/>
        </w:rPr>
      </w:pPr>
      <w:r w:rsidRPr="00E64399">
        <w:rPr>
          <w:rFonts w:ascii="Arial" w:hAnsi="Arial" w:cs="Arial"/>
          <w:noProof/>
          <w:sz w:val="24"/>
          <w:szCs w:val="24"/>
        </w:rPr>
        <w:t>Олгож болох урамшуулалын дээд хэмжээ (50%): 719,000 төгрөг/сар — тухайн шатны ИТХ-ийн шийдвэрт үндэслэнэ.</w:t>
      </w:r>
    </w:p>
    <w:p w14:paraId="37AFD324" w14:textId="77777777" w:rsidR="004B0697" w:rsidRPr="00E64399" w:rsidRDefault="004B0697" w:rsidP="004B0697">
      <w:pPr>
        <w:numPr>
          <w:ilvl w:val="0"/>
          <w:numId w:val="2"/>
        </w:numPr>
        <w:spacing w:after="160" w:line="259" w:lineRule="auto"/>
        <w:jc w:val="both"/>
        <w:rPr>
          <w:rFonts w:ascii="Arial" w:hAnsi="Arial" w:cs="Arial"/>
          <w:noProof/>
          <w:sz w:val="24"/>
          <w:szCs w:val="24"/>
        </w:rPr>
      </w:pPr>
      <w:r w:rsidRPr="00E64399">
        <w:rPr>
          <w:rFonts w:ascii="Arial" w:hAnsi="Arial" w:cs="Arial"/>
          <w:noProof/>
          <w:sz w:val="24"/>
          <w:szCs w:val="24"/>
        </w:rPr>
        <w:t>Багийн тоо: 1,647.</w:t>
      </w:r>
    </w:p>
    <w:p w14:paraId="6F43EFE1" w14:textId="77777777" w:rsidR="004B0697" w:rsidRPr="00E64399" w:rsidRDefault="004B0697" w:rsidP="004B0697">
      <w:pPr>
        <w:numPr>
          <w:ilvl w:val="0"/>
          <w:numId w:val="2"/>
        </w:numPr>
        <w:spacing w:after="160" w:line="259" w:lineRule="auto"/>
        <w:jc w:val="both"/>
        <w:rPr>
          <w:rFonts w:ascii="Arial" w:hAnsi="Arial" w:cs="Arial"/>
          <w:noProof/>
          <w:sz w:val="24"/>
          <w:szCs w:val="24"/>
        </w:rPr>
      </w:pPr>
      <w:r w:rsidRPr="00E64399">
        <w:rPr>
          <w:rFonts w:ascii="Arial" w:hAnsi="Arial" w:cs="Arial"/>
          <w:noProof/>
          <w:sz w:val="24"/>
          <w:szCs w:val="24"/>
        </w:rPr>
        <w:t>Бүх баг олгосон тохиолдолд дээд хэмжээ: 719,000 × 1,647 = 1,184,193,000 төгрөг/сар.</w:t>
      </w:r>
    </w:p>
    <w:p w14:paraId="1C5688D8" w14:textId="77777777" w:rsidR="004B0697" w:rsidRPr="00E64399" w:rsidRDefault="004B0697" w:rsidP="004B0697">
      <w:pPr>
        <w:numPr>
          <w:ilvl w:val="0"/>
          <w:numId w:val="2"/>
        </w:numPr>
        <w:spacing w:after="160" w:line="259" w:lineRule="auto"/>
        <w:jc w:val="both"/>
        <w:rPr>
          <w:rFonts w:ascii="Arial" w:hAnsi="Arial" w:cs="Arial"/>
          <w:noProof/>
          <w:sz w:val="24"/>
          <w:szCs w:val="24"/>
        </w:rPr>
      </w:pPr>
      <w:r w:rsidRPr="00E64399">
        <w:rPr>
          <w:rFonts w:ascii="Arial" w:hAnsi="Arial" w:cs="Arial"/>
          <w:noProof/>
          <w:sz w:val="24"/>
          <w:szCs w:val="24"/>
        </w:rPr>
        <w:t>Жилийн дээд хэмжээ (заавал биш): 14,210,316,000 төгрөг.</w:t>
      </w:r>
    </w:p>
    <w:p w14:paraId="3ECC94EB" w14:textId="77777777" w:rsidR="004B0697" w:rsidRPr="00E64399" w:rsidRDefault="004B0697" w:rsidP="004B0697">
      <w:pPr>
        <w:ind w:left="720"/>
        <w:jc w:val="both"/>
        <w:rPr>
          <w:rFonts w:ascii="Arial" w:hAnsi="Arial" w:cs="Arial"/>
          <w:noProof/>
          <w:sz w:val="24"/>
          <w:szCs w:val="24"/>
        </w:rPr>
      </w:pPr>
    </w:p>
    <w:tbl>
      <w:tblPr>
        <w:tblStyle w:val="TableGrid"/>
        <w:tblW w:w="0" w:type="auto"/>
        <w:tblInd w:w="421" w:type="dxa"/>
        <w:tblLook w:val="04A0" w:firstRow="1" w:lastRow="0" w:firstColumn="1" w:lastColumn="0" w:noHBand="0" w:noVBand="1"/>
      </w:tblPr>
      <w:tblGrid>
        <w:gridCol w:w="1951"/>
        <w:gridCol w:w="1734"/>
        <w:gridCol w:w="1985"/>
        <w:gridCol w:w="2976"/>
      </w:tblGrid>
      <w:tr w:rsidR="004B0697" w:rsidRPr="00E64399" w14:paraId="4E80A85D" w14:textId="77777777" w:rsidTr="005725EA">
        <w:trPr>
          <w:trHeight w:val="502"/>
        </w:trPr>
        <w:tc>
          <w:tcPr>
            <w:tcW w:w="1951" w:type="dxa"/>
          </w:tcPr>
          <w:p w14:paraId="4979DC07" w14:textId="77777777" w:rsidR="004B0697" w:rsidRPr="00E64399" w:rsidRDefault="004B0697" w:rsidP="005725EA">
            <w:pPr>
              <w:jc w:val="both"/>
              <w:rPr>
                <w:rFonts w:ascii="Arial" w:hAnsi="Arial" w:cs="Arial"/>
                <w:b/>
                <w:bCs/>
                <w:noProof/>
                <w:sz w:val="24"/>
                <w:szCs w:val="24"/>
              </w:rPr>
            </w:pPr>
            <w:r w:rsidRPr="00E64399">
              <w:rPr>
                <w:rFonts w:ascii="Arial" w:hAnsi="Arial" w:cs="Arial"/>
                <w:b/>
                <w:bCs/>
                <w:noProof/>
                <w:sz w:val="24"/>
                <w:szCs w:val="24"/>
              </w:rPr>
              <w:t>Нэгж</w:t>
            </w:r>
          </w:p>
        </w:tc>
        <w:tc>
          <w:tcPr>
            <w:tcW w:w="1734" w:type="dxa"/>
          </w:tcPr>
          <w:p w14:paraId="62FADE85" w14:textId="77777777" w:rsidR="004B0697" w:rsidRPr="00E64399" w:rsidRDefault="004B0697" w:rsidP="005725EA">
            <w:pPr>
              <w:jc w:val="both"/>
              <w:rPr>
                <w:rFonts w:ascii="Arial" w:hAnsi="Arial" w:cs="Arial"/>
                <w:b/>
                <w:bCs/>
                <w:noProof/>
                <w:sz w:val="24"/>
                <w:szCs w:val="24"/>
              </w:rPr>
            </w:pPr>
            <w:r w:rsidRPr="00E64399">
              <w:rPr>
                <w:rFonts w:ascii="Arial" w:hAnsi="Arial" w:cs="Arial"/>
                <w:b/>
                <w:bCs/>
                <w:noProof/>
                <w:sz w:val="24"/>
                <w:szCs w:val="24"/>
              </w:rPr>
              <w:t>Нэгжийн тоо</w:t>
            </w:r>
          </w:p>
        </w:tc>
        <w:tc>
          <w:tcPr>
            <w:tcW w:w="1985" w:type="dxa"/>
          </w:tcPr>
          <w:p w14:paraId="4D377652" w14:textId="77777777" w:rsidR="004B0697" w:rsidRPr="00E64399" w:rsidRDefault="004B0697" w:rsidP="005725EA">
            <w:pPr>
              <w:jc w:val="both"/>
              <w:rPr>
                <w:rFonts w:ascii="Arial" w:hAnsi="Arial" w:cs="Arial"/>
                <w:b/>
                <w:bCs/>
                <w:noProof/>
                <w:sz w:val="24"/>
                <w:szCs w:val="24"/>
              </w:rPr>
            </w:pPr>
            <w:r w:rsidRPr="00E64399">
              <w:rPr>
                <w:rFonts w:ascii="Arial" w:hAnsi="Arial" w:cs="Arial"/>
                <w:b/>
                <w:bCs/>
                <w:noProof/>
                <w:sz w:val="24"/>
                <w:szCs w:val="24"/>
              </w:rPr>
              <w:t>Сарын урамшуулал</w:t>
            </w:r>
          </w:p>
        </w:tc>
        <w:tc>
          <w:tcPr>
            <w:tcW w:w="2976" w:type="dxa"/>
          </w:tcPr>
          <w:p w14:paraId="63C3181B" w14:textId="77777777" w:rsidR="004B0697" w:rsidRPr="00E64399" w:rsidRDefault="004B0697" w:rsidP="005725EA">
            <w:pPr>
              <w:jc w:val="both"/>
              <w:rPr>
                <w:rFonts w:ascii="Arial" w:hAnsi="Arial" w:cs="Arial"/>
                <w:b/>
                <w:bCs/>
                <w:noProof/>
                <w:sz w:val="24"/>
                <w:szCs w:val="24"/>
              </w:rPr>
            </w:pPr>
            <w:r w:rsidRPr="00E64399">
              <w:rPr>
                <w:rFonts w:ascii="Arial" w:hAnsi="Arial" w:cs="Arial"/>
                <w:b/>
                <w:bCs/>
                <w:noProof/>
                <w:sz w:val="24"/>
                <w:szCs w:val="24"/>
              </w:rPr>
              <w:t>Жилийн зардал /төгрөгөөр/</w:t>
            </w:r>
          </w:p>
        </w:tc>
      </w:tr>
      <w:tr w:rsidR="004B0697" w:rsidRPr="00E64399" w14:paraId="3C272F4E" w14:textId="77777777" w:rsidTr="005725EA">
        <w:tc>
          <w:tcPr>
            <w:tcW w:w="1951" w:type="dxa"/>
          </w:tcPr>
          <w:p w14:paraId="38C7C87C" w14:textId="77777777" w:rsidR="004B0697" w:rsidRPr="00E64399" w:rsidRDefault="004B0697" w:rsidP="005725EA">
            <w:pPr>
              <w:jc w:val="both"/>
              <w:rPr>
                <w:rFonts w:ascii="Arial" w:hAnsi="Arial" w:cs="Arial"/>
                <w:noProof/>
                <w:sz w:val="24"/>
                <w:szCs w:val="24"/>
              </w:rPr>
            </w:pPr>
            <w:r w:rsidRPr="00E64399">
              <w:rPr>
                <w:rFonts w:ascii="Arial" w:hAnsi="Arial" w:cs="Arial"/>
                <w:noProof/>
                <w:sz w:val="24"/>
                <w:szCs w:val="24"/>
              </w:rPr>
              <w:t>Хороо</w:t>
            </w:r>
          </w:p>
        </w:tc>
        <w:tc>
          <w:tcPr>
            <w:tcW w:w="1734" w:type="dxa"/>
          </w:tcPr>
          <w:p w14:paraId="63630893" w14:textId="77777777" w:rsidR="004B0697" w:rsidRPr="00E64399" w:rsidRDefault="004B0697" w:rsidP="005725EA">
            <w:pPr>
              <w:jc w:val="both"/>
              <w:rPr>
                <w:rFonts w:ascii="Arial" w:hAnsi="Arial" w:cs="Arial"/>
                <w:noProof/>
                <w:sz w:val="24"/>
                <w:szCs w:val="24"/>
              </w:rPr>
            </w:pPr>
            <w:r w:rsidRPr="00E64399">
              <w:rPr>
                <w:rFonts w:ascii="Arial" w:hAnsi="Arial" w:cs="Arial"/>
                <w:noProof/>
                <w:sz w:val="24"/>
                <w:szCs w:val="24"/>
              </w:rPr>
              <w:t>204</w:t>
            </w:r>
          </w:p>
        </w:tc>
        <w:tc>
          <w:tcPr>
            <w:tcW w:w="1985" w:type="dxa"/>
          </w:tcPr>
          <w:p w14:paraId="694CCCD6" w14:textId="77777777" w:rsidR="004B0697" w:rsidRPr="00E64399" w:rsidRDefault="004B0697" w:rsidP="005725EA">
            <w:pPr>
              <w:jc w:val="both"/>
              <w:rPr>
                <w:rFonts w:ascii="Arial" w:hAnsi="Arial" w:cs="Arial"/>
                <w:noProof/>
                <w:sz w:val="24"/>
                <w:szCs w:val="24"/>
              </w:rPr>
            </w:pPr>
            <w:r w:rsidRPr="00E64399">
              <w:rPr>
                <w:rFonts w:ascii="Arial" w:hAnsi="Arial" w:cs="Arial"/>
                <w:noProof/>
                <w:sz w:val="24"/>
                <w:szCs w:val="24"/>
              </w:rPr>
              <w:t>816.000</w:t>
            </w:r>
          </w:p>
        </w:tc>
        <w:tc>
          <w:tcPr>
            <w:tcW w:w="2976" w:type="dxa"/>
          </w:tcPr>
          <w:p w14:paraId="425B1AFD" w14:textId="77777777" w:rsidR="004B0697" w:rsidRPr="00E64399" w:rsidRDefault="004B0697" w:rsidP="005725EA">
            <w:pPr>
              <w:jc w:val="both"/>
              <w:rPr>
                <w:rFonts w:ascii="Arial" w:hAnsi="Arial" w:cs="Arial"/>
                <w:noProof/>
                <w:sz w:val="24"/>
                <w:szCs w:val="24"/>
              </w:rPr>
            </w:pPr>
            <w:r w:rsidRPr="00E64399">
              <w:rPr>
                <w:rFonts w:ascii="Arial" w:hAnsi="Arial" w:cs="Arial"/>
                <w:noProof/>
                <w:sz w:val="24"/>
                <w:szCs w:val="24"/>
              </w:rPr>
              <w:t>1,997,568,000</w:t>
            </w:r>
          </w:p>
        </w:tc>
      </w:tr>
      <w:tr w:rsidR="004B0697" w:rsidRPr="00E64399" w14:paraId="4F473DCD" w14:textId="77777777" w:rsidTr="005725EA">
        <w:tc>
          <w:tcPr>
            <w:tcW w:w="1951" w:type="dxa"/>
          </w:tcPr>
          <w:p w14:paraId="464EA38B" w14:textId="77777777" w:rsidR="004B0697" w:rsidRPr="00E64399" w:rsidRDefault="004B0697" w:rsidP="005725EA">
            <w:pPr>
              <w:jc w:val="both"/>
              <w:rPr>
                <w:rFonts w:ascii="Arial" w:hAnsi="Arial" w:cs="Arial"/>
                <w:noProof/>
                <w:sz w:val="24"/>
                <w:szCs w:val="24"/>
              </w:rPr>
            </w:pPr>
            <w:r w:rsidRPr="00E64399">
              <w:rPr>
                <w:rFonts w:ascii="Arial" w:hAnsi="Arial" w:cs="Arial"/>
                <w:noProof/>
                <w:sz w:val="24"/>
                <w:szCs w:val="24"/>
              </w:rPr>
              <w:t>Баг</w:t>
            </w:r>
          </w:p>
        </w:tc>
        <w:tc>
          <w:tcPr>
            <w:tcW w:w="1734" w:type="dxa"/>
          </w:tcPr>
          <w:p w14:paraId="51E4EE07" w14:textId="77777777" w:rsidR="004B0697" w:rsidRPr="00E64399" w:rsidRDefault="004B0697" w:rsidP="005725EA">
            <w:pPr>
              <w:jc w:val="both"/>
              <w:rPr>
                <w:rFonts w:ascii="Arial" w:hAnsi="Arial" w:cs="Arial"/>
                <w:noProof/>
                <w:sz w:val="24"/>
                <w:szCs w:val="24"/>
              </w:rPr>
            </w:pPr>
            <w:r w:rsidRPr="00E64399">
              <w:rPr>
                <w:rFonts w:ascii="Arial" w:hAnsi="Arial" w:cs="Arial"/>
                <w:noProof/>
                <w:sz w:val="24"/>
                <w:szCs w:val="24"/>
              </w:rPr>
              <w:t>1647</w:t>
            </w:r>
          </w:p>
        </w:tc>
        <w:tc>
          <w:tcPr>
            <w:tcW w:w="1985" w:type="dxa"/>
          </w:tcPr>
          <w:p w14:paraId="568C56E9" w14:textId="77777777" w:rsidR="004B0697" w:rsidRPr="00E64399" w:rsidRDefault="004B0697" w:rsidP="005725EA">
            <w:pPr>
              <w:jc w:val="both"/>
              <w:rPr>
                <w:rFonts w:ascii="Arial" w:hAnsi="Arial" w:cs="Arial"/>
                <w:noProof/>
                <w:sz w:val="24"/>
                <w:szCs w:val="24"/>
              </w:rPr>
            </w:pPr>
            <w:r w:rsidRPr="00E64399">
              <w:rPr>
                <w:rFonts w:ascii="Arial" w:hAnsi="Arial" w:cs="Arial"/>
                <w:noProof/>
                <w:sz w:val="24"/>
                <w:szCs w:val="24"/>
              </w:rPr>
              <w:t>719.000</w:t>
            </w:r>
          </w:p>
        </w:tc>
        <w:tc>
          <w:tcPr>
            <w:tcW w:w="2976" w:type="dxa"/>
          </w:tcPr>
          <w:p w14:paraId="60EF16B6" w14:textId="77777777" w:rsidR="004B0697" w:rsidRPr="00E64399" w:rsidRDefault="004B0697" w:rsidP="005725EA">
            <w:pPr>
              <w:jc w:val="both"/>
              <w:rPr>
                <w:rFonts w:ascii="Arial" w:hAnsi="Arial" w:cs="Arial"/>
                <w:noProof/>
                <w:sz w:val="24"/>
                <w:szCs w:val="24"/>
              </w:rPr>
            </w:pPr>
            <w:r w:rsidRPr="00E64399">
              <w:rPr>
                <w:rFonts w:ascii="Arial" w:hAnsi="Arial" w:cs="Arial"/>
                <w:noProof/>
                <w:sz w:val="24"/>
                <w:szCs w:val="24"/>
              </w:rPr>
              <w:t>14,210,316,000</w:t>
            </w:r>
          </w:p>
        </w:tc>
      </w:tr>
      <w:tr w:rsidR="004B0697" w:rsidRPr="00E64399" w14:paraId="1C0A83D8" w14:textId="77777777" w:rsidTr="005725EA">
        <w:tc>
          <w:tcPr>
            <w:tcW w:w="1951" w:type="dxa"/>
          </w:tcPr>
          <w:p w14:paraId="7B1ABAB5" w14:textId="77777777" w:rsidR="004B0697" w:rsidRPr="00E64399" w:rsidRDefault="004B0697" w:rsidP="005725EA">
            <w:pPr>
              <w:jc w:val="both"/>
              <w:rPr>
                <w:rFonts w:ascii="Arial" w:hAnsi="Arial" w:cs="Arial"/>
                <w:b/>
                <w:bCs/>
                <w:noProof/>
                <w:sz w:val="24"/>
                <w:szCs w:val="24"/>
              </w:rPr>
            </w:pPr>
            <w:r w:rsidRPr="00E64399">
              <w:rPr>
                <w:rFonts w:ascii="Arial" w:hAnsi="Arial" w:cs="Arial"/>
                <w:b/>
                <w:bCs/>
                <w:noProof/>
                <w:sz w:val="24"/>
                <w:szCs w:val="24"/>
              </w:rPr>
              <w:t xml:space="preserve">Нийт </w:t>
            </w:r>
          </w:p>
        </w:tc>
        <w:tc>
          <w:tcPr>
            <w:tcW w:w="1734" w:type="dxa"/>
          </w:tcPr>
          <w:p w14:paraId="4B79BEC5" w14:textId="77777777" w:rsidR="004B0697" w:rsidRPr="00E64399" w:rsidRDefault="004B0697" w:rsidP="005725EA">
            <w:pPr>
              <w:jc w:val="both"/>
              <w:rPr>
                <w:rFonts w:ascii="Arial" w:hAnsi="Arial" w:cs="Arial"/>
                <w:b/>
                <w:bCs/>
                <w:noProof/>
                <w:sz w:val="24"/>
                <w:szCs w:val="24"/>
              </w:rPr>
            </w:pPr>
            <w:r w:rsidRPr="00E64399">
              <w:rPr>
                <w:rFonts w:ascii="Arial" w:hAnsi="Arial" w:cs="Arial"/>
                <w:b/>
                <w:bCs/>
                <w:noProof/>
                <w:sz w:val="24"/>
                <w:szCs w:val="24"/>
              </w:rPr>
              <w:t>1851</w:t>
            </w:r>
          </w:p>
        </w:tc>
        <w:tc>
          <w:tcPr>
            <w:tcW w:w="1985" w:type="dxa"/>
          </w:tcPr>
          <w:p w14:paraId="18985FB7" w14:textId="77777777" w:rsidR="004B0697" w:rsidRPr="00E64399" w:rsidRDefault="004B0697" w:rsidP="005725EA">
            <w:pPr>
              <w:jc w:val="both"/>
              <w:rPr>
                <w:rFonts w:ascii="Arial" w:hAnsi="Arial" w:cs="Arial"/>
                <w:b/>
                <w:bCs/>
                <w:noProof/>
                <w:sz w:val="24"/>
                <w:szCs w:val="24"/>
              </w:rPr>
            </w:pPr>
          </w:p>
        </w:tc>
        <w:tc>
          <w:tcPr>
            <w:tcW w:w="2976" w:type="dxa"/>
          </w:tcPr>
          <w:p w14:paraId="289CA249" w14:textId="77777777" w:rsidR="004B0697" w:rsidRPr="00E64399" w:rsidRDefault="004B0697" w:rsidP="005725EA">
            <w:pPr>
              <w:jc w:val="both"/>
              <w:rPr>
                <w:rFonts w:ascii="Arial" w:hAnsi="Arial" w:cs="Arial"/>
                <w:b/>
                <w:bCs/>
                <w:noProof/>
                <w:sz w:val="24"/>
                <w:szCs w:val="24"/>
              </w:rPr>
            </w:pPr>
            <w:r w:rsidRPr="00E64399">
              <w:rPr>
                <w:rFonts w:ascii="Arial" w:hAnsi="Arial" w:cs="Arial"/>
                <w:b/>
                <w:bCs/>
                <w:noProof/>
                <w:sz w:val="24"/>
                <w:szCs w:val="24"/>
              </w:rPr>
              <w:t>16,207,884,000</w:t>
            </w:r>
          </w:p>
        </w:tc>
      </w:tr>
    </w:tbl>
    <w:p w14:paraId="5A70A738" w14:textId="77777777" w:rsidR="004B0697" w:rsidRPr="00E64399" w:rsidRDefault="004B0697" w:rsidP="004B0697">
      <w:pPr>
        <w:jc w:val="both"/>
        <w:rPr>
          <w:rFonts w:ascii="Arial" w:hAnsi="Arial" w:cs="Arial"/>
          <w:noProof/>
          <w:sz w:val="24"/>
          <w:szCs w:val="24"/>
        </w:rPr>
      </w:pPr>
    </w:p>
    <w:p w14:paraId="2ECC0090" w14:textId="77777777" w:rsidR="004B0697" w:rsidRPr="00E64399" w:rsidRDefault="004B0697" w:rsidP="004B0697">
      <w:pPr>
        <w:jc w:val="both"/>
        <w:rPr>
          <w:rFonts w:ascii="Arial" w:hAnsi="Arial" w:cs="Arial"/>
          <w:noProof/>
          <w:sz w:val="24"/>
          <w:szCs w:val="24"/>
        </w:rPr>
      </w:pPr>
      <w:r w:rsidRPr="00E64399">
        <w:rPr>
          <w:rFonts w:ascii="Arial" w:hAnsi="Arial" w:cs="Arial"/>
          <w:noProof/>
          <w:sz w:val="24"/>
          <w:szCs w:val="24"/>
        </w:rPr>
        <w:t>Хоёр. Дүгнэлт</w:t>
      </w:r>
    </w:p>
    <w:p w14:paraId="633E5965" w14:textId="77777777" w:rsidR="004B0697" w:rsidRPr="00E64399" w:rsidRDefault="004B0697" w:rsidP="004B0697">
      <w:pPr>
        <w:numPr>
          <w:ilvl w:val="0"/>
          <w:numId w:val="3"/>
        </w:numPr>
        <w:spacing w:after="160" w:line="259" w:lineRule="auto"/>
        <w:jc w:val="both"/>
        <w:rPr>
          <w:rFonts w:ascii="Arial" w:hAnsi="Arial" w:cs="Arial"/>
          <w:noProof/>
          <w:sz w:val="24"/>
          <w:szCs w:val="24"/>
        </w:rPr>
      </w:pPr>
      <w:r w:rsidRPr="00E64399">
        <w:rPr>
          <w:rFonts w:ascii="Arial" w:hAnsi="Arial" w:cs="Arial"/>
          <w:noProof/>
          <w:sz w:val="24"/>
          <w:szCs w:val="24"/>
        </w:rPr>
        <w:t xml:space="preserve">Хурлын даргын урамшуулал нь 32.16-д "олгож болно" гэсэн факультатив хэлбэртэй тул хуулийн төсөл батлагдснаар улсын төсвөөс заавал гарах зардал үүсгэхгүй. Тухайн шатны ИТХ урамшуулал олгохоор шийдвэрлэсэн тохиолдолд нийт дээд хэмжээ жилд </w:t>
      </w:r>
      <w:r>
        <w:rPr>
          <w:rFonts w:ascii="Arial" w:hAnsi="Arial" w:cs="Arial"/>
          <w:noProof/>
          <w:sz w:val="24"/>
          <w:szCs w:val="24"/>
          <w:lang w:val="mn-MN"/>
        </w:rPr>
        <w:t xml:space="preserve">нийтдээ </w:t>
      </w:r>
      <w:r w:rsidRPr="00E64399">
        <w:rPr>
          <w:rFonts w:ascii="Arial" w:hAnsi="Arial" w:cs="Arial"/>
          <w:noProof/>
          <w:sz w:val="24"/>
          <w:szCs w:val="24"/>
        </w:rPr>
        <w:t xml:space="preserve">16.2 тэрбум төгрөг байж болох боловч энэ нь </w:t>
      </w:r>
      <w:r>
        <w:rPr>
          <w:rFonts w:ascii="Arial" w:hAnsi="Arial" w:cs="Arial"/>
          <w:noProof/>
          <w:sz w:val="24"/>
          <w:szCs w:val="24"/>
          <w:lang w:val="mn-MN"/>
        </w:rPr>
        <w:t>ИТХ-ын шийдвэртэй уялдах</w:t>
      </w:r>
      <w:r w:rsidRPr="00E64399">
        <w:rPr>
          <w:rFonts w:ascii="Arial" w:hAnsi="Arial" w:cs="Arial"/>
          <w:noProof/>
          <w:sz w:val="24"/>
          <w:szCs w:val="24"/>
        </w:rPr>
        <w:t xml:space="preserve"> зардал юм.</w:t>
      </w:r>
    </w:p>
    <w:p w14:paraId="69F863A9" w14:textId="77777777" w:rsidR="004B0697" w:rsidRPr="00E64399" w:rsidRDefault="004B0697" w:rsidP="004B0697">
      <w:pPr>
        <w:numPr>
          <w:ilvl w:val="0"/>
          <w:numId w:val="3"/>
        </w:numPr>
        <w:spacing w:after="160" w:line="259" w:lineRule="auto"/>
        <w:jc w:val="both"/>
        <w:rPr>
          <w:rFonts w:ascii="Arial" w:hAnsi="Arial" w:cs="Arial"/>
          <w:noProof/>
          <w:sz w:val="24"/>
          <w:szCs w:val="24"/>
        </w:rPr>
      </w:pPr>
      <w:r w:rsidRPr="00E64399">
        <w:rPr>
          <w:rFonts w:ascii="Arial" w:hAnsi="Arial" w:cs="Arial"/>
          <w:noProof/>
          <w:sz w:val="24"/>
          <w:szCs w:val="24"/>
        </w:rPr>
        <w:t>Хэрэв урамшуулал олгох бол: нийт дүнгийн 87.7% нь хөдөө орон нутгийн багийн хурлын дарга нарт ногдохоор тооцоологдох боловч энэ нь факультатив тооцоолол.</w:t>
      </w:r>
    </w:p>
    <w:p w14:paraId="791440C7" w14:textId="77777777" w:rsidR="004B0697" w:rsidRPr="00E64399" w:rsidRDefault="004B0697" w:rsidP="004B0697">
      <w:pPr>
        <w:numPr>
          <w:ilvl w:val="0"/>
          <w:numId w:val="3"/>
        </w:numPr>
        <w:spacing w:after="160" w:line="259" w:lineRule="auto"/>
        <w:jc w:val="both"/>
        <w:rPr>
          <w:rFonts w:ascii="Arial" w:hAnsi="Arial" w:cs="Arial"/>
          <w:sz w:val="24"/>
          <w:szCs w:val="24"/>
        </w:rPr>
      </w:pPr>
      <w:r w:rsidRPr="00E64399">
        <w:rPr>
          <w:rFonts w:ascii="Arial" w:hAnsi="Arial" w:cs="Arial"/>
          <w:noProof/>
          <w:sz w:val="24"/>
          <w:szCs w:val="24"/>
        </w:rPr>
        <w:t>ИНХ-ын үйл ажиллагааны зардал (тамга, тэмдэг, хэвлэмэл хуудас, бичиг хэрэг) нь тухайн шатны ИТХ-ийн ажлын албаны одоо байгаа төсвөөс санхүүжих тул нэмэлт улсын төсвийн зардал шаардагдахгүй.</w:t>
      </w:r>
    </w:p>
    <w:p w14:paraId="19061233" w14:textId="77777777" w:rsidR="004B0697" w:rsidRPr="00E64399" w:rsidRDefault="004B0697" w:rsidP="004B0697">
      <w:pPr>
        <w:numPr>
          <w:ilvl w:val="0"/>
          <w:numId w:val="3"/>
        </w:numPr>
        <w:spacing w:after="160" w:line="259" w:lineRule="auto"/>
        <w:jc w:val="both"/>
        <w:rPr>
          <w:rFonts w:ascii="Arial" w:hAnsi="Arial" w:cs="Arial"/>
          <w:noProof/>
          <w:sz w:val="24"/>
          <w:szCs w:val="24"/>
        </w:rPr>
      </w:pPr>
      <w:r w:rsidRPr="00E64399">
        <w:rPr>
          <w:rFonts w:ascii="Arial" w:hAnsi="Arial" w:cs="Arial"/>
          <w:noProof/>
          <w:sz w:val="24"/>
          <w:szCs w:val="24"/>
        </w:rPr>
        <w:lastRenderedPageBreak/>
        <w:t>Хуулийн төсөл батлагдсанаар ИНХ-ын даргын урамшуулалд улсын төсвөөс заавал зардал гарахгүй. 32.16-д "олгож болно" гэсэн заалт нь эрхзүйн орчин бүрдүүлж байгаа боловч санхүүгийн үүрэг даалгаагүй. Санхүүжилтийн эх үүсвэрийг тухайн шатны ИТХ өөрсдөө шийдвэрл</w:t>
      </w:r>
      <w:r>
        <w:rPr>
          <w:rFonts w:ascii="Arial" w:hAnsi="Arial" w:cs="Arial"/>
          <w:noProof/>
          <w:sz w:val="24"/>
          <w:szCs w:val="24"/>
          <w:lang w:val="mn-MN"/>
        </w:rPr>
        <w:t>эх тул орон нутгийн төсөвт т</w:t>
      </w:r>
      <w:r w:rsidRPr="00E64399">
        <w:rPr>
          <w:rFonts w:ascii="Arial" w:hAnsi="Arial" w:cs="Arial"/>
          <w:noProof/>
          <w:sz w:val="24"/>
          <w:szCs w:val="24"/>
        </w:rPr>
        <w:t>усгах замаар санхүүжүүлэх боломжтой байна.</w:t>
      </w:r>
    </w:p>
    <w:p w14:paraId="0D8EEE7F" w14:textId="6F400162" w:rsidR="004A0245" w:rsidRDefault="004A0245" w:rsidP="004B0697"/>
    <w:p w14:paraId="058211E7" w14:textId="69F583C9" w:rsidR="004B0697" w:rsidRPr="004B0697" w:rsidRDefault="004B0697" w:rsidP="004B0697"/>
    <w:p w14:paraId="0ACDB10E" w14:textId="7AF18638" w:rsidR="004B0697" w:rsidRDefault="004B0697" w:rsidP="004B0697"/>
    <w:p w14:paraId="1EB709B5" w14:textId="59DF97DB" w:rsidR="004B0697" w:rsidRPr="004B0697" w:rsidRDefault="004B0697" w:rsidP="004B0697">
      <w:pPr>
        <w:jc w:val="center"/>
        <w:rPr>
          <w:lang w:val="mn-MN"/>
        </w:rPr>
      </w:pPr>
      <w:r>
        <w:rPr>
          <w:lang w:val="mn-MN"/>
        </w:rPr>
        <w:t>......................</w:t>
      </w:r>
      <w:r>
        <w:t>oOo</w:t>
      </w:r>
      <w:r>
        <w:rPr>
          <w:lang w:val="mn-MN"/>
        </w:rPr>
        <w:t>........................</w:t>
      </w:r>
      <w:bookmarkStart w:id="0" w:name="_GoBack"/>
      <w:bookmarkEnd w:id="0"/>
    </w:p>
    <w:p w14:paraId="096D2A2D" w14:textId="28DCF5C6" w:rsidR="004B0697" w:rsidRDefault="004B0697" w:rsidP="004B0697">
      <w:pPr>
        <w:tabs>
          <w:tab w:val="left" w:pos="3480"/>
        </w:tabs>
      </w:pPr>
      <w:r>
        <w:tab/>
      </w:r>
    </w:p>
    <w:p w14:paraId="3FCD7B3B" w14:textId="48FD5927" w:rsidR="004B0697" w:rsidRDefault="004B0697" w:rsidP="004B0697">
      <w:pPr>
        <w:tabs>
          <w:tab w:val="left" w:pos="3480"/>
        </w:tabs>
      </w:pPr>
    </w:p>
    <w:p w14:paraId="3A521B63" w14:textId="77777777" w:rsidR="004B0697" w:rsidRPr="004B0697" w:rsidRDefault="004B0697" w:rsidP="004B0697">
      <w:pPr>
        <w:tabs>
          <w:tab w:val="left" w:pos="3480"/>
        </w:tabs>
      </w:pPr>
    </w:p>
    <w:sectPr w:rsidR="004B0697" w:rsidRPr="004B0697" w:rsidSect="004B0697">
      <w:footerReference w:type="default" r:id="rId7"/>
      <w:pgSz w:w="12240" w:h="15840"/>
      <w:pgMar w:top="1440" w:right="900" w:bottom="144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51F653" w14:textId="77777777" w:rsidR="00257AAF" w:rsidRDefault="00257AAF" w:rsidP="004B0697">
      <w:pPr>
        <w:spacing w:after="0" w:line="240" w:lineRule="auto"/>
      </w:pPr>
      <w:r>
        <w:separator/>
      </w:r>
    </w:p>
  </w:endnote>
  <w:endnote w:type="continuationSeparator" w:id="0">
    <w:p w14:paraId="302FDEE8" w14:textId="77777777" w:rsidR="00257AAF" w:rsidRDefault="00257AAF" w:rsidP="004B0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3452001"/>
      <w:docPartObj>
        <w:docPartGallery w:val="Page Numbers (Bottom of Page)"/>
        <w:docPartUnique/>
      </w:docPartObj>
    </w:sdtPr>
    <w:sdtEndPr>
      <w:rPr>
        <w:noProof/>
      </w:rPr>
    </w:sdtEndPr>
    <w:sdtContent>
      <w:p w14:paraId="73427CAE" w14:textId="59C3E696" w:rsidR="004B0697" w:rsidRDefault="004B069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40C91E" w14:textId="77777777" w:rsidR="004B0697" w:rsidRDefault="004B06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08B6EA" w14:textId="77777777" w:rsidR="00257AAF" w:rsidRDefault="00257AAF" w:rsidP="004B0697">
      <w:pPr>
        <w:spacing w:after="0" w:line="240" w:lineRule="auto"/>
      </w:pPr>
      <w:r>
        <w:separator/>
      </w:r>
    </w:p>
  </w:footnote>
  <w:footnote w:type="continuationSeparator" w:id="0">
    <w:p w14:paraId="36E23A5E" w14:textId="77777777" w:rsidR="00257AAF" w:rsidRDefault="00257AAF" w:rsidP="004B06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55CB4"/>
    <w:multiLevelType w:val="multilevel"/>
    <w:tmpl w:val="49968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0B7A75"/>
    <w:multiLevelType w:val="multilevel"/>
    <w:tmpl w:val="44DE4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7D3B3A"/>
    <w:multiLevelType w:val="multilevel"/>
    <w:tmpl w:val="A76A1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697"/>
    <w:rsid w:val="00257AAF"/>
    <w:rsid w:val="004A0245"/>
    <w:rsid w:val="004B0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8E469"/>
  <w15:chartTrackingRefBased/>
  <w15:docId w15:val="{7981355F-BE63-4EC1-990F-09A8FD294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B0697"/>
    <w:pPr>
      <w:spacing w:after="200" w:line="288" w:lineRule="auto"/>
    </w:pPr>
    <w:rPr>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0697"/>
    <w:pPr>
      <w:spacing w:after="0" w:line="240" w:lineRule="auto"/>
    </w:pPr>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B06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0697"/>
    <w:rPr>
      <w:sz w:val="21"/>
      <w:szCs w:val="21"/>
    </w:rPr>
  </w:style>
  <w:style w:type="paragraph" w:styleId="Footer">
    <w:name w:val="footer"/>
    <w:basedOn w:val="Normal"/>
    <w:link w:val="FooterChar"/>
    <w:uiPriority w:val="99"/>
    <w:unhideWhenUsed/>
    <w:rsid w:val="004B06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0697"/>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585</Words>
  <Characters>3338</Characters>
  <Application>Microsoft Office Word</Application>
  <DocSecurity>0</DocSecurity>
  <Lines>27</Lines>
  <Paragraphs>7</Paragraphs>
  <ScaleCrop>false</ScaleCrop>
  <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uran chimeg</dc:creator>
  <cp:keywords/>
  <dc:description/>
  <cp:lastModifiedBy>uran chimeg</cp:lastModifiedBy>
  <cp:revision>1</cp:revision>
  <dcterms:created xsi:type="dcterms:W3CDTF">2026-06-02T03:55:00Z</dcterms:created>
  <dcterms:modified xsi:type="dcterms:W3CDTF">2026-06-02T03:57:00Z</dcterms:modified>
</cp:coreProperties>
</file>