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47E79" w14:textId="77777777" w:rsidR="00556114" w:rsidRPr="00E64399" w:rsidRDefault="00556114" w:rsidP="00556114">
      <w:pPr>
        <w:spacing w:before="100" w:beforeAutospacing="1" w:after="100" w:afterAutospacing="1" w:line="240" w:lineRule="auto"/>
        <w:jc w:val="center"/>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МОНГОЛ УЛСЫН ЗАСАГ ЗАХИРГАА, НУТАГ ДЭВСГЭРИЙН НЭГЖ, ТҮҮНИЙ УДИРДЛАГЫН ТУХАЙ ХУУЛИЙН НЭМЭЛТ ӨӨРЧЛӨЛТИЙН ТӨСЛИЙН УРЬДЧИЛАН ТАНДАН СУДЛАХ ҮНЭЛГЭЭНИЙ ТАЙЛАН</w:t>
      </w:r>
    </w:p>
    <w:p w14:paraId="35E4D9B3" w14:textId="77777777" w:rsidR="00556114" w:rsidRPr="00E64399" w:rsidRDefault="00556114" w:rsidP="00556114">
      <w:pPr>
        <w:spacing w:before="100" w:beforeAutospacing="1" w:after="100" w:afterAutospacing="1" w:line="240" w:lineRule="auto"/>
        <w:ind w:firstLine="720"/>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Нэг. Асуудалд дүн шинжилгээ хийсэн байдал</w:t>
      </w:r>
    </w:p>
    <w:p w14:paraId="27807787" w14:textId="77777777" w:rsidR="00556114" w:rsidRPr="00E64399" w:rsidRDefault="00556114" w:rsidP="00556114">
      <w:pPr>
        <w:spacing w:before="100" w:beforeAutospacing="1" w:after="100" w:afterAutospacing="1"/>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Монгол Улсын Засаг захиргаа, нутаг дэвсгэрийн нэгж, түүний удирдлагын тухай хуульд нэмэлт, өөрчлөлт оруулах тухай хуулийн төслийг Хууль тогтоомжийн тухай хуулийн 13 дугаар зүйлийн 13.2 дахь хэсгийн дагуу судалсан болно. </w:t>
      </w:r>
    </w:p>
    <w:p w14:paraId="0676452C" w14:textId="61B93892" w:rsidR="00556114" w:rsidRPr="00E64399" w:rsidRDefault="00556114" w:rsidP="00556114">
      <w:pPr>
        <w:spacing w:before="100" w:beforeAutospacing="1" w:after="100" w:afterAutospacing="1"/>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Монгол Улсын засаг захиргаа, нутаг дэвсгэрийн нэгж, түүний удирдлагын тухай хуулийн шинэчилсэн найруулга 2022 оноос хэрэгжиж эхэлснээр баг, хорооны иргэдийн Нийтийн Хурлыг "Хуралдааны дарга"-тай, тодорхой бүтэцгүй болгосон нь анхан шатны нэгжийн өөрөө удирдах ёсны институцийг сулруулж, гүйцэтгэх засаглалаас (Засаг даргаас) хэт хараат байдалд оруулсан байна. Үүний улмаас баг, хорооны иргэдийн Нийтийн Хурал </w:t>
      </w:r>
      <w:r>
        <w:rPr>
          <w:rFonts w:ascii="Arial" w:eastAsia="Times New Roman" w:hAnsi="Arial" w:cs="Arial"/>
          <w:noProof/>
          <w:sz w:val="24"/>
          <w:szCs w:val="24"/>
          <w:lang w:val="mn-MN"/>
        </w:rPr>
        <w:t xml:space="preserve">тогтмол </w:t>
      </w:r>
      <w:r w:rsidRPr="00E64399">
        <w:rPr>
          <w:rFonts w:ascii="Arial" w:eastAsia="Times New Roman" w:hAnsi="Arial" w:cs="Arial"/>
          <w:noProof/>
          <w:sz w:val="24"/>
          <w:szCs w:val="24"/>
          <w:lang w:val="mn-MN"/>
        </w:rPr>
        <w:t>хуралдахгүй</w:t>
      </w:r>
      <w:r>
        <w:rPr>
          <w:rFonts w:ascii="Arial" w:eastAsia="Times New Roman" w:hAnsi="Arial" w:cs="Arial"/>
          <w:noProof/>
          <w:sz w:val="24"/>
          <w:szCs w:val="24"/>
          <w:lang w:val="mn-MN"/>
        </w:rPr>
        <w:t>, үйл ажиллагаа доголдсон</w:t>
      </w:r>
      <w:r w:rsidRPr="00E64399">
        <w:rPr>
          <w:rFonts w:ascii="Arial" w:eastAsia="Times New Roman" w:hAnsi="Arial" w:cs="Arial"/>
          <w:noProof/>
          <w:sz w:val="24"/>
          <w:szCs w:val="24"/>
          <w:lang w:val="mn-MN"/>
        </w:rPr>
        <w:t xml:space="preserve"> байна. </w:t>
      </w:r>
    </w:p>
    <w:p w14:paraId="02485545" w14:textId="77777777" w:rsidR="00556114" w:rsidRPr="00E64399" w:rsidRDefault="00556114" w:rsidP="00556114">
      <w:pPr>
        <w:spacing w:before="100" w:beforeAutospacing="1" w:after="100" w:afterAutospacing="1"/>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Асуудлын цар хүрээ:</w:t>
      </w:r>
    </w:p>
    <w:p w14:paraId="2BFBF8F5" w14:textId="77777777" w:rsidR="00556114" w:rsidRPr="00E64399" w:rsidRDefault="00556114" w:rsidP="00556114">
      <w:pPr>
        <w:pStyle w:val="ListParagraph"/>
        <w:numPr>
          <w:ilvl w:val="0"/>
          <w:numId w:val="6"/>
        </w:numPr>
        <w:spacing w:before="40" w:after="40"/>
        <w:contextualSpacing w:val="0"/>
        <w:rPr>
          <w:rFonts w:ascii="Arial" w:hAnsi="Arial" w:cs="Arial"/>
          <w:noProof/>
          <w:sz w:val="24"/>
          <w:szCs w:val="24"/>
          <w:lang w:val="mn-MN"/>
        </w:rPr>
      </w:pPr>
      <w:r w:rsidRPr="00E64399">
        <w:rPr>
          <w:rFonts w:ascii="Arial" w:hAnsi="Arial" w:cs="Arial"/>
          <w:noProof/>
          <w:sz w:val="24"/>
          <w:szCs w:val="24"/>
          <w:lang w:val="mn-MN"/>
        </w:rPr>
        <w:t>Нийслэлийн 204 хороо, аймгуудын 1,647 багийн — нийт 1,851 нэгжийн иргэдийн нийтлэг эрх ашиг хөндөгдөж байна.</w:t>
      </w:r>
    </w:p>
    <w:p w14:paraId="7C8A8E04" w14:textId="77777777" w:rsidR="00556114" w:rsidRPr="00E64399" w:rsidRDefault="00556114" w:rsidP="00556114">
      <w:pPr>
        <w:pStyle w:val="ListParagraph"/>
        <w:numPr>
          <w:ilvl w:val="0"/>
          <w:numId w:val="6"/>
        </w:numPr>
        <w:spacing w:before="40" w:after="40"/>
        <w:contextualSpacing w:val="0"/>
        <w:rPr>
          <w:rFonts w:ascii="Arial" w:hAnsi="Arial" w:cs="Arial"/>
          <w:noProof/>
          <w:sz w:val="24"/>
          <w:szCs w:val="24"/>
          <w:lang w:val="mn-MN"/>
        </w:rPr>
      </w:pPr>
      <w:r w:rsidRPr="00E64399">
        <w:rPr>
          <w:rFonts w:ascii="Arial" w:hAnsi="Arial" w:cs="Arial"/>
          <w:noProof/>
          <w:sz w:val="24"/>
          <w:szCs w:val="24"/>
          <w:lang w:val="mn-MN"/>
        </w:rPr>
        <w:t>ИНХ-ын ирц бүрдүүлэлтийн "өрхийн квот" нь иргэдийн оролцох эрхийг хангахын оронд хязгаарлах хэрэгсэл болсон.</w:t>
      </w:r>
    </w:p>
    <w:p w14:paraId="6A773D71" w14:textId="77777777" w:rsidR="00556114" w:rsidRPr="00E64399" w:rsidRDefault="00556114" w:rsidP="00556114">
      <w:pPr>
        <w:pStyle w:val="ListParagraph"/>
        <w:numPr>
          <w:ilvl w:val="0"/>
          <w:numId w:val="6"/>
        </w:numPr>
        <w:spacing w:before="40" w:after="40"/>
        <w:contextualSpacing w:val="0"/>
        <w:rPr>
          <w:rFonts w:ascii="Arial" w:hAnsi="Arial" w:cs="Arial"/>
          <w:noProof/>
          <w:sz w:val="24"/>
          <w:szCs w:val="24"/>
          <w:lang w:val="mn-MN"/>
        </w:rPr>
      </w:pPr>
      <w:r w:rsidRPr="00E64399">
        <w:rPr>
          <w:rFonts w:ascii="Arial" w:hAnsi="Arial" w:cs="Arial"/>
          <w:noProof/>
          <w:sz w:val="24"/>
          <w:szCs w:val="24"/>
          <w:lang w:val="mn-MN"/>
        </w:rPr>
        <w:t>Цахим технологийн давуу талыг ашиглахгүй байгаа нь ИНХ-ын хуралдааны хүртээмжийг хязгаарлаж, хөдөлмөрийн насныхны оролцоог алдагдуулж байна.</w:t>
      </w:r>
    </w:p>
    <w:p w14:paraId="7B7CF9FB" w14:textId="77777777" w:rsidR="00556114" w:rsidRPr="00E64399" w:rsidRDefault="00556114" w:rsidP="00556114">
      <w:pPr>
        <w:spacing w:before="100" w:beforeAutospacing="1" w:after="100" w:afterAutospacing="1"/>
        <w:ind w:firstLine="720"/>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Хоёр. Асуудлыг үүсгэж буй шалтгаан, нөхцөл</w:t>
      </w:r>
    </w:p>
    <w:p w14:paraId="048EFB89" w14:textId="77777777" w:rsidR="00556114" w:rsidRPr="00E64399" w:rsidRDefault="00556114" w:rsidP="00556114">
      <w:pPr>
        <w:spacing w:before="60" w:after="60"/>
        <w:ind w:firstLine="720"/>
        <w:jc w:val="both"/>
        <w:rPr>
          <w:rFonts w:ascii="Arial" w:hAnsi="Arial" w:cs="Arial"/>
          <w:noProof/>
          <w:sz w:val="24"/>
          <w:szCs w:val="24"/>
          <w:lang w:val="mn-MN"/>
        </w:rPr>
      </w:pPr>
      <w:r w:rsidRPr="00E64399">
        <w:rPr>
          <w:rFonts w:ascii="Arial" w:hAnsi="Arial" w:cs="Arial"/>
          <w:noProof/>
          <w:sz w:val="24"/>
          <w:szCs w:val="24"/>
          <w:lang w:val="mn-MN"/>
        </w:rPr>
        <w:t>Монгол Улсын засаг захиргаа, нутаг дэвсгэрийн нэгж, түүний удирдлагын тухай хуулийн шинэчилсэн найруулга 2022 оны 01 дүгээр сарын 01-ний өдрөөс хэрэгжиж эхэлсэнээр төрийн анхан шатны нэгж болох баг, хорооны түвшинд Засаг даргад, түүний удирдлагын баг болох ИНХ-ын Зөвлөлд асуудлыг шийдвэрлэх болсноор эрх мэдлийн хяналт, тэнцвэр алдагдан, нутгийн өөрөө удирдах ёсны байгууллагын үйл ажиллагаа доголдсон байна.</w:t>
      </w:r>
    </w:p>
    <w:p w14:paraId="7C54793A" w14:textId="77777777" w:rsidR="00556114" w:rsidRPr="00E64399" w:rsidRDefault="00556114" w:rsidP="00556114">
      <w:pPr>
        <w:ind w:firstLine="720"/>
        <w:jc w:val="both"/>
        <w:rPr>
          <w:rFonts w:ascii="Arial" w:hAnsi="Arial" w:cs="Arial"/>
          <w:noProof/>
          <w:sz w:val="24"/>
          <w:szCs w:val="24"/>
          <w:lang w:val="mn-MN"/>
        </w:rPr>
      </w:pPr>
      <w:r w:rsidRPr="00E64399">
        <w:rPr>
          <w:rFonts w:ascii="Arial" w:hAnsi="Arial" w:cs="Arial"/>
          <w:noProof/>
          <w:sz w:val="24"/>
          <w:szCs w:val="24"/>
          <w:lang w:val="mn-MN"/>
        </w:rPr>
        <w:t xml:space="preserve"> Төрийн анхан шатны нэгж болох баг, хороод нь зөвхөн иргэдийн Нийтийн Хуралтай байдаг бөгөөд ИНХ нь тухайн шатны нутгийн өөрөө удирдах ёсны байгууллага юм. </w:t>
      </w:r>
      <w:r w:rsidRPr="00E64399">
        <w:rPr>
          <w:rFonts w:ascii="Arial" w:eastAsia="Times New Roman" w:hAnsi="Arial" w:cs="Arial"/>
          <w:noProof/>
          <w:sz w:val="24"/>
          <w:szCs w:val="24"/>
          <w:lang w:val="mn-MN"/>
        </w:rPr>
        <w:t>ИНХ-ын Хуралдааны дарга нь байнгын статусгүй тул Хурлын шийдвэрийн хэрэгжилтэд хяналт тавих, иргэдийг төлөөлөх бодит чадамжгүй байна.</w:t>
      </w:r>
    </w:p>
    <w:p w14:paraId="4FBBAAB1" w14:textId="77777777" w:rsidR="00556114" w:rsidRPr="00E64399" w:rsidRDefault="00556114" w:rsidP="00556114">
      <w:pPr>
        <w:spacing w:before="100" w:beforeAutospacing="1" w:after="100" w:afterAutospacing="1"/>
        <w:ind w:firstLine="720"/>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Гурав. Зорилго, зорилтыг тодорхойлох</w:t>
      </w:r>
    </w:p>
    <w:p w14:paraId="6D90359E" w14:textId="77777777" w:rsidR="00556114" w:rsidRPr="00E64399" w:rsidRDefault="00556114" w:rsidP="00556114">
      <w:p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b/>
          <w:bCs/>
          <w:noProof/>
          <w:sz w:val="24"/>
          <w:szCs w:val="24"/>
          <w:lang w:val="mn-MN"/>
        </w:rPr>
        <w:lastRenderedPageBreak/>
        <w:t>Зорилго:</w:t>
      </w:r>
      <w:r w:rsidRPr="00E64399">
        <w:rPr>
          <w:rFonts w:ascii="Arial" w:eastAsia="Times New Roman" w:hAnsi="Arial" w:cs="Arial"/>
          <w:noProof/>
          <w:sz w:val="24"/>
          <w:szCs w:val="24"/>
          <w:lang w:val="mn-MN"/>
        </w:rPr>
        <w:t xml:space="preserve"> Баг, хорооны ИНХ-ыг байнгын ажиллагаатай "Хурлын дарга"-тай болгож, иргэдийн оролцооны цахим болон танхимын хосолсон хэлбэрийг хуульчлах замаар нутгийн өөрөө удирдах ёсыг бэхжүүлэх.</w:t>
      </w:r>
    </w:p>
    <w:p w14:paraId="5065EF20" w14:textId="77777777" w:rsidR="00556114" w:rsidRPr="00E64399" w:rsidRDefault="00556114" w:rsidP="00556114">
      <w:p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b/>
          <w:bCs/>
          <w:noProof/>
          <w:sz w:val="24"/>
          <w:szCs w:val="24"/>
          <w:lang w:val="mn-MN"/>
        </w:rPr>
        <w:t>Зорилтууд:</w:t>
      </w:r>
    </w:p>
    <w:p w14:paraId="71937ADC" w14:textId="77777777" w:rsidR="00556114" w:rsidRPr="00E64399" w:rsidRDefault="00556114" w:rsidP="00556114">
      <w:pPr>
        <w:numPr>
          <w:ilvl w:val="1"/>
          <w:numId w:val="1"/>
        </w:num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ИНХ-ын ирцийн босгыг хүн амын тооноос хамааруулан шатлалтай тогтоох.</w:t>
      </w:r>
    </w:p>
    <w:p w14:paraId="41DD3AC4" w14:textId="77777777" w:rsidR="00556114" w:rsidRPr="00E64399" w:rsidRDefault="00556114" w:rsidP="00556114">
      <w:pPr>
        <w:numPr>
          <w:ilvl w:val="1"/>
          <w:numId w:val="1"/>
        </w:num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Баг, хорооны Засаг даргыг нэр дэвшүүлэх ажиллагааг нээлттэй, нууц санал хураалтын зарчимд шилжүүлэх.</w:t>
      </w:r>
    </w:p>
    <w:p w14:paraId="5F2439F5" w14:textId="77777777" w:rsidR="00556114" w:rsidRPr="00E64399" w:rsidRDefault="00556114" w:rsidP="00556114">
      <w:pPr>
        <w:numPr>
          <w:ilvl w:val="1"/>
          <w:numId w:val="1"/>
        </w:num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ИНХ-ын даргын эдийн засгийн баталгааг төсвөөс хангах.</w:t>
      </w:r>
    </w:p>
    <w:p w14:paraId="0BD05428" w14:textId="77777777" w:rsidR="00556114" w:rsidRPr="00E64399" w:rsidRDefault="00556114" w:rsidP="00556114">
      <w:pPr>
        <w:spacing w:before="100" w:beforeAutospacing="1" w:after="100" w:afterAutospacing="1"/>
        <w:ind w:firstLine="720"/>
        <w:jc w:val="both"/>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t>Дөрөв. Асуудлыг шийдвэрлэх хувилбарууд, тэдгээрийн нөлөөлөл</w:t>
      </w:r>
    </w:p>
    <w:p w14:paraId="52394870" w14:textId="77777777" w:rsidR="00556114" w:rsidRPr="00E64399" w:rsidRDefault="00556114" w:rsidP="00556114">
      <w:pPr>
        <w:numPr>
          <w:ilvl w:val="0"/>
          <w:numId w:val="2"/>
        </w:num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b/>
          <w:bCs/>
          <w:noProof/>
          <w:sz w:val="24"/>
          <w:szCs w:val="24"/>
          <w:lang w:val="mn-MN"/>
        </w:rPr>
        <w:t>Хувилбар 1: "</w:t>
      </w:r>
      <w:r w:rsidRPr="00E64399">
        <w:rPr>
          <w:rFonts w:ascii="Arial" w:eastAsia="Times New Roman" w:hAnsi="Arial" w:cs="Arial"/>
          <w:noProof/>
          <w:sz w:val="24"/>
          <w:szCs w:val="24"/>
          <w:lang w:val="mn-MN"/>
        </w:rPr>
        <w:t xml:space="preserve">Тэг" хувилбар буюу одоогийн нөхцөл байдлыг хэвээр үлдээж зохицуулалт хийхээс татгалзах хувилбар. 2022 оны 01 сарын 01-ний өдрөөс хэрэгжсэн хуулийн зохицуулалтыг хэвээр үлдээвэл анхан шатны нэгжүүд эзэнгүйдэж, засаглалын дүрмийн бус хэлбэрээр хуралддаг болж, ИНХ нь дан ганц Засаг даргын хүслийг албажуулдаг хэлбэрээр ажиллаж, иргэдийн төрд итгэх итгэл суларч, авлигын индекс урам буурах эрсдэлтэй байна. </w:t>
      </w:r>
    </w:p>
    <w:p w14:paraId="7A9CDC95" w14:textId="77777777" w:rsidR="00556114" w:rsidRPr="00E64399" w:rsidRDefault="00556114" w:rsidP="00556114">
      <w:pPr>
        <w:numPr>
          <w:ilvl w:val="0"/>
          <w:numId w:val="2"/>
        </w:num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b/>
          <w:bCs/>
          <w:noProof/>
          <w:sz w:val="24"/>
          <w:szCs w:val="24"/>
          <w:lang w:val="mn-MN"/>
        </w:rPr>
        <w:t xml:space="preserve">Хувилбар 2: </w:t>
      </w:r>
      <w:r w:rsidRPr="00E64399">
        <w:rPr>
          <w:rFonts w:ascii="Arial" w:eastAsia="Times New Roman" w:hAnsi="Arial" w:cs="Arial"/>
          <w:noProof/>
          <w:sz w:val="24"/>
          <w:szCs w:val="24"/>
          <w:lang w:val="mn-MN"/>
        </w:rPr>
        <w:t>Зохицуулалтын бус арга буюу одоо байгаа хуулийн хүрээнд журам, зөвлөмж гаргах хувилбар. Монгол Улсын засаг захиргаа, нутаг дэвсгэрийн нэгж, түүнийг удирдлагын тухай хуулийн заалт өөрөө хэрэгжүүлэхэд хүндрэлтэй тул журам гаргаад үр дүнд хүрэхгүй.</w:t>
      </w:r>
    </w:p>
    <w:p w14:paraId="6EC72F8B" w14:textId="77777777" w:rsidR="00556114" w:rsidRPr="00E64399" w:rsidRDefault="00556114" w:rsidP="00556114">
      <w:pPr>
        <w:numPr>
          <w:ilvl w:val="0"/>
          <w:numId w:val="2"/>
        </w:numPr>
        <w:spacing w:before="100" w:beforeAutospacing="1" w:after="100" w:afterAutospacing="1"/>
        <w:jc w:val="both"/>
        <w:rPr>
          <w:rFonts w:ascii="Arial" w:eastAsia="Times New Roman" w:hAnsi="Arial" w:cs="Arial"/>
          <w:noProof/>
          <w:sz w:val="24"/>
          <w:szCs w:val="24"/>
          <w:lang w:val="mn-MN"/>
        </w:rPr>
      </w:pPr>
      <w:r w:rsidRPr="00E64399">
        <w:rPr>
          <w:rFonts w:ascii="Arial" w:eastAsia="Times New Roman" w:hAnsi="Arial" w:cs="Arial"/>
          <w:b/>
          <w:bCs/>
          <w:noProof/>
          <w:sz w:val="24"/>
          <w:szCs w:val="24"/>
          <w:lang w:val="mn-MN"/>
        </w:rPr>
        <w:t xml:space="preserve">Хувилбар 3: </w:t>
      </w: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хуульд нэмэлт, өөрчлөлт оруулахаар сонгосон хувилбар. Тус хуулийн 32 дугаар зүйл нь баг, хорооны иргэдийн Нийтийн Хурлыг үйл ажиллагааг зохицуулж байгаа тул Үндсэн хуулийн үзэл баримтлалд нийцүүлэн иргэн төвтэй иргэдийн Нийтийн Хурал хуралдах зохицуулалтыг тусгаж эрх зүйн баталгаатай болсноор ИНХ бие даан үйл ажиллагаа явуулж, иргэний хяналт бодитой тогтоно.</w:t>
      </w:r>
    </w:p>
    <w:p w14:paraId="6A77EB98" w14:textId="77777777" w:rsidR="00556114" w:rsidRPr="00E64399" w:rsidRDefault="00556114" w:rsidP="00556114">
      <w:pPr>
        <w:spacing w:before="100" w:beforeAutospacing="1" w:after="100" w:afterAutospacing="1" w:line="240" w:lineRule="auto"/>
        <w:ind w:firstLine="720"/>
        <w:jc w:val="both"/>
        <w:rPr>
          <w:rFonts w:ascii="Arial" w:hAnsi="Arial" w:cs="Arial"/>
          <w:noProof/>
          <w:sz w:val="24"/>
          <w:szCs w:val="24"/>
          <w:lang w:val="mn-MN"/>
        </w:rPr>
      </w:pPr>
      <w:r w:rsidRPr="00E64399">
        <w:rPr>
          <w:rFonts w:ascii="Arial" w:eastAsia="Times New Roman" w:hAnsi="Arial" w:cs="Arial"/>
          <w:b/>
          <w:bCs/>
          <w:noProof/>
          <w:sz w:val="24"/>
          <w:szCs w:val="24"/>
          <w:lang w:val="mn-MN"/>
        </w:rPr>
        <w:t>Тав. Сонгосон з</w:t>
      </w:r>
      <w:r w:rsidRPr="00E64399">
        <w:rPr>
          <w:rFonts w:ascii="Arial" w:hAnsi="Arial" w:cs="Arial"/>
          <w:b/>
          <w:bCs/>
          <w:noProof/>
          <w:sz w:val="24"/>
          <w:szCs w:val="24"/>
          <w:lang w:val="mn-MN"/>
        </w:rPr>
        <w:t>охицуулалтын хувилбарын үр нөлөөг тандан судалсан байдал</w:t>
      </w:r>
    </w:p>
    <w:p w14:paraId="1596090D" w14:textId="77777777" w:rsidR="00556114" w:rsidRPr="00E64399" w:rsidRDefault="00556114" w:rsidP="00556114">
      <w:pPr>
        <w:pStyle w:val="NormalWeb"/>
        <w:spacing w:line="180" w:lineRule="atLeast"/>
        <w:ind w:firstLine="720"/>
        <w:jc w:val="both"/>
        <w:rPr>
          <w:rFonts w:ascii="Arial" w:hAnsi="Arial" w:cs="Arial"/>
          <w:noProof/>
          <w:lang w:val="mn-MN"/>
        </w:rPr>
      </w:pPr>
      <w:r w:rsidRPr="00E64399">
        <w:rPr>
          <w:rFonts w:ascii="Arial" w:hAnsi="Arial" w:cs="Arial"/>
          <w:noProof/>
          <w:lang w:val="mn-MN"/>
        </w:rPr>
        <w:t>Хүснэгт 1</w:t>
      </w:r>
    </w:p>
    <w:p w14:paraId="37E6019A" w14:textId="77777777" w:rsidR="00556114" w:rsidRPr="00E64399" w:rsidRDefault="00556114" w:rsidP="00556114">
      <w:pPr>
        <w:pStyle w:val="NormalWeb"/>
        <w:spacing w:line="180" w:lineRule="atLeast"/>
        <w:ind w:firstLine="720"/>
        <w:jc w:val="both"/>
        <w:rPr>
          <w:rFonts w:ascii="Arial" w:hAnsi="Arial" w:cs="Arial"/>
          <w:noProof/>
          <w:lang w:val="mn-MN"/>
        </w:rPr>
      </w:pPr>
      <w:r w:rsidRPr="00E64399">
        <w:rPr>
          <w:rFonts w:ascii="Arial" w:hAnsi="Arial" w:cs="Arial"/>
          <w:noProof/>
          <w:lang w:val="mn-MN"/>
        </w:rPr>
        <w:t>ХҮНИЙ ЭРХЭД ҮЗҮҮЛЭХ ҮР НӨЛӨӨ</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3622"/>
        <w:gridCol w:w="1010"/>
        <w:gridCol w:w="999"/>
        <w:gridCol w:w="2040"/>
      </w:tblGrid>
      <w:tr w:rsidR="00556114" w:rsidRPr="00E64399" w14:paraId="550A4C3F" w14:textId="77777777" w:rsidTr="005725EA">
        <w:trPr>
          <w:cantSplit/>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D84E8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Үзүүлэх үр</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498C3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Холбогдох асуулт</w:t>
            </w:r>
          </w:p>
        </w:tc>
        <w:tc>
          <w:tcPr>
            <w:tcW w:w="226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95583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Хариулт</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6663A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Тайлбар</w:t>
            </w:r>
          </w:p>
        </w:tc>
      </w:tr>
      <w:tr w:rsidR="00556114" w:rsidRPr="00E64399" w14:paraId="7A521D0C" w14:textId="77777777" w:rsidTr="005725EA">
        <w:trPr>
          <w:cantSplit/>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1BDE6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ы1.Хүний эрхийн суурь зарчмуудад нийцэж байгаа эсэх</w:t>
            </w:r>
          </w:p>
        </w:tc>
        <w:tc>
          <w:tcPr>
            <w:tcW w:w="7515"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302D9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1.1.Ялгаварлан гадуурхахгүй ба тэгш байх</w:t>
            </w:r>
          </w:p>
        </w:tc>
      </w:tr>
      <w:tr w:rsidR="00556114" w:rsidRPr="00E64399" w14:paraId="24470336"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3146BA"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7320A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1.1.1.Ялгаварлан гадуурхахыг хориглох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7B9047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CC92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EDD66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Бүх баг хорооны Засаг дарга, ИНХ-ын дарга нарт ижил шалгуур тавигдана</w:t>
            </w:r>
          </w:p>
        </w:tc>
      </w:tr>
      <w:tr w:rsidR="00556114" w:rsidRPr="00E64399" w14:paraId="5391D559"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5307A2"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58A39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1.1.2.Ялгаварлан гадуурхсан буюу аль нэг бүлэгт давуу байдал үүсгэх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8904F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8F5BA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BC082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r>
      <w:tr w:rsidR="00556114" w:rsidRPr="00E64399" w14:paraId="056C0CA5" w14:textId="77777777" w:rsidTr="005725EA">
        <w:trPr>
          <w:cantSplit/>
          <w:trHeight w:val="7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2A9FA"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D2F8BD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14EE3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04249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FBFED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 байхгүй</w:t>
            </w:r>
          </w:p>
        </w:tc>
      </w:tr>
      <w:tr w:rsidR="00556114" w:rsidRPr="00E64399" w14:paraId="46FCFB6E"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DD290"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637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F38FC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1.2.Оролцоог хангах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DF278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r>
      <w:tr w:rsidR="00556114" w:rsidRPr="00E64399" w14:paraId="59B7E6EC"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468625"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953BD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249CD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A29F4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C459D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 ИНХ-ын даргад урамшуулал олгосноор анхан шатны ИНХ-ын үйл ажиллагаа тогтмолжиж иргэдийн оролцоо нэмэгдэнэ. </w:t>
            </w:r>
          </w:p>
        </w:tc>
      </w:tr>
      <w:tr w:rsidR="00556114" w:rsidRPr="00E64399" w14:paraId="31D218AF"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2C6C5"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30680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12D2B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29B28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B2EA4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Баг,хорооны иргэд, Засаг дарга, ИНХ-ын дарга</w:t>
            </w:r>
          </w:p>
        </w:tc>
      </w:tr>
      <w:tr w:rsidR="00556114" w:rsidRPr="00E64399" w14:paraId="63D11328"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9AD4A"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6375"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249E72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1.3.Хууль дээдлэх зарчим ба сайн засаглал, хариуцлага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363D0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r>
      <w:tr w:rsidR="00556114" w:rsidRPr="00E64399" w14:paraId="6F948051"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D8D3E6"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460DC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1.3.1.Зохицуулалтыг бий болгосноор хүний эрхийг хөхиүлэн дэмжих, хангах, хамгаалах явцад ахиц дэвшил гарах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8A478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E6080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CE475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иргэд</w:t>
            </w:r>
            <w:r w:rsidRPr="00E64399">
              <w:rPr>
                <w:rFonts w:ascii="Arial" w:hAnsi="Arial" w:cs="Arial"/>
                <w:noProof/>
                <w:sz w:val="24"/>
                <w:szCs w:val="24"/>
                <w:lang w:val="mn-MN"/>
              </w:rPr>
              <w:t xml:space="preserve"> өөрт хамгийн ойр нэгжээрээ дамжуулан засаглах эрхээ бодитой хэрэгжүүлэх боломж нэмэгдэнэ</w:t>
            </w:r>
          </w:p>
        </w:tc>
      </w:tr>
      <w:tr w:rsidR="00556114" w:rsidRPr="00E64399" w14:paraId="3CE0F962"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0B92D8"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0D463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4B1BA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70723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DA89B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r w:rsidRPr="00E64399">
              <w:rPr>
                <w:rFonts w:ascii="Arial" w:hAnsi="Arial" w:cs="Arial"/>
                <w:noProof/>
                <w:sz w:val="24"/>
                <w:szCs w:val="24"/>
                <w:lang w:val="mn-MN"/>
              </w:rPr>
              <w:t>Хүний эрхийг хязгаарлах зохицуулалт байхгүй, харин эрхийг хангах механизмыг дэмжсэн.</w:t>
            </w:r>
          </w:p>
        </w:tc>
      </w:tr>
      <w:tr w:rsidR="00556114" w:rsidRPr="00E64399" w14:paraId="405A8E8F"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CBF347"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440B9F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1.3.3.Хүний эрхийг зөрчигчдөд хүлээлгэх хариуцлагыг тусгах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2C1EE4"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A9CD9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A4125F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Энэ асуудалтай холбоогүй</w:t>
            </w:r>
          </w:p>
        </w:tc>
      </w:tr>
      <w:tr w:rsidR="00556114" w:rsidRPr="00E64399" w14:paraId="18DAA89D" w14:textId="77777777" w:rsidTr="005725EA">
        <w:trPr>
          <w:cantSplit/>
          <w:trHeight w:val="375"/>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1BDA4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2.Хүний эрхийг</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91462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2.1.Зохицуулалт нь хүний эрхийг хязгаарлах тохиолдолд энэ нь хууль ёсны ашиг сонирхолд нийцсэн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03C61B1"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7C86E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4F862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Хуулийн нэмэлт өөрчлөлтийн төсөл нь шударга ёсонд нийцсэн</w:t>
            </w:r>
          </w:p>
        </w:tc>
      </w:tr>
      <w:tr w:rsidR="00556114" w:rsidRPr="00E64399" w14:paraId="61BD5E1C" w14:textId="77777777" w:rsidTr="005725EA">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836116"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30388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2.2.Хязгаарлалт тогтоох нь зайлшгүй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F4401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4CB2E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778F3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hAnsi="Arial" w:cs="Arial"/>
                <w:noProof/>
                <w:sz w:val="24"/>
                <w:szCs w:val="24"/>
                <w:lang w:val="mn-MN"/>
              </w:rPr>
              <w:t>Хүний эрхийг хязгаарлах зохицуулалт байхгүй, харин эрхийг хангах механизмыг дэмжсэн.</w:t>
            </w:r>
          </w:p>
        </w:tc>
      </w:tr>
      <w:tr w:rsidR="00556114" w:rsidRPr="00E64399" w14:paraId="617092BA" w14:textId="77777777" w:rsidTr="005725EA">
        <w:trPr>
          <w:cantSplit/>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D0360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3.Эрх агуулагч</w:t>
            </w:r>
            <w:bookmarkStart w:id="0" w:name="_ftnref8"/>
            <w:r w:rsidRPr="00E64399">
              <w:rPr>
                <w:rFonts w:ascii="Arial" w:eastAsia="Times New Roman" w:hAnsi="Arial" w:cs="Arial"/>
                <w:noProof/>
                <w:sz w:val="24"/>
                <w:szCs w:val="24"/>
                <w:lang w:val="mn-MN"/>
              </w:rPr>
              <w:fldChar w:fldCharType="begin"/>
            </w:r>
            <w:r w:rsidRPr="00E64399">
              <w:rPr>
                <w:rFonts w:ascii="Arial" w:eastAsia="Times New Roman" w:hAnsi="Arial" w:cs="Arial"/>
                <w:noProof/>
                <w:sz w:val="24"/>
                <w:szCs w:val="24"/>
                <w:lang w:val="mn-MN"/>
              </w:rPr>
              <w:instrText>HYPERLINK "" \l "_ftn8" \o ""</w:instrText>
            </w:r>
            <w:r w:rsidRPr="00E64399">
              <w:rPr>
                <w:rFonts w:ascii="Arial" w:eastAsia="Times New Roman" w:hAnsi="Arial" w:cs="Arial"/>
                <w:noProof/>
                <w:sz w:val="24"/>
                <w:szCs w:val="24"/>
                <w:lang w:val="mn-MN"/>
              </w:rPr>
              <w:fldChar w:fldCharType="separate"/>
            </w:r>
            <w:r w:rsidRPr="00E64399">
              <w:rPr>
                <w:rStyle w:val="Hyperlink"/>
                <w:rFonts w:ascii="Arial" w:hAnsi="Arial" w:cs="Arial"/>
                <w:noProof/>
                <w:sz w:val="24"/>
                <w:szCs w:val="24"/>
                <w:lang w:val="mn-MN"/>
              </w:rPr>
              <w:t>[8]</w:t>
            </w:r>
            <w:r w:rsidRPr="00E64399">
              <w:rPr>
                <w:rFonts w:ascii="Arial" w:eastAsia="Times New Roman" w:hAnsi="Arial" w:cs="Arial"/>
                <w:noProof/>
                <w:sz w:val="24"/>
                <w:szCs w:val="24"/>
                <w:lang w:val="mn-MN"/>
              </w:rPr>
              <w:fldChar w:fldCharType="end"/>
            </w:r>
            <w:bookmarkEnd w:id="0"/>
            <w:r w:rsidRPr="00E64399">
              <w:rPr>
                <w:rFonts w:ascii="Arial" w:eastAsia="Times New Roman" w:hAnsi="Arial" w:cs="Arial"/>
                <w:noProof/>
                <w:sz w:val="24"/>
                <w:szCs w:val="24"/>
                <w:lang w:val="mn-MN"/>
              </w:rPr>
              <w:t xml:space="preserve"> </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B6A7C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3.1.Зохицуулалтын хувилбарт хамаарах бүлгүүд буюу эрх агуулагчдыг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4F5E5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E2789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39C61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hAnsi="Arial" w:cs="Arial"/>
                <w:noProof/>
                <w:sz w:val="24"/>
                <w:szCs w:val="24"/>
                <w:lang w:val="mn-MN"/>
              </w:rPr>
              <w:t>Баг, хорооны иргэд болон ИНХ-ын дарга нар.</w:t>
            </w:r>
          </w:p>
        </w:tc>
      </w:tr>
      <w:tr w:rsidR="00556114" w:rsidRPr="00E64399" w14:paraId="34FABDFE"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B9E2E1"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41AE8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3.2.Эрх агуулагчдыг эмзэг байдлаар нь ялгаж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6D03965"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36A9C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1D6D6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Шаардлагагүй </w:t>
            </w:r>
          </w:p>
        </w:tc>
      </w:tr>
      <w:tr w:rsidR="00556114" w:rsidRPr="00E64399" w14:paraId="213775F0"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578E3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F8B99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F594C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5865F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4D656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Шаардлагагүй</w:t>
            </w:r>
          </w:p>
        </w:tc>
      </w:tr>
      <w:tr w:rsidR="00556114" w:rsidRPr="00E64399" w14:paraId="70C487EB" w14:textId="77777777" w:rsidTr="005725EA">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B42C09"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0A49C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BD68CE"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46A76F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618F5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Шаардлагагүй </w:t>
            </w:r>
          </w:p>
        </w:tc>
      </w:tr>
      <w:tr w:rsidR="00556114" w:rsidRPr="00E64399" w14:paraId="6B5E7A06" w14:textId="77777777" w:rsidTr="005725EA">
        <w:trPr>
          <w:cantSplit/>
          <w:tblCellSpacing w:w="0" w:type="dxa"/>
        </w:trPr>
        <w:tc>
          <w:tcPr>
            <w:tcW w:w="213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E9F2C9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4.Үүрэг хүлээгч</w:t>
            </w:r>
            <w:bookmarkStart w:id="1" w:name="_ftnref9"/>
            <w:r w:rsidRPr="00E64399">
              <w:rPr>
                <w:rFonts w:ascii="Arial" w:eastAsia="Times New Roman" w:hAnsi="Arial" w:cs="Arial"/>
                <w:noProof/>
                <w:sz w:val="24"/>
                <w:szCs w:val="24"/>
                <w:lang w:val="mn-MN"/>
              </w:rPr>
              <w:fldChar w:fldCharType="begin"/>
            </w:r>
            <w:r w:rsidRPr="00E64399">
              <w:rPr>
                <w:rFonts w:ascii="Arial" w:eastAsia="Times New Roman" w:hAnsi="Arial" w:cs="Arial"/>
                <w:noProof/>
                <w:sz w:val="24"/>
                <w:szCs w:val="24"/>
                <w:lang w:val="mn-MN"/>
              </w:rPr>
              <w:instrText>HYPERLINK "" \l "_ftn9" \o ""</w:instrText>
            </w:r>
            <w:r w:rsidRPr="00E64399">
              <w:rPr>
                <w:rFonts w:ascii="Arial" w:eastAsia="Times New Roman" w:hAnsi="Arial" w:cs="Arial"/>
                <w:noProof/>
                <w:sz w:val="24"/>
                <w:szCs w:val="24"/>
                <w:lang w:val="mn-MN"/>
              </w:rPr>
              <w:fldChar w:fldCharType="separate"/>
            </w:r>
            <w:r w:rsidRPr="00E64399">
              <w:rPr>
                <w:rStyle w:val="Hyperlink"/>
                <w:rFonts w:ascii="Arial" w:hAnsi="Arial" w:cs="Arial"/>
                <w:noProof/>
                <w:sz w:val="24"/>
                <w:szCs w:val="24"/>
                <w:lang w:val="mn-MN"/>
              </w:rPr>
              <w:t>[9]</w:t>
            </w:r>
            <w:r w:rsidRPr="00E64399">
              <w:rPr>
                <w:rFonts w:ascii="Arial" w:eastAsia="Times New Roman" w:hAnsi="Arial" w:cs="Arial"/>
                <w:noProof/>
                <w:sz w:val="24"/>
                <w:szCs w:val="24"/>
                <w:lang w:val="mn-MN"/>
              </w:rPr>
              <w:fldChar w:fldCharType="end"/>
            </w:r>
            <w:bookmarkEnd w:id="1"/>
            <w:r w:rsidRPr="00E64399">
              <w:rPr>
                <w:rFonts w:ascii="Arial" w:eastAsia="Times New Roman" w:hAnsi="Arial" w:cs="Arial"/>
                <w:noProof/>
                <w:sz w:val="24"/>
                <w:szCs w:val="24"/>
                <w:lang w:val="mn-MN"/>
              </w:rPr>
              <w:t xml:space="preserve"> </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7F991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4.1.Үүрэг хүлээгчдийг тодорхойлсон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21E71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AA68F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Үгүй</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8AAEB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Шаардлагагүй</w:t>
            </w:r>
          </w:p>
        </w:tc>
      </w:tr>
      <w:tr w:rsidR="00556114" w:rsidRPr="00E64399" w14:paraId="7C06573E" w14:textId="77777777" w:rsidTr="005725EA">
        <w:trPr>
          <w:cantSplit/>
          <w:trHeight w:val="360"/>
          <w:tblCellSpacing w:w="0" w:type="dxa"/>
        </w:trPr>
        <w:tc>
          <w:tcPr>
            <w:tcW w:w="213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7C319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5.Жендэрийн</w:t>
            </w: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86450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5.1.Жендэрийн үзэл баримтлалыг тусгасан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1387C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34C630F"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81362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 </w:t>
            </w:r>
          </w:p>
        </w:tc>
      </w:tr>
      <w:tr w:rsidR="00556114" w:rsidRPr="00E64399" w14:paraId="3ABB2662" w14:textId="77777777" w:rsidTr="005725EA">
        <w:trPr>
          <w:cantSplit/>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4DDBC3"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4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7F4939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5.2.Эрэгтэй, эмэгтэй хүний тэгш эрх, тэгш боломж, тэгш хандлагын баталгааг бүрдүүлэх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CEFA3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61310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AA36DE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Хүйс харгалзахгүйгээр ИНХ-ын даргаад сонгогдсон этгээд урамшуулал авах эрх нээгдэнэ</w:t>
            </w:r>
          </w:p>
        </w:tc>
      </w:tr>
    </w:tbl>
    <w:p w14:paraId="38BC48AE" w14:textId="77777777" w:rsidR="00556114" w:rsidRPr="00E64399" w:rsidRDefault="00556114" w:rsidP="00556114">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p w14:paraId="2A3D1534" w14:textId="77777777" w:rsidR="00556114" w:rsidRPr="00E64399" w:rsidRDefault="00556114" w:rsidP="00556114">
      <w:pPr>
        <w:pStyle w:val="NormalWeb"/>
        <w:spacing w:line="180" w:lineRule="atLeast"/>
        <w:ind w:firstLine="720"/>
        <w:jc w:val="both"/>
        <w:rPr>
          <w:rFonts w:ascii="Arial" w:eastAsiaTheme="minorEastAsia" w:hAnsi="Arial" w:cs="Arial"/>
          <w:noProof/>
          <w:lang w:val="mn-MN"/>
        </w:rPr>
      </w:pPr>
      <w:r w:rsidRPr="00E64399">
        <w:rPr>
          <w:rFonts w:ascii="Arial" w:hAnsi="Arial" w:cs="Arial"/>
          <w:noProof/>
          <w:lang w:val="mn-MN"/>
        </w:rPr>
        <w:t>Хүснэгт 2</w:t>
      </w:r>
    </w:p>
    <w:p w14:paraId="04632524" w14:textId="77777777" w:rsidR="00556114" w:rsidRPr="00E64399" w:rsidRDefault="00556114" w:rsidP="00556114">
      <w:pPr>
        <w:pStyle w:val="NormalWeb"/>
        <w:spacing w:line="180" w:lineRule="atLeast"/>
        <w:ind w:firstLine="720"/>
        <w:jc w:val="both"/>
        <w:rPr>
          <w:rFonts w:ascii="Arial" w:hAnsi="Arial" w:cs="Arial"/>
          <w:noProof/>
          <w:lang w:val="mn-MN"/>
        </w:rPr>
      </w:pPr>
      <w:r w:rsidRPr="00E64399">
        <w:rPr>
          <w:rFonts w:ascii="Arial" w:hAnsi="Arial" w:cs="Arial"/>
          <w:noProof/>
          <w:lang w:val="mn-MN"/>
        </w:rPr>
        <w:t>ЭДИЙН ЗАСАГТ ҮЗҮҮЛЭХ ҮР НӨЛӨӨ</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3720"/>
        <w:gridCol w:w="1104"/>
        <w:gridCol w:w="1021"/>
        <w:gridCol w:w="1650"/>
      </w:tblGrid>
      <w:tr w:rsidR="00556114" w:rsidRPr="00E64399" w14:paraId="2ECF26D3" w14:textId="77777777" w:rsidTr="005725EA">
        <w:trPr>
          <w:cantSplit/>
          <w:tblCellSpacing w:w="0" w:type="dxa"/>
        </w:trPr>
        <w:tc>
          <w:tcPr>
            <w:tcW w:w="21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9480D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Үзүүлэх үр</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E206D4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c>
          <w:tcPr>
            <w:tcW w:w="212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0C680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Хариулт</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00083D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Тайлбар</w:t>
            </w:r>
          </w:p>
        </w:tc>
      </w:tr>
      <w:tr w:rsidR="00556114" w:rsidRPr="00E64399" w14:paraId="40CAD722" w14:textId="77777777" w:rsidTr="005725EA">
        <w:trPr>
          <w:cantSplit/>
          <w:trHeight w:val="2633"/>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11445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1.Дэлхийн зах зээл дээр өрсөлдөх чадвар</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76D2F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104"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7288D52D"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0667121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right w:val="outset" w:sz="6" w:space="0" w:color="auto"/>
            </w:tcBorders>
            <w:tcMar>
              <w:top w:w="30" w:type="dxa"/>
              <w:left w:w="45" w:type="dxa"/>
              <w:bottom w:w="30" w:type="dxa"/>
              <w:right w:w="45" w:type="dxa"/>
            </w:tcMar>
            <w:vAlign w:val="center"/>
            <w:hideMark/>
          </w:tcPr>
          <w:p w14:paraId="3B2CCD4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аж ахуйн нэгжүүдэд нөлөөгүй</w:t>
            </w:r>
          </w:p>
        </w:tc>
      </w:tr>
      <w:tr w:rsidR="00556114" w:rsidRPr="00E64399" w14:paraId="2C47AD6A" w14:textId="77777777" w:rsidTr="005725EA">
        <w:trPr>
          <w:cantSplit/>
          <w:trHeight w:val="7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AC06B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8BAD9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8F82BF"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397D41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B170F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4A69E70A" w14:textId="77777777" w:rsidTr="005725EA">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D494B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5B4A0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1.3.Дэлхийн зах зээл дээрх таагүй нөлөөллийг монголын зах зээлд орж ирэхээс хамгаалахад нөлөөлж чадах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3435A1"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FA2CC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95304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3F46CFA0" w14:textId="77777777" w:rsidTr="005725EA">
        <w:trPr>
          <w:cantSplit/>
          <w:trHeight w:val="465"/>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D13CE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2.Дотоодын зах зээлийн өрсөлдөх чадвар болон тогтвортой байдал</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1A54B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2.1.Хэрэглэгчдийн шийдвэр гаргах боломжийг бууруулах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E2FDDE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61757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E4EC3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5D684F1A" w14:textId="77777777" w:rsidTr="005725EA">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97F835"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19BCE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2.2.Хязгаарлагдмал өрсөлдөөний улмаас үнийн хөөрөгдлийг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D6FE35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719E7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D9A3A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6AC5FD8C" w14:textId="77777777" w:rsidTr="005725EA">
        <w:trPr>
          <w:cantSplit/>
          <w:trHeight w:val="7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F87F1"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FEE6D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2.3.Зах зээлд шинээр орж ирж байгаа аж ахуйн нэгжид бэрхшээл, хүндрэл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2E9B79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3509A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BF1CF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63938661" w14:textId="77777777" w:rsidTr="005725EA">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9CE64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63C47A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2.4.Зах зээлд шинээр монополийг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196B60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D1FFE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527D0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511E5A30" w14:textId="77777777" w:rsidTr="005725EA">
        <w:trPr>
          <w:cantSplit/>
          <w:trHeight w:val="405"/>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97155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3.Аж ахуйн нэгжийн үйлдвэрлэлийн болон </w:t>
            </w:r>
            <w:r w:rsidRPr="00E64399">
              <w:rPr>
                <w:rFonts w:ascii="Arial" w:eastAsia="Times New Roman" w:hAnsi="Arial" w:cs="Arial"/>
                <w:noProof/>
                <w:sz w:val="24"/>
                <w:szCs w:val="24"/>
                <w:lang w:val="mn-MN"/>
              </w:rPr>
              <w:lastRenderedPageBreak/>
              <w:t>захиргааны зардал</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1AD69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3.1.Зохицуулалтын хувилбарыг хэрэгжүүлснээр аж ахуйн нэгжид шинээр зардал үүсэх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A64D5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EF20C8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D8401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60C0E253" w14:textId="77777777" w:rsidTr="005725EA">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76BC01"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1740A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3.2.Санхүүжилтийн эх үүсвэр олж авахад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9188C7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D2128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1E196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13835D39" w14:textId="77777777" w:rsidTr="005725EA">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B7718D"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8C218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3.3.Зах зээлээс тодорхой бараа бүтээгдэхүүнийг худалдан авахад хүргэх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EF738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12F544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C068D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15D24279" w14:textId="77777777" w:rsidTr="005725EA">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9C0815"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EEE63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3.4.Бараа бүтээгдэхүүний борлуулалтад ямар нэг хязгаарлалт, эсхүл хориг тавих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01DA76"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26D9F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842D8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0D42FA1C" w14:textId="77777777" w:rsidTr="005725EA">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4CCD8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76CA3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3.5.Аж ахуйн нэгжийг үйл ажиллагаагаа зогсооход хүргэх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F3906C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9C52BB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2A491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4A8DEA76" w14:textId="77777777" w:rsidTr="005725EA">
        <w:trPr>
          <w:cantSplit/>
          <w:trHeight w:val="675"/>
          <w:tblCellSpacing w:w="0" w:type="dxa"/>
        </w:trPr>
        <w:tc>
          <w:tcPr>
            <w:tcW w:w="21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81B63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4.Мэдээлэх үүргийн улмаас үүсч байгаа захиргааны зардлын ачаалал</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388F6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8E3704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8578DF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EF0B3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6C3DCD98" w14:textId="77777777" w:rsidTr="005725EA">
        <w:trPr>
          <w:cantSplit/>
          <w:trHeight w:val="645"/>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168948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5.Өмчлөх эрх</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16B97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5.1.Өмчлөх эрхийг (үл хөдлөх, хөдлөх эд хөрөнгө, эдийн бус баялаг зэргийг) хөндсөн зохицуулалт бий болох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6D6BDF6"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42602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86EC30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4BA6EF54" w14:textId="77777777" w:rsidTr="005725EA">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05346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B955A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5.2.Өмчлөх эрх олж авах, шилжүүлэх болон хэрэгжүүлэхэд хязгаарлалт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188F0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A34272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CF100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41CEED34" w14:textId="77777777" w:rsidTr="005725EA">
        <w:trPr>
          <w:cantSplit/>
          <w:trHeight w:val="6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83CFC"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8876B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5.3.Оюуны өмчийн (патент, барааны тэмдэг, зохиогчийн эрх зэрэг) эрхийг хөндсөн зохицуулалт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3F759E"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90032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D566A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081B6C01" w14:textId="77777777" w:rsidTr="005725EA">
        <w:trPr>
          <w:cantSplit/>
          <w:trHeight w:val="360"/>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6EBF0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6.Инноваци болон судалгаа шинжилгээ</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A25E6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6.1.Судалгаа шинжилгээ, нээлт хийх, шинэ бүтээл гаргах асуудлыг дэмжих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10C9BD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C35BB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A1BEA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65D8EE67" w14:textId="77777777" w:rsidTr="005725EA">
        <w:trPr>
          <w:cantSplit/>
          <w:trHeight w:val="6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0B0E59"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3237B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6.2.Үйлдвэрлэлийн шинэ технологи болон шинэ бүтээгдэхүүн нэвтрүүлэх, дэлгэрүүлэхийг илүү хялбар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F90109E"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DA4C8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B6835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304D7C71" w14:textId="77777777" w:rsidTr="005725EA">
        <w:trPr>
          <w:cantSplit/>
          <w:trHeight w:val="225"/>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3ECAC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7.Хэрэглэгч болон гэр бүлийн төсөв</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F6C4B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7.1.Хэрэглээний үнийн түвшинд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AE624D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A20C71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83908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5A5600B4" w14:textId="77777777" w:rsidTr="005725EA">
        <w:trPr>
          <w:cantSplit/>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ABC169"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327A22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7.2.Хэрэглэгчдийн хувьд дотоодын зах зээлийг ашиглах боломж 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2837C52"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450F5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96A33E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501C0D35" w14:textId="77777777" w:rsidTr="005725EA">
        <w:trPr>
          <w:cantSplit/>
          <w:trHeight w:val="3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65E6CA"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538E5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7.3.Хэрэглэгчдийн эрх ашигт нөлөөлөх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088EAA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9F38A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A4E122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3E9733D6" w14:textId="77777777" w:rsidTr="005725EA">
        <w:trPr>
          <w:cantSplit/>
          <w:trHeight w:val="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338152"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F5032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7.4.Хувь хүний/гэр бүлийн санхүүгийн байдалд (шууд буюу урт хугацааны туршид)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387ADC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21F89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49ADA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Үндсэн хуулиар олгогдсон эрх хангагдах тул урт хугацаанд эерэг нөлөө үзүүлнэ</w:t>
            </w:r>
          </w:p>
        </w:tc>
      </w:tr>
      <w:tr w:rsidR="00556114" w:rsidRPr="00E64399" w14:paraId="05F95F31" w14:textId="77777777" w:rsidTr="005725EA">
        <w:trPr>
          <w:cantSplit/>
          <w:trHeight w:val="465"/>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AC68B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8.Тодорхой бүс нутаг, салбарууд</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3920D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8.1.Тодорхой бүс нутагт буюу тодорхой нэг чиглэлд ажлын байрыг шинээр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AEEB4C"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8585D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6BA08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Сонгуульт ажилтан шинээр бий болно</w:t>
            </w:r>
          </w:p>
        </w:tc>
      </w:tr>
      <w:tr w:rsidR="00556114" w:rsidRPr="00E64399" w14:paraId="6A7719CD" w14:textId="77777777" w:rsidTr="005725EA">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C5849C"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67D3C2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8.2.Тодорхой бүс нутагт буюу тодорхой нэг чиглэлд ажлын байр багасгах чиглэлээр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D7951B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24110D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2F810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0DBD0EA2" w14:textId="77777777" w:rsidTr="005725EA">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25C940"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2A69F2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8.3.Жижиг, дунд үйлдвэр, эсхүл аль нэг салбарт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345B3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9CCBE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469B3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585BC2C5" w14:textId="77777777" w:rsidTr="005725EA">
        <w:trPr>
          <w:cantSplit/>
          <w:trHeight w:val="240"/>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E7105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9.Төрийн захиргааны байгууллага</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6A383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9.1.Улсын төсөвт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CFA62D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CAE2D3F"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0A6F4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ИНХ-ын даргад урамшуулал олгох тохиолдолд 16.2 тэрбум төгрөгийн нэмэлт зардал гарна</w:t>
            </w:r>
          </w:p>
        </w:tc>
      </w:tr>
      <w:tr w:rsidR="00556114" w:rsidRPr="00E64399" w14:paraId="707EEB4E" w14:textId="77777777" w:rsidTr="005725EA">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4BE073"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EE704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656E94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F3F2DB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C8B97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r>
      <w:tr w:rsidR="00556114" w:rsidRPr="00E64399" w14:paraId="1BAB7D62" w14:textId="77777777" w:rsidTr="005725EA">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160592"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7E0A42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9.3.Төрийн байгууллагад захиргааны шинэ чиг үүрэг бий болгох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0065E8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64824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E6007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 Одоо байгаа нэгжийн бүтцэд өөрчлөлт орохгүй, </w:t>
            </w:r>
          </w:p>
        </w:tc>
      </w:tr>
      <w:tr w:rsidR="00556114" w:rsidRPr="00E64399" w14:paraId="2C3DEA22" w14:textId="77777777" w:rsidTr="005725EA">
        <w:trPr>
          <w:cantSplit/>
          <w:trHeight w:val="495"/>
          <w:tblCellSpacing w:w="0" w:type="dxa"/>
        </w:trPr>
        <w:tc>
          <w:tcPr>
            <w:tcW w:w="210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F5DED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10.Макро эдийн засгийн хүрээнд</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718C9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10.1.Эдийн засгийн өсөлт болон ажил эрхлэлтийн байдалд нөлөө үзүүлэх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22BF53E"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B6C2AA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AE494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r>
      <w:tr w:rsidR="00556114" w:rsidRPr="00E64399" w14:paraId="1EAD7790" w14:textId="77777777" w:rsidTr="005725EA">
        <w:trPr>
          <w:cantSplit/>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4BDCD0"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62F5D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10.2.Хөрөнгө оруулалтын нөхцөлийг сайжруулах, зах зээлийн тогтвортой хөгжлийг дэмжих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27D6676"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D0894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2FE69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14A3E036" w14:textId="77777777" w:rsidTr="005725EA">
        <w:trPr>
          <w:cantSplit/>
          <w:trHeight w:val="1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D080D6"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EB946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10.3.Инфляци нэмэгдэх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A99E51"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2B745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1B5BF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r w:rsidR="00556114" w:rsidRPr="00E64399" w14:paraId="4B860005" w14:textId="77777777" w:rsidTr="005725EA">
        <w:trPr>
          <w:cantSplit/>
          <w:tblCellSpacing w:w="0" w:type="dxa"/>
        </w:trPr>
        <w:tc>
          <w:tcPr>
            <w:tcW w:w="210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DD240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11.Олон улсын харилцаа</w:t>
            </w:r>
          </w:p>
        </w:tc>
        <w:tc>
          <w:tcPr>
            <w:tcW w:w="37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BCD58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11.1.Монгол Улсын олон улсын гэрээтэй нийцэж байгаа эсэх</w:t>
            </w:r>
          </w:p>
        </w:tc>
        <w:tc>
          <w:tcPr>
            <w:tcW w:w="110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59390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10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3EC600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5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E2C109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Ямар нэг сөрөг нөлөөгүй</w:t>
            </w:r>
          </w:p>
        </w:tc>
      </w:tr>
    </w:tbl>
    <w:p w14:paraId="6EBBA75D" w14:textId="77777777" w:rsidR="00556114" w:rsidRPr="00E64399" w:rsidRDefault="00556114" w:rsidP="00556114">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p w14:paraId="30109C0A" w14:textId="77777777" w:rsidR="00556114" w:rsidRPr="00E64399" w:rsidRDefault="00556114" w:rsidP="00556114">
      <w:pPr>
        <w:pStyle w:val="NormalWeb"/>
        <w:spacing w:line="180" w:lineRule="atLeast"/>
        <w:ind w:firstLine="720"/>
        <w:jc w:val="both"/>
        <w:rPr>
          <w:rFonts w:ascii="Arial" w:eastAsiaTheme="minorEastAsia" w:hAnsi="Arial" w:cs="Arial"/>
          <w:noProof/>
          <w:lang w:val="mn-MN"/>
        </w:rPr>
      </w:pPr>
      <w:r w:rsidRPr="00E64399">
        <w:rPr>
          <w:rFonts w:ascii="Arial" w:hAnsi="Arial" w:cs="Arial"/>
          <w:noProof/>
          <w:lang w:val="mn-MN"/>
        </w:rPr>
        <w:t>Хүснэгт 3</w:t>
      </w:r>
    </w:p>
    <w:p w14:paraId="083EEBDA" w14:textId="77777777" w:rsidR="00556114" w:rsidRPr="00E64399" w:rsidRDefault="00556114" w:rsidP="00556114">
      <w:pPr>
        <w:pStyle w:val="NormalWeb"/>
        <w:spacing w:line="180" w:lineRule="atLeast"/>
        <w:ind w:firstLine="720"/>
        <w:jc w:val="both"/>
        <w:rPr>
          <w:rFonts w:ascii="Arial" w:hAnsi="Arial" w:cs="Arial"/>
          <w:noProof/>
          <w:lang w:val="mn-MN"/>
        </w:rPr>
      </w:pPr>
      <w:r w:rsidRPr="00E64399">
        <w:rPr>
          <w:rFonts w:ascii="Arial" w:hAnsi="Arial" w:cs="Arial"/>
          <w:noProof/>
          <w:lang w:val="mn-MN"/>
        </w:rPr>
        <w:t>НИЙГЭМД ҮЗҮҮЛЭХ ҮР НӨЛӨӨ</w:t>
      </w:r>
    </w:p>
    <w:tbl>
      <w:tblPr>
        <w:tblW w:w="9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8"/>
        <w:gridCol w:w="3422"/>
        <w:gridCol w:w="1124"/>
        <w:gridCol w:w="969"/>
        <w:gridCol w:w="1647"/>
      </w:tblGrid>
      <w:tr w:rsidR="00556114" w:rsidRPr="00E64399" w14:paraId="6EA2C9C8" w14:textId="77777777" w:rsidTr="005725EA">
        <w:trPr>
          <w:cantSplit/>
          <w:tblCellSpacing w:w="0" w:type="dxa"/>
        </w:trPr>
        <w:tc>
          <w:tcPr>
            <w:tcW w:w="232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EAB0D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Үзүүлэх үр</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8FB74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c>
          <w:tcPr>
            <w:tcW w:w="2095"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76B9B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Хариулт</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BE9D3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Тайлбар</w:t>
            </w:r>
          </w:p>
        </w:tc>
      </w:tr>
      <w:tr w:rsidR="00556114" w:rsidRPr="00E64399" w14:paraId="1B240589" w14:textId="77777777" w:rsidTr="005725EA">
        <w:trPr>
          <w:cantSplit/>
          <w:trHeight w:val="300"/>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623FD5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1.Ажил эрхлэлтийн байдал, хөдөлмөрийн зах зээл</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BA937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1.1.Шинээр ажлын байр бий болох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9B9657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875BF5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83A999E" w14:textId="77777777" w:rsidR="00556114" w:rsidRPr="00E64399" w:rsidRDefault="00556114" w:rsidP="005725EA">
            <w:pPr>
              <w:spacing w:line="180" w:lineRule="atLeast"/>
              <w:jc w:val="both"/>
              <w:rPr>
                <w:rFonts w:ascii="Arial" w:eastAsia="Times New Roman" w:hAnsi="Arial" w:cs="Arial"/>
                <w:noProof/>
                <w:sz w:val="24"/>
                <w:szCs w:val="24"/>
                <w:lang w:val="mn-MN"/>
              </w:rPr>
            </w:pPr>
          </w:p>
        </w:tc>
      </w:tr>
      <w:tr w:rsidR="00556114" w:rsidRPr="00E64399" w14:paraId="436CEB67" w14:textId="77777777" w:rsidTr="005725EA">
        <w:trPr>
          <w:cantSplit/>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F52904"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B336CE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1.2.Шууд болон шууд бусаар ажлын байрны цомхотгол бий болгох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EE5835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ECFEB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FF3B4D2" w14:textId="77777777" w:rsidR="00556114" w:rsidRPr="00E64399" w:rsidRDefault="00556114" w:rsidP="005725EA">
            <w:pPr>
              <w:spacing w:line="180" w:lineRule="atLeast"/>
              <w:jc w:val="both"/>
              <w:rPr>
                <w:rFonts w:ascii="Arial" w:eastAsia="Times New Roman" w:hAnsi="Arial" w:cs="Arial"/>
                <w:noProof/>
                <w:sz w:val="24"/>
                <w:szCs w:val="24"/>
                <w:lang w:val="mn-MN"/>
              </w:rPr>
            </w:pPr>
          </w:p>
        </w:tc>
      </w:tr>
      <w:tr w:rsidR="00556114" w:rsidRPr="00E64399" w14:paraId="67FED519" w14:textId="77777777" w:rsidTr="005725EA">
        <w:trPr>
          <w:cantSplit/>
          <w:trHeight w:val="6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8FA5DC"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5DAC1C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1.3.Тодорхой ажил мэргэжлийн хүмүүс болон хувиараа хөдөлмөр эрхлэгчдэд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4492631"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4B0E6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B744EC5" w14:textId="77777777" w:rsidR="00556114" w:rsidRPr="00E64399" w:rsidRDefault="00556114" w:rsidP="005725EA">
            <w:pPr>
              <w:spacing w:line="180" w:lineRule="atLeast"/>
              <w:jc w:val="both"/>
              <w:rPr>
                <w:rFonts w:ascii="Arial" w:eastAsia="Times New Roman" w:hAnsi="Arial" w:cs="Arial"/>
                <w:noProof/>
                <w:sz w:val="24"/>
                <w:szCs w:val="24"/>
                <w:lang w:val="mn-MN"/>
              </w:rPr>
            </w:pPr>
          </w:p>
        </w:tc>
      </w:tr>
      <w:tr w:rsidR="00556114" w:rsidRPr="00E64399" w14:paraId="5635468D" w14:textId="77777777" w:rsidTr="005725EA">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4211E6"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FB57B0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1.4.Тодорхой насны хүмүүсийн ажил эрхлэлтийн байдалд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03D603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D9FBE1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44C8274" w14:textId="77777777" w:rsidR="00556114" w:rsidRPr="00E64399" w:rsidRDefault="00556114" w:rsidP="005725EA">
            <w:pPr>
              <w:spacing w:line="180" w:lineRule="atLeast"/>
              <w:jc w:val="both"/>
              <w:rPr>
                <w:rFonts w:ascii="Arial" w:eastAsia="Times New Roman" w:hAnsi="Arial" w:cs="Arial"/>
                <w:noProof/>
                <w:sz w:val="24"/>
                <w:szCs w:val="24"/>
                <w:lang w:val="mn-MN"/>
              </w:rPr>
            </w:pPr>
          </w:p>
        </w:tc>
      </w:tr>
      <w:tr w:rsidR="00556114" w:rsidRPr="00E64399" w14:paraId="7FFF5BFB" w14:textId="77777777" w:rsidTr="005725EA">
        <w:trPr>
          <w:cantSplit/>
          <w:trHeight w:val="270"/>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E061B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2.Ажлын стандарт, хөдөлмөрлөх эрх</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F11A92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2.1.Ажлын чанар, стандартад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393512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9D150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63D129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8CBCF43" w14:textId="77777777" w:rsidTr="005725EA">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78BBAD"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C4895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2.2.Ажилчдын эрүүл мэнд, хөдөлмөрийн аюулгүй байдалд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AD53F2C"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1E55BD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702282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189034DC" w14:textId="77777777" w:rsidTr="005725EA">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DB2EC8"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9E88C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2.3.Ажилчдын эрх, үүрэгт шууд болон шууд бусаар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8F2C14C"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EE232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1C75EE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09BB8828" w14:textId="77777777" w:rsidTr="005725EA">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48A234"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0838D4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2.4.Шинээр ажлын стандарт гаргах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1CF449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873B5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9FCFE7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8AB0646" w14:textId="77777777" w:rsidTr="005725EA">
        <w:trPr>
          <w:cantSplit/>
          <w:trHeight w:val="6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632757"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E9396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2.5.Ажлын байранд технологийн шинэчлэлийг хэрэгжүүлэхтэй холбогдсон өөрчлөлт бий болгох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64B12FC"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92411B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7C9180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16AA808C" w14:textId="77777777" w:rsidTr="005725EA">
        <w:trPr>
          <w:cantSplit/>
          <w:trHeight w:val="630"/>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41CADE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3.Нийгмийн тодорхой бүлгийг хамгаалах асуудал</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B4773B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3.1.Шууд болон шууд бусаар тэгш бус байдал үүсгэх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2F31A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90F5B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430293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973C828" w14:textId="77777777" w:rsidTr="005725EA">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12329C"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32C438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428002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9B2ED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560B10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2AD78FCA" w14:textId="77777777" w:rsidTr="005725EA">
        <w:trPr>
          <w:cantSplit/>
          <w:trHeight w:val="2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D2A157"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084554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3.3.Гадаадын иргэдэд илэрхий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FC87A5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90ACEA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EA77F9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C14C77D" w14:textId="77777777" w:rsidTr="005725EA">
        <w:trPr>
          <w:cantSplit/>
          <w:trHeight w:val="495"/>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B405A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4.Төрийн удирдлага, сайн засаглал, шүүх эрх мэдэл, хэвлэл мэдээлэл, ёс суртахуун</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748FC1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4.1.Засаглалын харилцаанд оролцогчдод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5FC730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D47CA6"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2BEC83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Баг хорооны удирдлагад иргэний хяналт сайжирна</w:t>
            </w:r>
          </w:p>
        </w:tc>
      </w:tr>
      <w:tr w:rsidR="00556114" w:rsidRPr="00E64399" w14:paraId="3E967A9A"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3605DD"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78BC81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4.2.Төрийн байгууллагуудын үүрэг, үйл ажиллагаанд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887641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Тийм </w:t>
            </w: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184C8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83CC67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Анхан шатны нэгжийн удирдлагын уялдаа холбоо сайжирч төрийн үйлчилгээний хүртээмж нэмэгдэнэ</w:t>
            </w:r>
          </w:p>
        </w:tc>
      </w:tr>
      <w:tr w:rsidR="00556114" w:rsidRPr="00E64399" w14:paraId="7137B7F3" w14:textId="77777777" w:rsidTr="005725EA">
        <w:trPr>
          <w:cantSplit/>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EA48B4"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FF3E44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4.3.Төрийн захиргааны албан хаагчдын эрх, үүрэг, харилцаанд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A8A3FAF"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B9CAA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6A05DB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3EB3C6D" w14:textId="77777777" w:rsidTr="005725EA">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98E542"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19FD1B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4.4.Иргэдийн шүүхэд хандах, асуудлаа шийдвэрлүүлэх эрхэд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B3E4BC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DE9D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5316B3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0FB7123F" w14:textId="77777777" w:rsidTr="005725EA">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7A0FD1"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BDA62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4.5.Улс төрийн нам, төрийн бус байгууллагын үйл ажиллагаанд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99D2A1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D63DBF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AF9798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858E0D5" w14:textId="77777777" w:rsidTr="005725EA">
        <w:trPr>
          <w:cantSplit/>
          <w:trHeight w:val="780"/>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D43C03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5.Нийтийн эрүүл мэнд, аюулгүй байдал</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3118A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5.1.Хувь хүн/нийт хүн амын дундаж наслалт, өвчлөлт, нас баралтын байдалд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58C8EE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C51DBA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B654D7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0C960EAD" w14:textId="77777777" w:rsidTr="005725EA">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B64418"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5EF1C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86F68A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0F332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32925A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BF5F78D" w14:textId="77777777" w:rsidTr="005725EA">
        <w:trPr>
          <w:cantSplit/>
          <w:trHeight w:val="7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BDAD54"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AF6F5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5.3.Хүмүүсийн амьдралын хэв маяг (хооллолт, хөдөлгөөн, архи, тамхины хэрэглээ)-т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B4F5850"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DFBCAA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6F996CF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54B67BA8" w14:textId="77777777" w:rsidTr="005725EA">
        <w:trPr>
          <w:cantSplit/>
          <w:trHeight w:val="375"/>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626C28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6.Нийгмийн хамгаалал, эрүүл мэнд, боловсролын систем</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00801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6.1.Нийгмийн үйлчилгээний чанар, хүртээмжид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63ED92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Тийм</w:t>
            </w: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41DB57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2C7593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Баг, хорооны ИНХ идэвхтэй ажилласнаар нийгмийн халамж, дэмжлэг эзэндээ хүрэх хяналт сайжирна</w:t>
            </w:r>
          </w:p>
        </w:tc>
      </w:tr>
      <w:tr w:rsidR="00556114" w:rsidRPr="00E64399" w14:paraId="4081378B" w14:textId="77777777" w:rsidTr="005725EA">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B2AC5A"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C8AEE1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6.2.Ажилчдын боловсрол, шилжилт хөдөлгөөнд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8DD73ED"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2B5171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84314C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077EDF2" w14:textId="77777777" w:rsidTr="005725EA">
        <w:trPr>
          <w:cantSplit/>
          <w:trHeight w:val="9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3C95DB"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74DBB8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C2073D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08459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C616BF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06FFB84B" w14:textId="77777777" w:rsidTr="005725EA">
        <w:trPr>
          <w:cantSplit/>
          <w:trHeight w:val="40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F0497B"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43FFB7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6.4.Нийгмийн болон эрүүл мэндийн үйлчилгээ авахад сөрөг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59E7014"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3E681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72AFB8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3A68E990"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4DD7B6"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59190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6.5.Их, дээд сургуулиудын үйл ажиллагаа, өөрийн удирдлагад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921754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39C57C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FDFDE8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2ED44849" w14:textId="77777777" w:rsidTr="005725EA">
        <w:trPr>
          <w:cantSplit/>
          <w:trHeight w:val="465"/>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5D5113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7.Гэмт хэрэг, нийгмийн аюулгүй байдал</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01D43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7.1.Нийгмийн аюулгүй байдал, гэмт хэргийн нөхцөл байдалд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336A056"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B1EE1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207C31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4A092A66" w14:textId="77777777" w:rsidTr="005725EA">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E5E6F9"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DA98C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7.2.Хуулийг албадан хэрэгжүүлэхэд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322E3B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87389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A924FB9"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AF7A66B" w14:textId="77777777" w:rsidTr="005725EA">
        <w:trPr>
          <w:cantSplit/>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AC5BC0"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B48C6A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7.3.Гэмт хэргийн илрүүлэлтэд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1F95F04"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6BEE35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4242DA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158F7A54" w14:textId="77777777" w:rsidTr="005725EA">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B85FC5"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13EB6A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7.4.Гэмт хэргийн хохирогчид, гэрчийн эрхэд сөрөг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DF1CCF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51886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2E9FCA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45522D24" w14:textId="77777777" w:rsidTr="005725EA">
        <w:trPr>
          <w:cantSplit/>
          <w:trHeight w:val="555"/>
          <w:tblCellSpacing w:w="0" w:type="dxa"/>
        </w:trPr>
        <w:tc>
          <w:tcPr>
            <w:tcW w:w="2321"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C54973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8.Соёл</w:t>
            </w: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39393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8.1.Соёлын өвийг хамгаалахад нөлөө үзүүлэх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255144C"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4F8AA9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2B5037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28C104C2" w14:textId="77777777" w:rsidTr="005725EA">
        <w:trPr>
          <w:cantSplit/>
          <w:trHeight w:val="1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9A9A29"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219202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8.2.Хэл, соёлын ялгаатай байдал бий болгох эсэх, эсхүл уг ялгаатай байдалд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F3BC1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84314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F631F9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6F790D5"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E052D5"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426"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BD66C6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8.3.Иргэдийн түүх, соёлоо хамгаалах оролцоонд нөлөөлөх эсэх</w:t>
            </w:r>
          </w:p>
        </w:tc>
        <w:tc>
          <w:tcPr>
            <w:tcW w:w="11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C088527"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9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E900A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63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ECC196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bl>
    <w:p w14:paraId="127C2482" w14:textId="77777777" w:rsidR="00556114" w:rsidRPr="00E64399" w:rsidRDefault="00556114" w:rsidP="00556114">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p w14:paraId="3F913CB5" w14:textId="77777777" w:rsidR="00556114" w:rsidRPr="00E64399" w:rsidRDefault="00556114" w:rsidP="00556114">
      <w:pPr>
        <w:spacing w:line="180" w:lineRule="atLeast"/>
        <w:jc w:val="both"/>
        <w:rPr>
          <w:rFonts w:ascii="Arial" w:eastAsia="Times New Roman" w:hAnsi="Arial" w:cs="Arial"/>
          <w:noProof/>
          <w:sz w:val="24"/>
          <w:szCs w:val="24"/>
          <w:lang w:val="mn-MN"/>
        </w:rPr>
      </w:pPr>
    </w:p>
    <w:p w14:paraId="41D2CF69" w14:textId="77777777" w:rsidR="00556114" w:rsidRPr="00E64399" w:rsidRDefault="00556114" w:rsidP="00556114">
      <w:pPr>
        <w:pStyle w:val="NormalWeb"/>
        <w:spacing w:line="180" w:lineRule="atLeast"/>
        <w:ind w:firstLine="720"/>
        <w:jc w:val="both"/>
        <w:rPr>
          <w:rFonts w:ascii="Arial" w:eastAsiaTheme="minorEastAsia" w:hAnsi="Arial" w:cs="Arial"/>
          <w:noProof/>
          <w:lang w:val="mn-MN"/>
        </w:rPr>
      </w:pPr>
      <w:r w:rsidRPr="00E64399">
        <w:rPr>
          <w:rFonts w:ascii="Arial" w:hAnsi="Arial" w:cs="Arial"/>
          <w:noProof/>
          <w:lang w:val="mn-MN"/>
        </w:rPr>
        <w:t>Хүснэгт 4</w:t>
      </w:r>
    </w:p>
    <w:p w14:paraId="4F6BB8F3" w14:textId="77777777" w:rsidR="00556114" w:rsidRPr="00E64399" w:rsidRDefault="00556114" w:rsidP="00556114">
      <w:pPr>
        <w:pStyle w:val="NormalWeb"/>
        <w:spacing w:line="180" w:lineRule="atLeast"/>
        <w:ind w:firstLine="720"/>
        <w:jc w:val="both"/>
        <w:rPr>
          <w:rFonts w:ascii="Arial" w:hAnsi="Arial" w:cs="Arial"/>
          <w:noProof/>
          <w:lang w:val="mn-MN"/>
        </w:rPr>
      </w:pPr>
      <w:r w:rsidRPr="00E64399">
        <w:rPr>
          <w:rFonts w:ascii="Arial" w:hAnsi="Arial" w:cs="Arial"/>
          <w:noProof/>
          <w:lang w:val="mn-MN"/>
        </w:rPr>
        <w:t>БАЙГАЛЬ ОРЧИНД ҮЗҮҮЛЭХ ҮР НӨЛӨӨ</w:t>
      </w:r>
    </w:p>
    <w:tbl>
      <w:tblPr>
        <w:tblW w:w="94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3690"/>
        <w:gridCol w:w="1140"/>
        <w:gridCol w:w="1110"/>
        <w:gridCol w:w="1320"/>
      </w:tblGrid>
      <w:tr w:rsidR="00556114" w:rsidRPr="00E64399" w14:paraId="0BD37217" w14:textId="77777777" w:rsidTr="005725EA">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2A318E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Үзүүлэх үр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FEE22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w:t>
            </w:r>
          </w:p>
        </w:tc>
        <w:tc>
          <w:tcPr>
            <w:tcW w:w="225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35FD3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Хариулт</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83F9F6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Тайлбар</w:t>
            </w:r>
          </w:p>
        </w:tc>
      </w:tr>
      <w:tr w:rsidR="00556114" w:rsidRPr="00E64399" w14:paraId="26D6EC9A" w14:textId="77777777" w:rsidTr="005725EA">
        <w:trPr>
          <w:cantSplit/>
          <w:tblCellSpacing w:w="0" w:type="dxa"/>
        </w:trPr>
        <w:tc>
          <w:tcPr>
            <w:tcW w:w="223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9CC81E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1.Агаар</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A0081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1.1.Зохицуулалтын хувилбарын үр дүнд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2763CC73"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AA72D0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A77F3F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6D9871F" w14:textId="77777777" w:rsidTr="005725EA">
        <w:trPr>
          <w:cantSplit/>
          <w:trHeight w:val="64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E3F875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2.Зам тээвэр, түлш, эрчим хүч</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637112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2.1.Тээврийн хэрэгслийн түлшний хэрэглээг нэмэгдүүлэх/бууруулах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99AFAFD"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99B774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C3ACD0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7AB9F7A3"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21A5FA"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E9291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2.2.Эрчим хүчний хэрэглээг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ED9EC7D"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52336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18BC96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801FC87" w14:textId="77777777" w:rsidTr="005725EA">
        <w:trPr>
          <w:cantSplit/>
          <w:trHeight w:val="5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5E2126"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52A8F3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2.3.Эрчим хүчний үйлдвэрлэлд нөлөө үзүүлэх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CC5E83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F6B0DF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903207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55320692" w14:textId="77777777" w:rsidTr="005725EA">
        <w:trPr>
          <w:cantSplit/>
          <w:trHeight w:val="3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41ABD3"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05697CE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2.4.Тээврийн хэрэгслийн агаарын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AE91C5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BF1AD9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19E6915"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D39A4A1" w14:textId="77777777" w:rsidTr="005725EA">
        <w:trPr>
          <w:cantSplit/>
          <w:trHeight w:val="28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32F4D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3.Ан амьтан, ургамлыг хамгаалах</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E8BCB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3.1.Ан амьтны тоо хэмжээг бууруулах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79CB131"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146704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64D441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63927061" w14:textId="77777777" w:rsidTr="005725EA">
        <w:trPr>
          <w:cantSplit/>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6DADDF"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5B427B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3.2.Ховордсон болон нэн ховор амьтан, ургамалд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0B6574CD"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3E889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500B7B9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11C35C37" w14:textId="77777777" w:rsidTr="005725EA">
        <w:trPr>
          <w:cantSplit/>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EE2F7B"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3A026E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3.3.Ан амьтдын нүүдэл, суурьшилд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2021024"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431F7D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3BFDC6E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093754AB" w14:textId="77777777" w:rsidTr="005725EA">
        <w:trPr>
          <w:cantSplit/>
          <w:trHeight w:val="3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B55F7C"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F1CBFA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3.4.Тусгай хамгаалалттай газар нутагт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CF279C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D36EC5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2F16654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5DDAFE83" w14:textId="77777777" w:rsidTr="005725EA">
        <w:trPr>
          <w:cantSplit/>
          <w:trHeight w:val="4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AB7E6B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4.Усны нөөц</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C1B802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4.1.Газрын дээрх ус болон гүний ус, цэвэр усны нөөцөд сөргөөр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760F56E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586429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AB6B21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5C3CC403" w14:textId="77777777" w:rsidTr="005725EA">
        <w:trPr>
          <w:cantSplit/>
          <w:trHeight w:val="2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62BF7B"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58ADF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4.2.Усны бохирдлыг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D17E115"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822CD7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7A319C0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5832998C" w14:textId="77777777" w:rsidTr="005725EA">
        <w:trPr>
          <w:cantSplit/>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389BE8"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C1CD9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4.3.Ундны усны чанарт нөлөөлөх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5F86661"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357C795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3470FB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3777C60C" w14:textId="77777777" w:rsidTr="005725EA">
        <w:trPr>
          <w:cantSplit/>
          <w:trHeight w:val="36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839874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lastRenderedPageBreak/>
              <w:t>5.Хөрсний бохирдол</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2084D9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5.1.Хөрсний бохирдолтод нөлөө үзүүлэх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53968C86"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199E09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74B1BD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18ED286E" w14:textId="77777777" w:rsidTr="005725EA">
        <w:trPr>
          <w:cantSplit/>
          <w:trHeight w:val="5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F58404"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DD6562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5.2.Хөрсийг эвдэх, ашиглагдсан талбайн хэмжээг нэмэгдүүлэх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32B3378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0664CC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F9D19A2"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2E393B45" w14:textId="77777777" w:rsidTr="005725EA">
        <w:trPr>
          <w:cantSplit/>
          <w:trHeight w:val="165"/>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5D34CFDD"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6.Газрын ашиглалт</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E172B3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6.1.Ашиглагдаагүй байсан газрыг ашиглах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9E11C2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C0272E3"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04FE636F"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5BE847E7" w14:textId="77777777" w:rsidTr="005725EA">
        <w:trPr>
          <w:cantSplit/>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A38468"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01B686A"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6.2.Газрын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66819428"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141DA0D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FB1326C"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27B37052"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1B4D9E"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77DAB66"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6.3.Экологийн зориулалтаар хамгаалагдсан газрын зориулалтыг өөрчлөх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B252B6B"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7BFF66A8"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012437B"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41879B06" w14:textId="77777777" w:rsidTr="005725EA">
        <w:trPr>
          <w:cantSplit/>
          <w:trHeight w:val="690"/>
          <w:tblCellSpacing w:w="0" w:type="dxa"/>
        </w:trPr>
        <w:tc>
          <w:tcPr>
            <w:tcW w:w="2235"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9E8BAD4"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7.Нөхөн сэргээгдэх/нөхөн сэргээгдэхгүй байгалийн баялаг</w:t>
            </w: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605423F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16F4A97A"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431672A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4F386500"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r w:rsidR="00556114" w:rsidRPr="00E64399" w14:paraId="0213689C" w14:textId="77777777" w:rsidTr="005725EA">
        <w:trPr>
          <w:cantSplit/>
          <w:trHeight w:val="52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530FD9" w14:textId="77777777" w:rsidR="00556114" w:rsidRPr="00E64399" w:rsidRDefault="00556114" w:rsidP="005725EA">
            <w:pPr>
              <w:spacing w:line="336" w:lineRule="atLeast"/>
              <w:jc w:val="both"/>
              <w:rPr>
                <w:rFonts w:ascii="Arial" w:eastAsia="Times New Roman" w:hAnsi="Arial" w:cs="Arial"/>
                <w:noProof/>
                <w:sz w:val="24"/>
                <w:szCs w:val="24"/>
                <w:lang w:val="mn-MN"/>
              </w:rPr>
            </w:pPr>
          </w:p>
        </w:tc>
        <w:tc>
          <w:tcPr>
            <w:tcW w:w="36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F93A311"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7.2.Нөхөн сэргээгдэхгүй байгалийн баялгийн ашиглалт нэмэгдэх эсэх</w:t>
            </w:r>
          </w:p>
        </w:tc>
        <w:tc>
          <w:tcPr>
            <w:tcW w:w="11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14:paraId="4DE39599" w14:textId="77777777" w:rsidR="00556114" w:rsidRPr="00E64399" w:rsidRDefault="00556114" w:rsidP="005725EA">
            <w:pPr>
              <w:spacing w:line="180" w:lineRule="atLeast"/>
              <w:jc w:val="both"/>
              <w:rPr>
                <w:rFonts w:ascii="Arial" w:eastAsia="Times New Roman" w:hAnsi="Arial" w:cs="Arial"/>
                <w:noProof/>
                <w:sz w:val="24"/>
                <w:szCs w:val="24"/>
                <w:lang w:val="mn-MN"/>
              </w:rPr>
            </w:pPr>
          </w:p>
        </w:tc>
        <w:tc>
          <w:tcPr>
            <w:tcW w:w="11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hideMark/>
          </w:tcPr>
          <w:p w14:paraId="2EEEE0EE"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Үгүй</w:t>
            </w:r>
          </w:p>
        </w:tc>
        <w:tc>
          <w:tcPr>
            <w:tcW w:w="132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hideMark/>
          </w:tcPr>
          <w:p w14:paraId="1D37D5D7" w14:textId="77777777" w:rsidR="00556114" w:rsidRPr="00E64399" w:rsidRDefault="00556114" w:rsidP="005725EA">
            <w:pPr>
              <w:spacing w:line="180" w:lineRule="atLeast"/>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Ямар нэг сөрөг нөлөөгүй</w:t>
            </w:r>
          </w:p>
        </w:tc>
      </w:tr>
    </w:tbl>
    <w:p w14:paraId="3DA0D16F" w14:textId="77777777" w:rsidR="00556114" w:rsidRPr="00E64399" w:rsidRDefault="00556114" w:rsidP="00556114">
      <w:pPr>
        <w:spacing w:line="180" w:lineRule="atLeast"/>
        <w:jc w:val="both"/>
        <w:rPr>
          <w:rFonts w:ascii="Arial" w:eastAsia="Times New Roman" w:hAnsi="Arial" w:cs="Arial"/>
          <w:noProof/>
          <w:sz w:val="24"/>
          <w:szCs w:val="24"/>
          <w:lang w:val="mn-MN"/>
        </w:rPr>
      </w:pPr>
    </w:p>
    <w:p w14:paraId="5D8F61F9" w14:textId="77777777" w:rsidR="00556114" w:rsidRPr="00E64399" w:rsidRDefault="00556114" w:rsidP="00556114">
      <w:pPr>
        <w:ind w:firstLine="720"/>
        <w:jc w:val="both"/>
        <w:rPr>
          <w:rFonts w:ascii="Arial" w:hAnsi="Arial" w:cs="Arial"/>
          <w:b/>
          <w:bCs/>
          <w:noProof/>
          <w:sz w:val="24"/>
          <w:szCs w:val="24"/>
          <w:lang w:val="mn-MN"/>
        </w:rPr>
      </w:pPr>
      <w:r w:rsidRPr="00E64399">
        <w:rPr>
          <w:rFonts w:ascii="Arial" w:hAnsi="Arial" w:cs="Arial"/>
          <w:b/>
          <w:bCs/>
          <w:noProof/>
          <w:sz w:val="24"/>
          <w:szCs w:val="24"/>
          <w:lang w:val="mn-MN"/>
        </w:rPr>
        <w:t xml:space="preserve">Зургаа. Үр дүнг үнэлж, зөвлөмж өгсөн байдал </w:t>
      </w:r>
    </w:p>
    <w:p w14:paraId="60AE6559" w14:textId="77777777" w:rsidR="00556114" w:rsidRPr="00E64399" w:rsidRDefault="00556114" w:rsidP="00556114">
      <w:pPr>
        <w:ind w:firstLine="720"/>
        <w:jc w:val="both"/>
        <w:rPr>
          <w:rFonts w:ascii="Arial" w:hAnsi="Arial" w:cs="Arial"/>
          <w:noProof/>
          <w:sz w:val="24"/>
          <w:szCs w:val="24"/>
          <w:lang w:val="mn-MN"/>
        </w:rPr>
      </w:pPr>
      <w:r w:rsidRPr="00E64399">
        <w:rPr>
          <w:rFonts w:ascii="Arial" w:hAnsi="Arial" w:cs="Arial"/>
          <w:noProof/>
          <w:sz w:val="24"/>
          <w:szCs w:val="24"/>
          <w:lang w:val="mn-MN"/>
        </w:rPr>
        <w:t xml:space="preserve">Хуулийн нэмэлт, өөрчлөлтийн төслийн үр нөлөөг үнэлэхэд Монгол Улсын Үндсэн хууль, Хууль тогтоомжийн тухай хууль, түүнд нийцүүлэн гаргасан Засгийн газрын 2016 оны 59 дүгээр тогтоолоор баталсан аргачлалыг удирдлага болгов. </w:t>
      </w:r>
    </w:p>
    <w:p w14:paraId="1D72E3A5" w14:textId="77777777" w:rsidR="00556114" w:rsidRPr="00E64399" w:rsidRDefault="00556114" w:rsidP="00556114">
      <w:pPr>
        <w:ind w:firstLine="720"/>
        <w:jc w:val="both"/>
        <w:rPr>
          <w:rFonts w:ascii="Arial" w:hAnsi="Arial" w:cs="Arial"/>
          <w:noProof/>
          <w:sz w:val="24"/>
          <w:szCs w:val="24"/>
          <w:lang w:val="mn-MN"/>
        </w:rPr>
      </w:pPr>
      <w:r w:rsidRPr="00E64399">
        <w:rPr>
          <w:rFonts w:ascii="Arial" w:hAnsi="Arial" w:cs="Arial"/>
          <w:noProof/>
          <w:sz w:val="24"/>
          <w:szCs w:val="24"/>
          <w:lang w:val="mn-MN"/>
        </w:rPr>
        <w:t xml:space="preserve">Хуулийн нэмэлт, өөрчлөлтийн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гүйцэт томьёологдсон эсэхэд үнэлгээ хийсэн. Нэмэлт өөрчлөлтийн төсөл нь үзэл баримтлал болон энэхүү хуулийн төслийг боловсруулах болсон хэрэгцээ, шаардлагатай нийцэж байгаа нь </w:t>
      </w:r>
      <w:r w:rsidRPr="00E64399">
        <w:rPr>
          <w:rFonts w:ascii="Arial" w:hAnsi="Arial" w:cs="Arial"/>
          <w:noProof/>
          <w:sz w:val="24"/>
          <w:szCs w:val="24"/>
          <w:lang w:val="mn-MN"/>
        </w:rPr>
        <w:lastRenderedPageBreak/>
        <w:t xml:space="preserve">зорилгод хүрэх, ойлгомжтой байх, бусад хууль тогтоомжтой нийцсэн, давхардалгүй, зөрчилгүй томьёологдсон байдлаар илэрч байна. </w:t>
      </w:r>
    </w:p>
    <w:p w14:paraId="5B940263" w14:textId="19BC3679" w:rsidR="00556114" w:rsidRDefault="00556114" w:rsidP="00556114">
      <w:pPr>
        <w:spacing w:after="0"/>
        <w:rPr>
          <w:rFonts w:ascii="Arial" w:hAnsi="Arial" w:cs="Arial"/>
          <w:noProof/>
          <w:sz w:val="24"/>
          <w:szCs w:val="24"/>
          <w:lang w:val="mn-MN"/>
        </w:rPr>
      </w:pPr>
      <w:r w:rsidRPr="00E64399">
        <w:rPr>
          <w:rFonts w:ascii="Arial" w:hAnsi="Arial" w:cs="Arial"/>
          <w:noProof/>
          <w:sz w:val="24"/>
          <w:szCs w:val="24"/>
          <w:lang w:val="mn-MN"/>
        </w:rPr>
        <w:t xml:space="preserve">Хуулийн төслийн үр нөлөөг тандан судлахад, </w:t>
      </w:r>
    </w:p>
    <w:p w14:paraId="648275FA" w14:textId="77777777" w:rsidR="00556114" w:rsidRPr="00E64399" w:rsidRDefault="00556114" w:rsidP="00556114">
      <w:pPr>
        <w:spacing w:after="0" w:line="24" w:lineRule="atLeast"/>
        <w:rPr>
          <w:rFonts w:ascii="Arial" w:hAnsi="Arial" w:cs="Arial"/>
          <w:noProof/>
          <w:sz w:val="24"/>
          <w:szCs w:val="24"/>
          <w:lang w:val="mn-MN"/>
        </w:rPr>
      </w:pPr>
    </w:p>
    <w:p w14:paraId="582C7AD0" w14:textId="77777777" w:rsidR="00556114" w:rsidRPr="00E64399" w:rsidRDefault="00556114" w:rsidP="00556114">
      <w:pPr>
        <w:numPr>
          <w:ilvl w:val="0"/>
          <w:numId w:val="4"/>
        </w:numPr>
        <w:spacing w:after="0" w:line="24" w:lineRule="atLeast"/>
        <w:ind w:left="714" w:hanging="357"/>
        <w:contextualSpacing/>
        <w:rPr>
          <w:rFonts w:ascii="Arial" w:hAnsi="Arial" w:cs="Arial"/>
          <w:noProof/>
          <w:sz w:val="24"/>
          <w:szCs w:val="24"/>
          <w:lang w:val="mn-MN"/>
        </w:rPr>
      </w:pPr>
      <w:r w:rsidRPr="00E64399">
        <w:rPr>
          <w:rFonts w:ascii="Arial" w:hAnsi="Arial" w:cs="Arial"/>
          <w:noProof/>
          <w:sz w:val="24"/>
          <w:szCs w:val="24"/>
          <w:lang w:val="mn-MN"/>
        </w:rPr>
        <w:t>Хүний эрхэд үзүүлэх үр нөлөө: Иргэдийн засаглах, шийдвэр гаргахад оролцох эрхийг хангах механизмыг дэмжинэ.</w:t>
      </w:r>
    </w:p>
    <w:p w14:paraId="3D705827" w14:textId="77777777" w:rsidR="00556114" w:rsidRPr="00E64399" w:rsidRDefault="00556114" w:rsidP="00556114">
      <w:pPr>
        <w:numPr>
          <w:ilvl w:val="0"/>
          <w:numId w:val="4"/>
        </w:numPr>
        <w:spacing w:after="0" w:line="24" w:lineRule="atLeast"/>
        <w:ind w:left="714" w:hanging="357"/>
        <w:contextualSpacing/>
        <w:rPr>
          <w:rFonts w:ascii="Arial" w:hAnsi="Arial" w:cs="Arial"/>
          <w:noProof/>
          <w:sz w:val="24"/>
          <w:szCs w:val="24"/>
          <w:lang w:val="mn-MN"/>
        </w:rPr>
      </w:pPr>
      <w:r w:rsidRPr="00E64399">
        <w:rPr>
          <w:rFonts w:ascii="Arial" w:hAnsi="Arial" w:cs="Arial"/>
          <w:noProof/>
          <w:sz w:val="24"/>
          <w:szCs w:val="24"/>
          <w:lang w:val="mn-MN"/>
        </w:rPr>
        <w:t>Эдийн засагт үзүүлэх үр нөлөө: Хурлын даргын урамшуулал нь 32.16-д "олгож болно" гэсэн факультатив хэлбэртэй тул улсын төсөвт заавал зардал үүсгэхгүй. ИНХ-ын үйл ажиллагааны зардал (тамга, тэмдэг, хэвлэмэл хуудас) нь тухайн шатны ИТХ-ийн ажлын албаны одоо байгаа төсвөөс санхүүжинэ.</w:t>
      </w:r>
    </w:p>
    <w:p w14:paraId="19F29ACD" w14:textId="77777777" w:rsidR="00556114" w:rsidRPr="00E64399" w:rsidRDefault="00556114" w:rsidP="00556114">
      <w:pPr>
        <w:numPr>
          <w:ilvl w:val="0"/>
          <w:numId w:val="4"/>
        </w:numPr>
        <w:spacing w:after="0" w:line="24" w:lineRule="atLeast"/>
        <w:ind w:left="714" w:hanging="357"/>
        <w:contextualSpacing/>
        <w:rPr>
          <w:rFonts w:ascii="Arial" w:hAnsi="Arial" w:cs="Arial"/>
          <w:noProof/>
          <w:sz w:val="24"/>
          <w:szCs w:val="24"/>
          <w:lang w:val="mn-MN"/>
        </w:rPr>
      </w:pPr>
      <w:r w:rsidRPr="00E64399">
        <w:rPr>
          <w:rFonts w:ascii="Arial" w:hAnsi="Arial" w:cs="Arial"/>
          <w:noProof/>
          <w:sz w:val="24"/>
          <w:szCs w:val="24"/>
          <w:lang w:val="mn-MN"/>
        </w:rPr>
        <w:t xml:space="preserve">Хуульд нийцсэн байдал: Үндсэн хуулийн "Нутгийн өөрөө удирдах ёсыг төрийн удирдлагатай хослуулах" зарчимд бүрэн нийцэж байна. </w:t>
      </w:r>
    </w:p>
    <w:p w14:paraId="0B295AA8" w14:textId="77777777" w:rsidR="00556114" w:rsidRPr="00E64399" w:rsidRDefault="00556114" w:rsidP="00556114">
      <w:pPr>
        <w:numPr>
          <w:ilvl w:val="0"/>
          <w:numId w:val="4"/>
        </w:numPr>
        <w:spacing w:after="0" w:line="24" w:lineRule="atLeast"/>
        <w:ind w:left="714" w:hanging="357"/>
        <w:contextualSpacing/>
        <w:rPr>
          <w:rFonts w:ascii="Arial" w:hAnsi="Arial" w:cs="Arial"/>
          <w:noProof/>
          <w:sz w:val="24"/>
          <w:szCs w:val="24"/>
          <w:lang w:val="mn-MN"/>
        </w:rPr>
      </w:pPr>
      <w:r w:rsidRPr="00E64399">
        <w:rPr>
          <w:rFonts w:ascii="Arial" w:hAnsi="Arial" w:cs="Arial"/>
          <w:noProof/>
          <w:sz w:val="24"/>
          <w:szCs w:val="24"/>
          <w:lang w:val="mn-MN"/>
        </w:rPr>
        <w:t xml:space="preserve">Байгаль орчинд үзүүлэх үр нөлөө: Ямар нэг сөрөг нөлөөлөлгүй байна. </w:t>
      </w:r>
    </w:p>
    <w:p w14:paraId="0943E19A" w14:textId="77777777" w:rsidR="00556114" w:rsidRDefault="00556114" w:rsidP="00556114">
      <w:pPr>
        <w:ind w:firstLine="720"/>
        <w:jc w:val="both"/>
        <w:rPr>
          <w:rFonts w:ascii="Arial" w:hAnsi="Arial" w:cs="Arial"/>
          <w:noProof/>
          <w:sz w:val="24"/>
          <w:szCs w:val="24"/>
          <w:lang w:val="mn-MN"/>
        </w:rPr>
      </w:pPr>
    </w:p>
    <w:p w14:paraId="06DE847B" w14:textId="6ECEA95A" w:rsidR="00556114" w:rsidRPr="00E64399" w:rsidRDefault="00556114" w:rsidP="00556114">
      <w:pPr>
        <w:ind w:firstLine="720"/>
        <w:jc w:val="both"/>
        <w:rPr>
          <w:rFonts w:ascii="Arial" w:hAnsi="Arial" w:cs="Arial"/>
          <w:noProof/>
          <w:sz w:val="24"/>
          <w:szCs w:val="24"/>
          <w:lang w:val="mn-MN"/>
        </w:rPr>
      </w:pPr>
      <w:r w:rsidRPr="00E64399">
        <w:rPr>
          <w:rFonts w:ascii="Arial" w:hAnsi="Arial" w:cs="Arial"/>
          <w:noProof/>
          <w:sz w:val="24"/>
          <w:szCs w:val="24"/>
          <w:lang w:val="mn-MN"/>
        </w:rPr>
        <w:t xml:space="preserve">Иймд хууль тогтоомжийн төсөл нь нийгмийн хэрэгцээ шаардлагад нийцсэн, хэрэгжих боломжтой бөгөөд ач холбогдлын хувьд гарах зардлаасаа давсан үр нөлөөтэй байна гэж үнэлэв. Монгол Улсын засаг захиргаа нутаг дэвсгэрийн нэгж, түүний удирдлагын тухай хуулийн дагуу Иргэдийн Нийтийн Хурал нь ээлжит хуралдаантай болж тогтмол хуралддаг болсоноор иргэдийн нутгийн өөрөө удирдах ёсонд оролцох эрх хангагдаж, амьдрах орчныхоо асуудлыг иргэд өөрсдөө шийдвэрлэх нөхцөл хууль эрх зүйн хүрээнд бодитоор хэрэгжих үр дагавар үүсгэх юм. Монгол Улсын Засаг захиргаа, нутаг дэвсгэрийн нэгж, түүний удирдлагын тухай хуулийн 32 дугаар зүйлд нэмэлт, өөрчлөлт оруулсанаар хорооны Иргэний Нийтийн Хурал тогтмолжиж, иргэдийн Үндсэн хуулиар олгогдсон оролцооны эрх бүрэн хэрэгжих эрх зүйн үндэс бүрдэнэ. </w:t>
      </w:r>
    </w:p>
    <w:p w14:paraId="218D206D" w14:textId="77777777" w:rsidR="00556114" w:rsidRPr="00E64399" w:rsidRDefault="00556114" w:rsidP="00556114">
      <w:pPr>
        <w:ind w:firstLine="720"/>
        <w:jc w:val="both"/>
        <w:rPr>
          <w:rFonts w:ascii="Arial" w:hAnsi="Arial" w:cs="Arial"/>
          <w:noProof/>
          <w:sz w:val="24"/>
          <w:szCs w:val="24"/>
          <w:lang w:val="mn-MN"/>
        </w:rPr>
      </w:pPr>
      <w:r w:rsidRPr="00E64399">
        <w:rPr>
          <w:rFonts w:ascii="Arial" w:hAnsi="Arial" w:cs="Arial"/>
          <w:noProof/>
          <w:sz w:val="24"/>
          <w:szCs w:val="24"/>
          <w:lang w:val="mn-MN"/>
        </w:rPr>
        <w:t>ЗӨВЛӨМЖ:</w:t>
      </w:r>
    </w:p>
    <w:p w14:paraId="3E21C2D9"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Төслийг хэвээр үлдээх: "Хурлын дарга" болон "Цахим оролцоо"-ны заалтууд нь нутгийн өөрөө удирдах ёсны институцийг бэхжүүлэх гол тулгуур тул өөрчлөхгүй байх.</w:t>
      </w:r>
    </w:p>
    <w:p w14:paraId="303CE316"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Техник зохицуулалт: Цахимаар санал өгөх иргэний бүртгэлийг Цахим гарын үсгийн тухай хуультай уялдуулж, нууцлалыг хангах асуудал нь цаашид хэрэгжих боломжтой тул журмыг хуульд нээлттэй үлдээх</w:t>
      </w:r>
    </w:p>
    <w:p w14:paraId="2AE09E2E"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ИНХ-ын даргын урамшууллыг бүсийн нэмэгдэл, хүн амын тооноос хамаарч ялгавартай тогтоох эрхийг Засгийн газарт олгох.</w:t>
      </w:r>
    </w:p>
    <w:p w14:paraId="062126BA"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 xml:space="preserve">ИНХ-ын бүрэн эрхэд зөвхөн орон нутгийн бодлого, төлөвлөлт, хяналтын чиг үүргийг үлдээж, гүйцэтгэх шинжтэй ажлуудыг Засаг даргын </w:t>
      </w:r>
      <w:r>
        <w:rPr>
          <w:rFonts w:ascii="Arial" w:hAnsi="Arial" w:cs="Arial"/>
          <w:noProof/>
          <w:sz w:val="24"/>
          <w:szCs w:val="24"/>
          <w:lang w:val="mn-MN"/>
        </w:rPr>
        <w:t>Т</w:t>
      </w:r>
      <w:r w:rsidRPr="00E64399">
        <w:rPr>
          <w:rFonts w:ascii="Arial" w:hAnsi="Arial" w:cs="Arial"/>
          <w:noProof/>
          <w:sz w:val="24"/>
          <w:szCs w:val="24"/>
          <w:lang w:val="mn-MN"/>
        </w:rPr>
        <w:t>амгын газарт бүрэн шилжүүлэх.</w:t>
      </w:r>
    </w:p>
    <w:p w14:paraId="40D76325"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lastRenderedPageBreak/>
        <w:t xml:space="preserve">ИНХ-ын даргыг зөвхөн "хурал даргалагч" биш, харин тухайн орон нутгийн иргэдийн төлөөллийг зангидаж, гүйцэтгэх засаглалд хяналт тавих бие даасан субъектийн хувьд статусыг нь өндөрсгөх. </w:t>
      </w:r>
    </w:p>
    <w:p w14:paraId="2203576A"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Монгол Улсын Засаг захиргаа, нутаг дэвсгэрийн нэгж, түүний удирдлагын тухай хуулийн 32.16-д ИНХ-ын даргын урамшуулалыг "олгож болно" гэсэн факультатив хэлбэрээр тусгасан нь зөв шийдэл — тухайн шатны ИТХ-ийн шийдвэрт үндэслэн олгох боломж нээлттэй хэвээр боловч заавал улсын төсвийн зардал үүсгэхгүй.</w:t>
      </w:r>
    </w:p>
    <w:p w14:paraId="753D303B"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"Дарга байхгүй" байгаа асуудлыг шийдэхийн тулд Засаг даргын цалингийн 50 хувиас багагүй урамшууллыг хуульчлах замаар тухайн албан тушаалын нэр хүнд, хариуцлагыг нэмэгдүүлэх.</w:t>
      </w:r>
      <w:r w:rsidRPr="00E64399">
        <w:rPr>
          <w:rFonts w:ascii="Arial" w:hAnsi="Arial" w:cs="Arial"/>
          <w:noProof/>
          <w:sz w:val="24"/>
          <w:szCs w:val="24"/>
          <w:lang w:val="mn-MN"/>
        </w:rPr>
        <w:tab/>
      </w:r>
    </w:p>
    <w:p w14:paraId="47704683"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Зардлыг тооцохдоо Засгийн газрын 2024 оны 238 дугаар тогтоолыг үндэслэл болгох.</w:t>
      </w:r>
    </w:p>
    <w:p w14:paraId="394DEBD4" w14:textId="77777777" w:rsidR="00556114" w:rsidRPr="00E64399" w:rsidRDefault="00556114" w:rsidP="00556114">
      <w:pPr>
        <w:numPr>
          <w:ilvl w:val="0"/>
          <w:numId w:val="3"/>
        </w:numPr>
        <w:spacing w:after="160" w:line="259" w:lineRule="auto"/>
        <w:jc w:val="both"/>
        <w:rPr>
          <w:rFonts w:ascii="Arial" w:hAnsi="Arial" w:cs="Arial"/>
          <w:noProof/>
          <w:sz w:val="24"/>
          <w:szCs w:val="24"/>
          <w:lang w:val="mn-MN"/>
        </w:rPr>
      </w:pPr>
      <w:r w:rsidRPr="00E64399">
        <w:rPr>
          <w:rFonts w:ascii="Arial" w:hAnsi="Arial" w:cs="Arial"/>
          <w:noProof/>
          <w:sz w:val="24"/>
          <w:szCs w:val="24"/>
          <w:lang w:val="mn-MN"/>
        </w:rPr>
        <w:t>Уг хуулийн өөрчлөлтийг 2027 оны Төсвийн тухай хуультай хамт өргөн мэдүүлэх нь үр дүнтэй.</w:t>
      </w:r>
    </w:p>
    <w:p w14:paraId="7D5CEE7E" w14:textId="77777777" w:rsidR="00556114" w:rsidRPr="00E64399" w:rsidRDefault="00556114" w:rsidP="00556114">
      <w:pPr>
        <w:spacing w:after="0"/>
        <w:jc w:val="both"/>
        <w:rPr>
          <w:rFonts w:ascii="Arial" w:hAnsi="Arial" w:cs="Arial"/>
          <w:noProof/>
          <w:sz w:val="24"/>
          <w:szCs w:val="24"/>
          <w:lang w:val="mn-MN"/>
        </w:rPr>
      </w:pPr>
    </w:p>
    <w:p w14:paraId="713646BD" w14:textId="77777777" w:rsidR="00556114" w:rsidRPr="00E64399" w:rsidRDefault="00556114" w:rsidP="00556114">
      <w:pPr>
        <w:spacing w:after="0"/>
        <w:ind w:firstLine="720"/>
        <w:jc w:val="both"/>
        <w:rPr>
          <w:rFonts w:ascii="Arial" w:hAnsi="Arial" w:cs="Arial"/>
          <w:noProof/>
          <w:sz w:val="24"/>
          <w:szCs w:val="24"/>
          <w:lang w:val="mn-MN"/>
        </w:rPr>
      </w:pPr>
      <w:r w:rsidRPr="00E64399">
        <w:rPr>
          <w:rFonts w:ascii="Arial" w:hAnsi="Arial" w:cs="Arial"/>
          <w:noProof/>
          <w:sz w:val="24"/>
          <w:szCs w:val="24"/>
          <w:lang w:val="mn-MN"/>
        </w:rPr>
        <w:t>Энэхүү тандан судалгааны үр дүнд "Хууль тогтоомжийн төсөл боловсруулах" хувилбарыг сонгох нь зөвхөн зардал биш, харин анхан шатны засаглалын хямралыг шийдэх гарц гэж дүгнэж байна.</w:t>
      </w:r>
    </w:p>
    <w:p w14:paraId="4A44C150" w14:textId="77777777" w:rsidR="00556114" w:rsidRPr="00E64399" w:rsidRDefault="00556114" w:rsidP="00556114">
      <w:pPr>
        <w:rPr>
          <w:rFonts w:ascii="Arial" w:hAnsi="Arial" w:cs="Arial"/>
          <w:noProof/>
          <w:sz w:val="24"/>
          <w:szCs w:val="24"/>
          <w:lang w:val="mn-MN"/>
        </w:rPr>
      </w:pPr>
    </w:p>
    <w:p w14:paraId="4AB8EF41" w14:textId="4A3F9192"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ab/>
      </w:r>
    </w:p>
    <w:p w14:paraId="03C07392" w14:textId="091E603D"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6D5EC07A" w14:textId="670AEAA0"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28D7E1F4" w14:textId="7D0421B5"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228E1551" w14:textId="3FD481F1"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5689D942" w14:textId="0160A999"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74570648" w14:textId="4998DEBC"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bookmarkStart w:id="2" w:name="_GoBack"/>
    </w:p>
    <w:bookmarkEnd w:id="2"/>
    <w:p w14:paraId="08A5AAF1" w14:textId="569B8E74"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28B4ED1B" w14:textId="3FF8ED0A"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4BAA765E" w14:textId="658BD6E7" w:rsidR="00556114"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33BF7E9C" w14:textId="77777777" w:rsidR="00556114" w:rsidRPr="00E64399" w:rsidRDefault="00556114" w:rsidP="00556114">
      <w:pPr>
        <w:spacing w:before="100" w:beforeAutospacing="1" w:after="100" w:afterAutospacing="1" w:line="240" w:lineRule="auto"/>
        <w:ind w:firstLine="720"/>
        <w:jc w:val="center"/>
        <w:rPr>
          <w:rFonts w:ascii="Arial" w:eastAsia="Times New Roman" w:hAnsi="Arial" w:cs="Arial"/>
          <w:b/>
          <w:bCs/>
          <w:noProof/>
          <w:sz w:val="24"/>
          <w:szCs w:val="24"/>
          <w:lang w:val="mn-MN"/>
        </w:rPr>
      </w:pPr>
      <w:r w:rsidRPr="00E64399">
        <w:rPr>
          <w:rFonts w:ascii="Arial" w:eastAsia="Times New Roman" w:hAnsi="Arial" w:cs="Arial"/>
          <w:b/>
          <w:bCs/>
          <w:noProof/>
          <w:sz w:val="24"/>
          <w:szCs w:val="24"/>
          <w:lang w:val="mn-MN"/>
        </w:rPr>
        <w:lastRenderedPageBreak/>
        <w:t>Ашигласан материалын жагсаалт</w:t>
      </w:r>
    </w:p>
    <w:p w14:paraId="5468F306"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Үндсэн хууль (1992 он)</w:t>
      </w:r>
    </w:p>
    <w:p w14:paraId="59400A8A"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хууль (2006 он)</w:t>
      </w:r>
    </w:p>
    <w:p w14:paraId="08E1366A"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хууль (2020 он)</w:t>
      </w:r>
    </w:p>
    <w:p w14:paraId="42F131A9"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хуулийн зарим зүйл заалтын хэрэгжилт, Засгийн газрын Хэрэг эрхлэх газарт техникийн туслалцаа үзүүлэх зорилгоор Швейцарийн хөгжлийн агентлагийн санхүүжилттэй “Нутгийн өөрөө удирдах байгууллагын институцийн чадавхыг бэхжүүлэх нь" төслийн судалгаа (2023 он)</w:t>
      </w:r>
    </w:p>
    <w:p w14:paraId="3A0B003A"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засаг захиргаа, нутаг дэвсгэрийн нэгж, түүний удирдлагын тухай хуулийн хэрэгжилтийн байдалд хийсэн шинжилгээ (2023 он)</w:t>
      </w:r>
    </w:p>
    <w:p w14:paraId="5314971F"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Монгол Улсын статистикийн эмхэтгэл – Монгол Улсын Сонгуулийн ерөнхий хороо (2022 он) </w:t>
      </w:r>
    </w:p>
    <w:p w14:paraId="57F6693C"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Монгол Улсын сонгуулийн ерөнхий хорооны цахим хуудас </w:t>
      </w:r>
      <w:hyperlink r:id="rId7" w:history="1">
        <w:r w:rsidRPr="00E64399">
          <w:rPr>
            <w:rStyle w:val="Hyperlink"/>
            <w:rFonts w:ascii="Arial" w:eastAsia="Times New Roman" w:hAnsi="Arial" w:cs="Arial"/>
            <w:noProof/>
            <w:sz w:val="24"/>
            <w:szCs w:val="24"/>
            <w:lang w:val="mn-MN"/>
          </w:rPr>
          <w:t>www.election.mn</w:t>
        </w:r>
      </w:hyperlink>
    </w:p>
    <w:p w14:paraId="23300EFF"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Статистикийн мэдээллийн сан </w:t>
      </w:r>
      <w:hyperlink r:id="rId8" w:history="1">
        <w:r w:rsidRPr="00E64399">
          <w:rPr>
            <w:rStyle w:val="Hyperlink"/>
            <w:rFonts w:ascii="Arial" w:eastAsia="Times New Roman" w:hAnsi="Arial" w:cs="Arial"/>
            <w:noProof/>
            <w:sz w:val="24"/>
            <w:szCs w:val="24"/>
            <w:lang w:val="mn-MN"/>
          </w:rPr>
          <w:t>www.1212.mn</w:t>
        </w:r>
      </w:hyperlink>
    </w:p>
    <w:p w14:paraId="05BC0B35"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Эрх зүйн мэдээллийн нэгдсэн систем </w:t>
      </w:r>
      <w:hyperlink r:id="rId9" w:history="1">
        <w:r w:rsidRPr="00E64399">
          <w:rPr>
            <w:rStyle w:val="Hyperlink"/>
            <w:rFonts w:ascii="Arial" w:eastAsia="Times New Roman" w:hAnsi="Arial" w:cs="Arial"/>
            <w:noProof/>
            <w:sz w:val="24"/>
            <w:szCs w:val="24"/>
            <w:lang w:val="mn-MN"/>
          </w:rPr>
          <w:t>www.legalinfo.mn</w:t>
        </w:r>
      </w:hyperlink>
    </w:p>
    <w:p w14:paraId="1A069712"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Засгийн газрын 2016 оны 59 тоот тогтоол</w:t>
      </w:r>
    </w:p>
    <w:p w14:paraId="09DE4477" w14:textId="77777777" w:rsidR="00556114" w:rsidRPr="00E64399" w:rsidRDefault="00556114" w:rsidP="00556114">
      <w:pPr>
        <w:pStyle w:val="ListParagraph"/>
        <w:numPr>
          <w:ilvl w:val="0"/>
          <w:numId w:val="5"/>
        </w:numPr>
        <w:spacing w:before="100" w:beforeAutospacing="1" w:after="100" w:afterAutospacing="1" w:line="240" w:lineRule="auto"/>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Монгол Улсын Засгийн газрын 2024 оны 238 тоот тогтоол</w:t>
      </w:r>
    </w:p>
    <w:p w14:paraId="2EF5422D" w14:textId="77777777" w:rsidR="00556114" w:rsidRPr="00E64399"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r w:rsidRPr="00E64399">
        <w:rPr>
          <w:rFonts w:ascii="Arial" w:eastAsia="Times New Roman" w:hAnsi="Arial" w:cs="Arial"/>
          <w:noProof/>
          <w:sz w:val="24"/>
          <w:szCs w:val="24"/>
          <w:lang w:val="mn-MN"/>
        </w:rPr>
        <w:t xml:space="preserve"> </w:t>
      </w:r>
    </w:p>
    <w:p w14:paraId="11F893FD" w14:textId="77777777" w:rsidR="00556114" w:rsidRPr="00E64399"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08520A02" w14:textId="77777777" w:rsidR="00556114" w:rsidRPr="00E64399"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4E56B1F0" w14:textId="77777777" w:rsidR="00556114" w:rsidRPr="00E64399"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6EF51B67" w14:textId="77777777" w:rsidR="00556114" w:rsidRPr="00E64399" w:rsidRDefault="00556114" w:rsidP="00556114">
      <w:pPr>
        <w:spacing w:before="100" w:beforeAutospacing="1" w:after="100" w:afterAutospacing="1" w:line="240" w:lineRule="auto"/>
        <w:ind w:firstLine="720"/>
        <w:jc w:val="both"/>
        <w:rPr>
          <w:rFonts w:ascii="Arial" w:eastAsia="Times New Roman" w:hAnsi="Arial" w:cs="Arial"/>
          <w:noProof/>
          <w:sz w:val="24"/>
          <w:szCs w:val="24"/>
          <w:lang w:val="mn-MN"/>
        </w:rPr>
      </w:pPr>
    </w:p>
    <w:p w14:paraId="06FA533D" w14:textId="77777777" w:rsidR="004A0245" w:rsidRDefault="004A0245"/>
    <w:sectPr w:rsidR="004A0245" w:rsidSect="00556114">
      <w:footerReference w:type="default" r:id="rId10"/>
      <w:pgSz w:w="12240" w:h="15840"/>
      <w:pgMar w:top="1440" w:right="9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A6EB" w14:textId="77777777" w:rsidR="00EC0DC9" w:rsidRDefault="00EC0DC9" w:rsidP="00556114">
      <w:pPr>
        <w:spacing w:after="0" w:line="240" w:lineRule="auto"/>
      </w:pPr>
      <w:r>
        <w:separator/>
      </w:r>
    </w:p>
  </w:endnote>
  <w:endnote w:type="continuationSeparator" w:id="0">
    <w:p w14:paraId="482F853C" w14:textId="77777777" w:rsidR="00EC0DC9" w:rsidRDefault="00EC0DC9" w:rsidP="0055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802244"/>
      <w:docPartObj>
        <w:docPartGallery w:val="Page Numbers (Bottom of Page)"/>
        <w:docPartUnique/>
      </w:docPartObj>
    </w:sdtPr>
    <w:sdtEndPr>
      <w:rPr>
        <w:noProof/>
      </w:rPr>
    </w:sdtEndPr>
    <w:sdtContent>
      <w:p w14:paraId="1AED266D" w14:textId="58DC326F" w:rsidR="00556114" w:rsidRDefault="00556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D2976" w14:textId="77777777" w:rsidR="00556114" w:rsidRDefault="00556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F4273" w14:textId="77777777" w:rsidR="00EC0DC9" w:rsidRDefault="00EC0DC9" w:rsidP="00556114">
      <w:pPr>
        <w:spacing w:after="0" w:line="240" w:lineRule="auto"/>
      </w:pPr>
      <w:r>
        <w:separator/>
      </w:r>
    </w:p>
  </w:footnote>
  <w:footnote w:type="continuationSeparator" w:id="0">
    <w:p w14:paraId="3E39FB45" w14:textId="77777777" w:rsidR="00EC0DC9" w:rsidRDefault="00EC0DC9" w:rsidP="00556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A5612"/>
    <w:multiLevelType w:val="hybridMultilevel"/>
    <w:tmpl w:val="974E0580"/>
    <w:lvl w:ilvl="0" w:tplc="5C9C61D4">
      <w:start w:val="1"/>
      <w:numFmt w:val="bullet"/>
      <w:lvlText w:val="•"/>
      <w:lvlJc w:val="left"/>
      <w:pPr>
        <w:ind w:left="720" w:hanging="360"/>
      </w:pPr>
    </w:lvl>
    <w:lvl w:ilvl="1" w:tplc="8AF6713C">
      <w:start w:val="1"/>
      <w:numFmt w:val="bullet"/>
      <w:lvlText w:val="–"/>
      <w:lvlJc w:val="left"/>
      <w:pPr>
        <w:ind w:left="1080" w:hanging="360"/>
      </w:pPr>
    </w:lvl>
    <w:lvl w:ilvl="2" w:tplc="75C2F480">
      <w:numFmt w:val="decimal"/>
      <w:lvlText w:val=""/>
      <w:lvlJc w:val="left"/>
    </w:lvl>
    <w:lvl w:ilvl="3" w:tplc="63BC8EAC">
      <w:numFmt w:val="decimal"/>
      <w:lvlText w:val=""/>
      <w:lvlJc w:val="left"/>
    </w:lvl>
    <w:lvl w:ilvl="4" w:tplc="E370FAA6">
      <w:numFmt w:val="decimal"/>
      <w:lvlText w:val=""/>
      <w:lvlJc w:val="left"/>
    </w:lvl>
    <w:lvl w:ilvl="5" w:tplc="559CCE78">
      <w:numFmt w:val="decimal"/>
      <w:lvlText w:val=""/>
      <w:lvlJc w:val="left"/>
    </w:lvl>
    <w:lvl w:ilvl="6" w:tplc="76F4F0AE">
      <w:numFmt w:val="decimal"/>
      <w:lvlText w:val=""/>
      <w:lvlJc w:val="left"/>
    </w:lvl>
    <w:lvl w:ilvl="7" w:tplc="098EF7E4">
      <w:numFmt w:val="decimal"/>
      <w:lvlText w:val=""/>
      <w:lvlJc w:val="left"/>
    </w:lvl>
    <w:lvl w:ilvl="8" w:tplc="67E09C0E">
      <w:numFmt w:val="decimal"/>
      <w:lvlText w:val=""/>
      <w:lvlJc w:val="left"/>
    </w:lvl>
  </w:abstractNum>
  <w:abstractNum w:abstractNumId="1" w15:restartNumberingAfterBreak="0">
    <w:nsid w:val="2EED69A1"/>
    <w:multiLevelType w:val="multilevel"/>
    <w:tmpl w:val="132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3596C"/>
    <w:multiLevelType w:val="multilevel"/>
    <w:tmpl w:val="A7805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CE5351"/>
    <w:multiLevelType w:val="hybridMultilevel"/>
    <w:tmpl w:val="71EAB698"/>
    <w:lvl w:ilvl="0" w:tplc="8DD6D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D31100"/>
    <w:multiLevelType w:val="multilevel"/>
    <w:tmpl w:val="D2EC54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874C8"/>
    <w:multiLevelType w:val="multilevel"/>
    <w:tmpl w:val="E35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3"/>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14"/>
    <w:rsid w:val="004A0245"/>
    <w:rsid w:val="00556114"/>
    <w:rsid w:val="00EC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68F3"/>
  <w15:chartTrackingRefBased/>
  <w15:docId w15:val="{BF1B4D87-3D5F-44C0-AE24-B133B445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6114"/>
    <w:pPr>
      <w:spacing w:after="200" w:line="288"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56114"/>
    <w:pPr>
      <w:ind w:left="720"/>
      <w:contextualSpacing/>
    </w:pPr>
  </w:style>
  <w:style w:type="paragraph" w:styleId="NormalWeb">
    <w:name w:val="Normal (Web)"/>
    <w:basedOn w:val="Normal"/>
    <w:uiPriority w:val="99"/>
    <w:unhideWhenUsed/>
    <w:rsid w:val="005561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6114"/>
    <w:rPr>
      <w:strike w:val="0"/>
      <w:dstrike w:val="0"/>
      <w:color w:val="000000"/>
      <w:u w:val="none"/>
      <w:effect w:val="none"/>
    </w:rPr>
  </w:style>
  <w:style w:type="paragraph" w:styleId="Header">
    <w:name w:val="header"/>
    <w:basedOn w:val="Normal"/>
    <w:link w:val="HeaderChar"/>
    <w:uiPriority w:val="99"/>
    <w:unhideWhenUsed/>
    <w:rsid w:val="00556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14"/>
    <w:rPr>
      <w:sz w:val="21"/>
      <w:szCs w:val="21"/>
    </w:rPr>
  </w:style>
  <w:style w:type="paragraph" w:styleId="Footer">
    <w:name w:val="footer"/>
    <w:basedOn w:val="Normal"/>
    <w:link w:val="FooterChar"/>
    <w:uiPriority w:val="99"/>
    <w:unhideWhenUsed/>
    <w:rsid w:val="00556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11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12.mn" TargetMode="External"/><Relationship Id="rId3" Type="http://schemas.openxmlformats.org/officeDocument/2006/relationships/settings" Target="settings.xml"/><Relationship Id="rId7" Type="http://schemas.openxmlformats.org/officeDocument/2006/relationships/hyperlink" Target="http://www.election.m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3257</Words>
  <Characters>18568</Characters>
  <Application>Microsoft Office Word</Application>
  <DocSecurity>0</DocSecurity>
  <Lines>154</Lines>
  <Paragraphs>43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 chimeg</dc:creator>
  <cp:keywords/>
  <dc:description/>
  <cp:lastModifiedBy>uran chimeg</cp:lastModifiedBy>
  <cp:revision>1</cp:revision>
  <dcterms:created xsi:type="dcterms:W3CDTF">2026-06-02T03:57:00Z</dcterms:created>
  <dcterms:modified xsi:type="dcterms:W3CDTF">2026-06-02T04:00:00Z</dcterms:modified>
</cp:coreProperties>
</file>