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B3793" w14:textId="77777777" w:rsidR="00BA4D0F" w:rsidRPr="00E64399" w:rsidRDefault="00BA4D0F" w:rsidP="00BA4D0F">
      <w:pPr>
        <w:spacing w:after="80"/>
        <w:jc w:val="center"/>
        <w:rPr>
          <w:rFonts w:ascii="Arial" w:hAnsi="Arial" w:cs="Arial"/>
          <w:b/>
          <w:bCs/>
          <w:noProof/>
          <w:sz w:val="24"/>
          <w:szCs w:val="24"/>
          <w:lang w:val="mn-MN"/>
        </w:rPr>
      </w:pPr>
      <w:r w:rsidRPr="00E64399">
        <w:rPr>
          <w:rFonts w:ascii="Arial" w:hAnsi="Arial" w:cs="Arial"/>
          <w:b/>
          <w:bCs/>
          <w:noProof/>
          <w:sz w:val="24"/>
          <w:szCs w:val="24"/>
          <w:lang w:val="mn-MN"/>
        </w:rPr>
        <w:t>МОНГОЛ УЛСЫН ЗАСАГ ЗАХИРГАА, НУТАГ ДЭВСГЭРИЙН НЭГЖ, ТҮҮНИЙ УДИРДЛАГЫН ТУХАЙ ХУУЛЬД НЭМЭЛТ, ӨӨРЧЛӨЛТ ОРУУЛАХ ТУХАЙ ХУУЛИЙН ТӨСЛИЙН ҮР НӨЛӨӨНИЙ ҮНЭЛГЭЭНИЙ ТАЙЛАН</w:t>
      </w:r>
    </w:p>
    <w:p w14:paraId="008FDF3E" w14:textId="77777777" w:rsidR="00BA4D0F" w:rsidRPr="00E64399" w:rsidRDefault="00BA4D0F" w:rsidP="00BA4D0F">
      <w:pPr>
        <w:spacing w:after="80"/>
        <w:jc w:val="center"/>
        <w:rPr>
          <w:rFonts w:ascii="Arial" w:hAnsi="Arial" w:cs="Arial"/>
          <w:noProof/>
          <w:sz w:val="24"/>
          <w:szCs w:val="24"/>
          <w:lang w:val="mn-MN"/>
        </w:rPr>
      </w:pPr>
    </w:p>
    <w:p w14:paraId="2A740306" w14:textId="77777777" w:rsidR="00BA4D0F" w:rsidRPr="00E64399" w:rsidRDefault="00BA4D0F" w:rsidP="00BA4D0F">
      <w:pPr>
        <w:ind w:firstLine="720"/>
        <w:jc w:val="both"/>
        <w:rPr>
          <w:rFonts w:ascii="Arial" w:hAnsi="Arial" w:cs="Arial"/>
          <w:b/>
          <w:bCs/>
          <w:noProof/>
          <w:sz w:val="24"/>
          <w:szCs w:val="24"/>
          <w:lang w:val="mn-MN"/>
        </w:rPr>
      </w:pPr>
      <w:r w:rsidRPr="00E64399">
        <w:rPr>
          <w:rFonts w:ascii="Arial" w:hAnsi="Arial" w:cs="Arial"/>
          <w:b/>
          <w:bCs/>
          <w:noProof/>
          <w:sz w:val="24"/>
          <w:szCs w:val="24"/>
          <w:lang w:val="mn-MN"/>
        </w:rPr>
        <w:t>НЭГ. АГУУЛГА</w:t>
      </w:r>
    </w:p>
    <w:p w14:paraId="3FA4CB2E" w14:textId="77777777" w:rsidR="00BA4D0F" w:rsidRPr="00E64399" w:rsidRDefault="00BA4D0F" w:rsidP="00BA4D0F">
      <w:pPr>
        <w:spacing w:line="240" w:lineRule="auto"/>
        <w:ind w:firstLine="720"/>
        <w:jc w:val="both"/>
        <w:rPr>
          <w:rFonts w:ascii="Arial" w:hAnsi="Arial" w:cs="Arial"/>
          <w:noProof/>
          <w:sz w:val="24"/>
          <w:szCs w:val="24"/>
          <w:lang w:val="mn-MN"/>
        </w:rPr>
      </w:pPr>
      <w:r w:rsidRPr="00E64399">
        <w:rPr>
          <w:rFonts w:ascii="Arial" w:hAnsi="Arial" w:cs="Arial"/>
          <w:noProof/>
          <w:sz w:val="24"/>
          <w:szCs w:val="24"/>
          <w:lang w:val="mn-MN"/>
        </w:rPr>
        <w:t>Монгол Улсын засаг захиргаа, нутаг дэвсгэрийн нэгж, түүний удирдлагын тухай хуульд нэмэлт, өөрчлөлт оруулах тухай хуулийн төслийг үр нөлөөг Монгол Улсын Засгийн газрын 2016 оны Аргачлал батлах тухай 59 тоот тогтоолын дагуу "Хууль тогтоомжийн төслийн үр нөлөөг үнэлэх аргачлал"-ын дагуу үнэлгээ хийсэн болно.</w:t>
      </w:r>
    </w:p>
    <w:p w14:paraId="30138C6D" w14:textId="77777777" w:rsidR="00BA4D0F" w:rsidRPr="00E64399" w:rsidRDefault="00BA4D0F" w:rsidP="00BA4D0F">
      <w:pPr>
        <w:spacing w:line="240" w:lineRule="auto"/>
        <w:ind w:firstLine="720"/>
        <w:jc w:val="both"/>
        <w:rPr>
          <w:rFonts w:ascii="Arial" w:hAnsi="Arial" w:cs="Arial"/>
          <w:noProof/>
          <w:sz w:val="24"/>
          <w:szCs w:val="24"/>
          <w:lang w:val="mn-MN"/>
        </w:rPr>
      </w:pPr>
      <w:r w:rsidRPr="00E64399">
        <w:rPr>
          <w:rFonts w:ascii="Arial" w:hAnsi="Arial" w:cs="Arial"/>
          <w:noProof/>
          <w:sz w:val="24"/>
          <w:szCs w:val="24"/>
          <w:lang w:val="mn-MN"/>
        </w:rPr>
        <w:t>Хуулийн төсөл гурван хэсгээс бүрдэнэ:</w:t>
      </w:r>
    </w:p>
    <w:p w14:paraId="78FEF22F"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Монгол Улсын засаг захиргаа, нутаг дэвсгэрийн нэгж, түүний удирдлагын тухай хуулийн 32 дугаар зүйлийг бүрэн шинэчлэн найруулах (32.1–32.28.9), 56 дугаар зүйлийн 56.4.1, 56.4.5, 56.5.1, 56.5.2-ыг өөрчлөн найруулах, 4.1.10 дахь заалт нэмэх.</w:t>
      </w:r>
    </w:p>
    <w:p w14:paraId="679DE4F1"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Дагаж мөрдөх журмын тухай хууль: 4 зүйлтэй — хэрэгжүүлэх хугацаа, цахим журам батлах, зардлын норматив (даргын урамшуулалгүй), хуралдаагүй нэгжийг сэргээх.</w:t>
      </w:r>
    </w:p>
    <w:p w14:paraId="2F64D2BC"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Төсвийн тухай хуульд нэмэлт: 60.2.6 дахь заалт нэмэх — баг, хорооны ИНХ-ын үйл ажиллагааны зардалд зориулах (Хурлын даргын урамшуулал хамаарахгүй — 32.16-д "олгож болно" гэсэн факультатив хэлбэртэй).</w:t>
      </w:r>
    </w:p>
    <w:p w14:paraId="49F54053" w14:textId="77777777" w:rsidR="00BA4D0F" w:rsidRPr="00E64399" w:rsidRDefault="00BA4D0F" w:rsidP="00BA4D0F">
      <w:pPr>
        <w:pStyle w:val="Heading2"/>
        <w:ind w:firstLine="680"/>
        <w:rPr>
          <w:b w:val="0"/>
          <w:bCs w:val="0"/>
          <w:noProof/>
          <w:color w:val="auto"/>
          <w:sz w:val="24"/>
          <w:szCs w:val="24"/>
          <w:lang w:val="mn-MN"/>
        </w:rPr>
      </w:pPr>
      <w:r w:rsidRPr="00E64399">
        <w:rPr>
          <w:b w:val="0"/>
          <w:bCs w:val="0"/>
          <w:noProof/>
          <w:color w:val="auto"/>
          <w:sz w:val="24"/>
          <w:szCs w:val="24"/>
          <w:lang w:val="mn-MN"/>
        </w:rPr>
        <w:t>Хуулийн төслийн зорилго ба шаардлага:</w:t>
      </w:r>
    </w:p>
    <w:p w14:paraId="60B19BAC" w14:textId="77777777" w:rsidR="00BA4D0F" w:rsidRPr="00E64399" w:rsidRDefault="00BA4D0F" w:rsidP="00BA4D0F">
      <w:pPr>
        <w:spacing w:before="60" w:after="60" w:line="240" w:lineRule="auto"/>
        <w:ind w:firstLine="680"/>
        <w:jc w:val="both"/>
        <w:rPr>
          <w:rFonts w:ascii="Arial" w:hAnsi="Arial" w:cs="Arial"/>
          <w:noProof/>
          <w:sz w:val="24"/>
          <w:szCs w:val="24"/>
          <w:lang w:val="mn-MN"/>
        </w:rPr>
      </w:pPr>
      <w:r w:rsidRPr="00E64399">
        <w:rPr>
          <w:rFonts w:ascii="Arial" w:hAnsi="Arial" w:cs="Arial"/>
          <w:noProof/>
          <w:sz w:val="24"/>
          <w:szCs w:val="24"/>
          <w:lang w:val="mn-MN"/>
        </w:rPr>
        <w:t xml:space="preserve">2022 оны 01 дүгээр сарын 01-нээс хэрэгжсэн хуулийн шинэчилсэн найруулгын 32.7 дахь заалт нь ИНХ-ын хуралдааныг гүйцэтгэх засаглалаас бүрэн хамааралтай болгосноор нийслэлийн 204 хороо, орон нутгийн 1,647 баг — нийт 1,851 нэгжийн ИНХ 4 жил тогтмол хуралдаагүй. 2024 оны 10 дугаар сарын орон нутгийн сонгуулийн дараа ч хороодын Засаг дарга нар ажилласаар байна, Газрын тухай, Байгаль орчны тухай, Ойн тухай, Усны тухай, Нийгмийн халамжийн тухай зэрэг 14 хуулийн ИНХ-тай холбоотой заалтуудын хэрэгжилт гацсан байдалтай байна. </w:t>
      </w:r>
    </w:p>
    <w:p w14:paraId="18AE086D" w14:textId="77777777" w:rsidR="00BA4D0F" w:rsidRPr="00E64399" w:rsidRDefault="00BA4D0F" w:rsidP="00BA4D0F">
      <w:pPr>
        <w:spacing w:before="40" w:after="40" w:line="240" w:lineRule="auto"/>
        <w:ind w:left="340"/>
        <w:rPr>
          <w:rFonts w:ascii="Arial" w:hAnsi="Arial" w:cs="Arial"/>
          <w:b/>
          <w:bCs/>
          <w:noProof/>
          <w:sz w:val="24"/>
          <w:szCs w:val="24"/>
          <w:lang w:val="mn-MN"/>
        </w:rPr>
      </w:pPr>
    </w:p>
    <w:p w14:paraId="6786097F" w14:textId="77777777" w:rsidR="00BA4D0F" w:rsidRPr="00E64399" w:rsidRDefault="00BA4D0F" w:rsidP="00BA4D0F">
      <w:pPr>
        <w:spacing w:before="40" w:after="40" w:line="240" w:lineRule="auto"/>
        <w:ind w:firstLine="680"/>
        <w:rPr>
          <w:rFonts w:ascii="Arial" w:hAnsi="Arial" w:cs="Arial"/>
          <w:noProof/>
          <w:sz w:val="24"/>
          <w:szCs w:val="24"/>
          <w:lang w:val="mn-MN"/>
        </w:rPr>
      </w:pPr>
      <w:r w:rsidRPr="00E64399">
        <w:rPr>
          <w:rFonts w:ascii="Arial" w:hAnsi="Arial" w:cs="Arial"/>
          <w:b/>
          <w:bCs/>
          <w:noProof/>
          <w:sz w:val="24"/>
          <w:szCs w:val="24"/>
          <w:lang w:val="mn-MN"/>
        </w:rPr>
        <w:t>ХОЁР. ШАЛГУУР ҮЗҮҮЛЭЛТ БА ШАЛГАХ ХЭРЭГСЭЛ</w:t>
      </w:r>
    </w:p>
    <w:p w14:paraId="1C274D6B" w14:textId="77777777" w:rsidR="00BA4D0F" w:rsidRPr="00E64399" w:rsidRDefault="00BA4D0F" w:rsidP="00BA4D0F">
      <w:pPr>
        <w:spacing w:before="60" w:after="60" w:line="240" w:lineRule="auto"/>
        <w:ind w:firstLine="680"/>
        <w:jc w:val="both"/>
        <w:rPr>
          <w:rFonts w:ascii="Arial" w:hAnsi="Arial" w:cs="Arial"/>
          <w:noProof/>
          <w:sz w:val="24"/>
          <w:szCs w:val="24"/>
          <w:lang w:val="mn-MN"/>
        </w:rPr>
      </w:pPr>
      <w:r w:rsidRPr="00E64399">
        <w:rPr>
          <w:rFonts w:ascii="Arial" w:hAnsi="Arial" w:cs="Arial"/>
          <w:noProof/>
          <w:sz w:val="24"/>
          <w:szCs w:val="24"/>
          <w:lang w:val="mn-MN"/>
        </w:rPr>
        <w:t>Аргачлалын 2.2-т заасан 6 шалгуур үзүүлэлт бүгдийг ашиглав. Хуулийн төсөл нь иргэдийн нийтлэг эрх ашиг, нутгийн өөрөө удирдах ёс, улсын төсөвт нөлөөтэй тул бүх шалгуурыг хамруулах шаардлагатай.</w:t>
      </w:r>
    </w:p>
    <w:tbl>
      <w:tblPr>
        <w:tblStyle w:val="TableGrid"/>
        <w:tblW w:w="0" w:type="auto"/>
        <w:tblLook w:val="04A0" w:firstRow="1" w:lastRow="0" w:firstColumn="1" w:lastColumn="0" w:noHBand="0" w:noVBand="1"/>
      </w:tblPr>
      <w:tblGrid>
        <w:gridCol w:w="704"/>
        <w:gridCol w:w="3119"/>
        <w:gridCol w:w="3685"/>
        <w:gridCol w:w="1985"/>
      </w:tblGrid>
      <w:tr w:rsidR="00BA4D0F" w:rsidRPr="00E64399" w14:paraId="3B12B574" w14:textId="77777777" w:rsidTr="005725EA">
        <w:tc>
          <w:tcPr>
            <w:tcW w:w="704" w:type="dxa"/>
          </w:tcPr>
          <w:p w14:paraId="2AD1B426" w14:textId="77777777" w:rsidR="00BA4D0F" w:rsidRPr="00E64399" w:rsidRDefault="00BA4D0F" w:rsidP="005725EA">
            <w:pPr>
              <w:spacing w:before="60" w:after="60"/>
              <w:jc w:val="both"/>
              <w:rPr>
                <w:rFonts w:ascii="Arial" w:hAnsi="Arial" w:cs="Arial"/>
                <w:b/>
                <w:bCs/>
                <w:noProof/>
                <w:sz w:val="24"/>
                <w:szCs w:val="24"/>
                <w:lang w:val="mn-MN"/>
              </w:rPr>
            </w:pPr>
            <w:r w:rsidRPr="00E64399">
              <w:rPr>
                <w:rFonts w:ascii="Arial" w:hAnsi="Arial" w:cs="Arial"/>
                <w:b/>
                <w:bCs/>
                <w:noProof/>
                <w:sz w:val="24"/>
                <w:szCs w:val="24"/>
                <w:lang w:val="mn-MN"/>
              </w:rPr>
              <w:t>№</w:t>
            </w:r>
          </w:p>
        </w:tc>
        <w:tc>
          <w:tcPr>
            <w:tcW w:w="3119" w:type="dxa"/>
          </w:tcPr>
          <w:p w14:paraId="49F8EB13" w14:textId="77777777" w:rsidR="00BA4D0F" w:rsidRPr="00E64399" w:rsidRDefault="00BA4D0F" w:rsidP="005725EA">
            <w:pPr>
              <w:spacing w:before="60" w:after="60"/>
              <w:jc w:val="both"/>
              <w:rPr>
                <w:rFonts w:ascii="Arial" w:hAnsi="Arial" w:cs="Arial"/>
                <w:b/>
                <w:bCs/>
                <w:noProof/>
                <w:sz w:val="24"/>
                <w:szCs w:val="24"/>
                <w:lang w:val="mn-MN"/>
              </w:rPr>
            </w:pPr>
            <w:r w:rsidRPr="00E64399">
              <w:rPr>
                <w:rFonts w:ascii="Arial" w:hAnsi="Arial" w:cs="Arial"/>
                <w:b/>
                <w:bCs/>
                <w:noProof/>
                <w:sz w:val="24"/>
                <w:szCs w:val="24"/>
                <w:lang w:val="mn-MN"/>
              </w:rPr>
              <w:t>Шалгуур үзүүлэлт</w:t>
            </w:r>
          </w:p>
        </w:tc>
        <w:tc>
          <w:tcPr>
            <w:tcW w:w="3685" w:type="dxa"/>
          </w:tcPr>
          <w:p w14:paraId="6D5F0680" w14:textId="77777777" w:rsidR="00BA4D0F" w:rsidRPr="00E64399" w:rsidRDefault="00BA4D0F" w:rsidP="005725EA">
            <w:pPr>
              <w:spacing w:before="60" w:after="60"/>
              <w:jc w:val="both"/>
              <w:rPr>
                <w:rFonts w:ascii="Arial" w:hAnsi="Arial" w:cs="Arial"/>
                <w:b/>
                <w:bCs/>
                <w:noProof/>
                <w:sz w:val="24"/>
                <w:szCs w:val="24"/>
                <w:lang w:val="mn-MN"/>
              </w:rPr>
            </w:pPr>
            <w:r w:rsidRPr="00E64399">
              <w:rPr>
                <w:rFonts w:ascii="Arial" w:hAnsi="Arial" w:cs="Arial"/>
                <w:b/>
                <w:bCs/>
                <w:noProof/>
                <w:sz w:val="24"/>
                <w:szCs w:val="24"/>
                <w:lang w:val="mn-MN"/>
              </w:rPr>
              <w:t>Шалгах хэрэгсэл</w:t>
            </w:r>
          </w:p>
        </w:tc>
        <w:tc>
          <w:tcPr>
            <w:tcW w:w="1985" w:type="dxa"/>
          </w:tcPr>
          <w:p w14:paraId="71894B17" w14:textId="77777777" w:rsidR="00BA4D0F" w:rsidRPr="00E64399" w:rsidRDefault="00BA4D0F" w:rsidP="005725EA">
            <w:pPr>
              <w:spacing w:before="60" w:after="60"/>
              <w:jc w:val="both"/>
              <w:rPr>
                <w:rFonts w:ascii="Arial" w:hAnsi="Arial" w:cs="Arial"/>
                <w:b/>
                <w:bCs/>
                <w:noProof/>
                <w:sz w:val="24"/>
                <w:szCs w:val="24"/>
                <w:lang w:val="mn-MN"/>
              </w:rPr>
            </w:pPr>
            <w:r w:rsidRPr="00E64399">
              <w:rPr>
                <w:rFonts w:ascii="Arial" w:hAnsi="Arial" w:cs="Arial"/>
                <w:b/>
                <w:bCs/>
                <w:noProof/>
                <w:sz w:val="24"/>
                <w:szCs w:val="24"/>
                <w:lang w:val="mn-MN"/>
              </w:rPr>
              <w:t>үнэлгээ</w:t>
            </w:r>
          </w:p>
        </w:tc>
      </w:tr>
      <w:tr w:rsidR="00BA4D0F" w:rsidRPr="00E64399" w14:paraId="01A7C8E6" w14:textId="77777777" w:rsidTr="005725EA">
        <w:tc>
          <w:tcPr>
            <w:tcW w:w="704" w:type="dxa"/>
          </w:tcPr>
          <w:p w14:paraId="57C805F8" w14:textId="77777777" w:rsidR="00BA4D0F" w:rsidRPr="00E64399" w:rsidRDefault="00BA4D0F" w:rsidP="005725EA">
            <w:pPr>
              <w:spacing w:before="60" w:after="60"/>
              <w:jc w:val="both"/>
              <w:rPr>
                <w:rFonts w:ascii="Arial" w:hAnsi="Arial" w:cs="Arial"/>
                <w:noProof/>
                <w:sz w:val="24"/>
                <w:szCs w:val="24"/>
              </w:rPr>
            </w:pPr>
            <w:r w:rsidRPr="00E64399">
              <w:rPr>
                <w:rFonts w:ascii="Arial" w:hAnsi="Arial" w:cs="Arial"/>
                <w:noProof/>
                <w:sz w:val="24"/>
                <w:szCs w:val="24"/>
              </w:rPr>
              <w:t>1</w:t>
            </w:r>
          </w:p>
        </w:tc>
        <w:tc>
          <w:tcPr>
            <w:tcW w:w="3119" w:type="dxa"/>
          </w:tcPr>
          <w:p w14:paraId="2F99EB56"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Зорилгод хүрэх байдал</w:t>
            </w:r>
          </w:p>
        </w:tc>
        <w:tc>
          <w:tcPr>
            <w:tcW w:w="3685" w:type="dxa"/>
          </w:tcPr>
          <w:p w14:paraId="3EE61FD4"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Зорилгод дүн шинжилгээ хийх</w:t>
            </w:r>
          </w:p>
        </w:tc>
        <w:tc>
          <w:tcPr>
            <w:tcW w:w="1985" w:type="dxa"/>
          </w:tcPr>
          <w:p w14:paraId="1D5FDCD6"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эерэг</w:t>
            </w:r>
          </w:p>
        </w:tc>
      </w:tr>
      <w:tr w:rsidR="00BA4D0F" w:rsidRPr="00E64399" w14:paraId="3541CA91" w14:textId="77777777" w:rsidTr="005725EA">
        <w:tc>
          <w:tcPr>
            <w:tcW w:w="704" w:type="dxa"/>
          </w:tcPr>
          <w:p w14:paraId="1CD2DA27" w14:textId="77777777" w:rsidR="00BA4D0F" w:rsidRPr="00E64399" w:rsidRDefault="00BA4D0F" w:rsidP="005725EA">
            <w:pPr>
              <w:spacing w:before="60" w:after="60"/>
              <w:jc w:val="both"/>
              <w:rPr>
                <w:rFonts w:ascii="Arial" w:hAnsi="Arial" w:cs="Arial"/>
                <w:noProof/>
                <w:sz w:val="24"/>
                <w:szCs w:val="24"/>
              </w:rPr>
            </w:pPr>
            <w:r w:rsidRPr="00E64399">
              <w:rPr>
                <w:rFonts w:ascii="Arial" w:hAnsi="Arial" w:cs="Arial"/>
                <w:noProof/>
                <w:sz w:val="24"/>
                <w:szCs w:val="24"/>
              </w:rPr>
              <w:t>2</w:t>
            </w:r>
          </w:p>
        </w:tc>
        <w:tc>
          <w:tcPr>
            <w:tcW w:w="3119" w:type="dxa"/>
          </w:tcPr>
          <w:p w14:paraId="6007BF4B"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Практикт хэрэгжих боломж</w:t>
            </w:r>
          </w:p>
        </w:tc>
        <w:tc>
          <w:tcPr>
            <w:tcW w:w="3685" w:type="dxa"/>
          </w:tcPr>
          <w:p w14:paraId="24427D46"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Санал авах</w:t>
            </w:r>
            <w:r w:rsidRPr="00E64399">
              <w:rPr>
                <w:rFonts w:ascii="Arial" w:hAnsi="Arial" w:cs="Arial"/>
                <w:noProof/>
                <w:sz w:val="24"/>
                <w:szCs w:val="24"/>
              </w:rPr>
              <w:t>/</w:t>
            </w:r>
            <w:r w:rsidRPr="00E64399">
              <w:rPr>
                <w:rFonts w:ascii="Arial" w:hAnsi="Arial" w:cs="Arial"/>
                <w:noProof/>
                <w:sz w:val="24"/>
                <w:szCs w:val="24"/>
                <w:lang w:val="mn-MN"/>
              </w:rPr>
              <w:t>практикт турших</w:t>
            </w:r>
          </w:p>
        </w:tc>
        <w:tc>
          <w:tcPr>
            <w:tcW w:w="1985" w:type="dxa"/>
          </w:tcPr>
          <w:p w14:paraId="25CC9A22"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дундаж</w:t>
            </w:r>
          </w:p>
        </w:tc>
      </w:tr>
      <w:tr w:rsidR="00BA4D0F" w:rsidRPr="00E64399" w14:paraId="60A0D05D" w14:textId="77777777" w:rsidTr="005725EA">
        <w:tc>
          <w:tcPr>
            <w:tcW w:w="704" w:type="dxa"/>
          </w:tcPr>
          <w:p w14:paraId="3804E9B4" w14:textId="77777777" w:rsidR="00BA4D0F" w:rsidRPr="00E64399" w:rsidRDefault="00BA4D0F" w:rsidP="005725EA">
            <w:pPr>
              <w:spacing w:before="60" w:after="60"/>
              <w:jc w:val="both"/>
              <w:rPr>
                <w:rFonts w:ascii="Arial" w:hAnsi="Arial" w:cs="Arial"/>
                <w:noProof/>
                <w:sz w:val="24"/>
                <w:szCs w:val="24"/>
              </w:rPr>
            </w:pPr>
            <w:r w:rsidRPr="00E64399">
              <w:rPr>
                <w:rFonts w:ascii="Arial" w:hAnsi="Arial" w:cs="Arial"/>
                <w:noProof/>
                <w:sz w:val="24"/>
                <w:szCs w:val="24"/>
              </w:rPr>
              <w:t>3</w:t>
            </w:r>
          </w:p>
        </w:tc>
        <w:tc>
          <w:tcPr>
            <w:tcW w:w="3119" w:type="dxa"/>
          </w:tcPr>
          <w:p w14:paraId="2F866DBE"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Ойлгомжтой байдал</w:t>
            </w:r>
          </w:p>
        </w:tc>
        <w:tc>
          <w:tcPr>
            <w:tcW w:w="3685" w:type="dxa"/>
          </w:tcPr>
          <w:p w14:paraId="532CD336"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ойлгомжтой</w:t>
            </w:r>
          </w:p>
        </w:tc>
        <w:tc>
          <w:tcPr>
            <w:tcW w:w="1985" w:type="dxa"/>
          </w:tcPr>
          <w:p w14:paraId="79AF9981"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эерэг</w:t>
            </w:r>
          </w:p>
        </w:tc>
      </w:tr>
      <w:tr w:rsidR="00BA4D0F" w:rsidRPr="00E64399" w14:paraId="65C37DD5" w14:textId="77777777" w:rsidTr="005725EA">
        <w:tc>
          <w:tcPr>
            <w:tcW w:w="704" w:type="dxa"/>
          </w:tcPr>
          <w:p w14:paraId="14666C36"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lastRenderedPageBreak/>
              <w:t>4</w:t>
            </w:r>
          </w:p>
        </w:tc>
        <w:tc>
          <w:tcPr>
            <w:tcW w:w="3119" w:type="dxa"/>
          </w:tcPr>
          <w:p w14:paraId="385200BA"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Хүлээн зөвшөөрөгдөх байдал</w:t>
            </w:r>
          </w:p>
        </w:tc>
        <w:tc>
          <w:tcPr>
            <w:tcW w:w="3685" w:type="dxa"/>
          </w:tcPr>
          <w:p w14:paraId="3CF2A062"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Хүлээн зөвшөөрөгдөх байдлын судалгаа</w:t>
            </w:r>
          </w:p>
        </w:tc>
        <w:tc>
          <w:tcPr>
            <w:tcW w:w="1985" w:type="dxa"/>
          </w:tcPr>
          <w:p w14:paraId="42FFAE03"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эерэг</w:t>
            </w:r>
          </w:p>
        </w:tc>
      </w:tr>
      <w:tr w:rsidR="00BA4D0F" w:rsidRPr="00E64399" w14:paraId="581D2DB4" w14:textId="77777777" w:rsidTr="005725EA">
        <w:tc>
          <w:tcPr>
            <w:tcW w:w="704" w:type="dxa"/>
          </w:tcPr>
          <w:p w14:paraId="17BF3EEE"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5</w:t>
            </w:r>
          </w:p>
        </w:tc>
        <w:tc>
          <w:tcPr>
            <w:tcW w:w="3119" w:type="dxa"/>
          </w:tcPr>
          <w:p w14:paraId="1EDDEF2E"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Зардал</w:t>
            </w:r>
          </w:p>
        </w:tc>
        <w:tc>
          <w:tcPr>
            <w:tcW w:w="3685" w:type="dxa"/>
          </w:tcPr>
          <w:p w14:paraId="432D6C76" w14:textId="77777777" w:rsidR="00BA4D0F" w:rsidRPr="00E64399" w:rsidRDefault="00BA4D0F" w:rsidP="005725EA">
            <w:pPr>
              <w:spacing w:before="60" w:after="60"/>
              <w:jc w:val="both"/>
              <w:rPr>
                <w:rFonts w:ascii="Arial" w:hAnsi="Arial" w:cs="Arial"/>
                <w:noProof/>
                <w:sz w:val="24"/>
                <w:szCs w:val="24"/>
              </w:rPr>
            </w:pPr>
            <w:r w:rsidRPr="00E64399">
              <w:rPr>
                <w:rFonts w:ascii="Arial" w:hAnsi="Arial" w:cs="Arial"/>
                <w:noProof/>
                <w:sz w:val="24"/>
                <w:szCs w:val="24"/>
                <w:lang w:val="mn-MN"/>
              </w:rPr>
              <w:t xml:space="preserve">Зардлын тооцоо хийх </w:t>
            </w:r>
            <w:r w:rsidRPr="00E64399">
              <w:rPr>
                <w:rFonts w:ascii="Arial" w:hAnsi="Arial" w:cs="Arial"/>
                <w:noProof/>
                <w:sz w:val="24"/>
                <w:szCs w:val="24"/>
              </w:rPr>
              <w:t>(</w:t>
            </w:r>
            <w:r w:rsidRPr="00E64399">
              <w:rPr>
                <w:rFonts w:ascii="Arial" w:hAnsi="Arial" w:cs="Arial"/>
                <w:noProof/>
                <w:sz w:val="24"/>
                <w:szCs w:val="24"/>
                <w:lang w:val="mn-MN"/>
              </w:rPr>
              <w:t>аргачлалын дагуу</w:t>
            </w:r>
            <w:r w:rsidRPr="00E64399">
              <w:rPr>
                <w:rFonts w:ascii="Arial" w:hAnsi="Arial" w:cs="Arial"/>
                <w:noProof/>
                <w:sz w:val="24"/>
                <w:szCs w:val="24"/>
              </w:rPr>
              <w:t>)</w:t>
            </w:r>
          </w:p>
        </w:tc>
        <w:tc>
          <w:tcPr>
            <w:tcW w:w="1985" w:type="dxa"/>
          </w:tcPr>
          <w:p w14:paraId="40A6BFE9"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тодорхой</w:t>
            </w:r>
          </w:p>
        </w:tc>
      </w:tr>
      <w:tr w:rsidR="00BA4D0F" w:rsidRPr="00E64399" w14:paraId="24C8440A" w14:textId="77777777" w:rsidTr="005725EA">
        <w:tc>
          <w:tcPr>
            <w:tcW w:w="704" w:type="dxa"/>
          </w:tcPr>
          <w:p w14:paraId="726F26FB"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6</w:t>
            </w:r>
          </w:p>
        </w:tc>
        <w:tc>
          <w:tcPr>
            <w:tcW w:w="3119" w:type="dxa"/>
          </w:tcPr>
          <w:p w14:paraId="2D376E29"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Харилцан уялдаа</w:t>
            </w:r>
          </w:p>
        </w:tc>
        <w:tc>
          <w:tcPr>
            <w:tcW w:w="3685" w:type="dxa"/>
          </w:tcPr>
          <w:p w14:paraId="4289E1DA" w14:textId="77777777" w:rsidR="00BA4D0F" w:rsidRPr="00E64399" w:rsidRDefault="00BA4D0F" w:rsidP="005725EA">
            <w:pPr>
              <w:spacing w:before="60" w:after="60"/>
              <w:jc w:val="both"/>
              <w:rPr>
                <w:rFonts w:ascii="Arial" w:hAnsi="Arial" w:cs="Arial"/>
                <w:noProof/>
                <w:sz w:val="24"/>
                <w:szCs w:val="24"/>
                <w:lang w:val="mn-MN"/>
              </w:rPr>
            </w:pPr>
          </w:p>
        </w:tc>
        <w:tc>
          <w:tcPr>
            <w:tcW w:w="1985" w:type="dxa"/>
          </w:tcPr>
          <w:p w14:paraId="3EAA428F" w14:textId="77777777" w:rsidR="00BA4D0F" w:rsidRPr="00E64399" w:rsidRDefault="00BA4D0F" w:rsidP="005725EA">
            <w:pPr>
              <w:spacing w:before="60" w:after="60"/>
              <w:jc w:val="both"/>
              <w:rPr>
                <w:rFonts w:ascii="Arial" w:hAnsi="Arial" w:cs="Arial"/>
                <w:noProof/>
                <w:sz w:val="24"/>
                <w:szCs w:val="24"/>
                <w:lang w:val="mn-MN"/>
              </w:rPr>
            </w:pPr>
            <w:r w:rsidRPr="00E64399">
              <w:rPr>
                <w:rFonts w:ascii="Arial" w:hAnsi="Arial" w:cs="Arial"/>
                <w:noProof/>
                <w:sz w:val="24"/>
                <w:szCs w:val="24"/>
                <w:lang w:val="mn-MN"/>
              </w:rPr>
              <w:t>Сайн</w:t>
            </w:r>
          </w:p>
        </w:tc>
      </w:tr>
    </w:tbl>
    <w:p w14:paraId="31E6F02D" w14:textId="77777777" w:rsidR="00BA4D0F" w:rsidRPr="00E64399" w:rsidRDefault="00BA4D0F" w:rsidP="00BA4D0F">
      <w:pPr>
        <w:spacing w:before="60" w:after="60"/>
        <w:ind w:firstLine="680"/>
        <w:jc w:val="both"/>
        <w:rPr>
          <w:rFonts w:ascii="Arial" w:hAnsi="Arial" w:cs="Arial"/>
          <w:noProof/>
          <w:sz w:val="24"/>
          <w:szCs w:val="24"/>
          <w:lang w:val="mn-MN"/>
        </w:rPr>
      </w:pPr>
    </w:p>
    <w:p w14:paraId="0398BF33" w14:textId="77777777" w:rsidR="00BA4D0F" w:rsidRPr="00E64399" w:rsidRDefault="00BA4D0F" w:rsidP="00BA4D0F">
      <w:pPr>
        <w:ind w:firstLine="720"/>
        <w:rPr>
          <w:rFonts w:ascii="Arial" w:hAnsi="Arial" w:cs="Arial"/>
          <w:noProof/>
          <w:sz w:val="24"/>
          <w:szCs w:val="24"/>
          <w:lang w:val="mn-MN"/>
        </w:rPr>
      </w:pPr>
      <w:r w:rsidRPr="00E64399">
        <w:rPr>
          <w:rFonts w:ascii="Arial" w:hAnsi="Arial" w:cs="Arial"/>
          <w:b/>
          <w:bCs/>
          <w:noProof/>
          <w:sz w:val="24"/>
          <w:szCs w:val="24"/>
          <w:lang w:val="mn-MN"/>
        </w:rPr>
        <w:t>ГУРАВ. ҮР НӨЛӨӨНИЙ ДЭЛГЭРЭНГҮЙ ҮНЭЛГЭЭ</w:t>
      </w:r>
    </w:p>
    <w:p w14:paraId="15EBBAA2"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3.1 Зорилгод хүрэх байдал — ЭЕРЭГ</w:t>
      </w:r>
    </w:p>
    <w:p w14:paraId="0F6387AF" w14:textId="77777777" w:rsidR="00BA4D0F" w:rsidRPr="00E64399" w:rsidRDefault="00BA4D0F" w:rsidP="00BA4D0F">
      <w:pPr>
        <w:spacing w:before="60" w:after="60"/>
        <w:ind w:firstLine="720"/>
        <w:jc w:val="both"/>
        <w:rPr>
          <w:rFonts w:ascii="Arial" w:hAnsi="Arial" w:cs="Arial"/>
          <w:noProof/>
          <w:sz w:val="24"/>
          <w:szCs w:val="24"/>
          <w:lang w:val="mn-MN"/>
        </w:rPr>
      </w:pPr>
      <w:r w:rsidRPr="00E64399">
        <w:rPr>
          <w:rFonts w:ascii="Arial" w:hAnsi="Arial" w:cs="Arial"/>
          <w:noProof/>
          <w:sz w:val="24"/>
          <w:szCs w:val="24"/>
          <w:lang w:val="mn-MN"/>
        </w:rPr>
        <w:t>Хуулийн төсөлд тусгасан зохицуулалтууд Үндсэн хуулийн 16.9, 59.2, 60.1, 60.2-д заасан нутгийн өөрөө удирдах ёсны зарчимтай нийцэж, зорилгодоо хүрэх бодит боломжтой гэж үнэлэгдлээ.</w:t>
      </w:r>
    </w:p>
    <w:p w14:paraId="78590C34" w14:textId="77777777" w:rsidR="00BA4D0F" w:rsidRPr="00E64399" w:rsidRDefault="00BA4D0F" w:rsidP="00BA4D0F">
      <w:pPr>
        <w:spacing w:before="160" w:after="60"/>
        <w:jc w:val="both"/>
        <w:rPr>
          <w:rFonts w:ascii="Arial" w:hAnsi="Arial" w:cs="Arial"/>
          <w:noProof/>
          <w:sz w:val="24"/>
          <w:szCs w:val="24"/>
          <w:lang w:val="mn-MN"/>
        </w:rPr>
      </w:pPr>
      <w:r w:rsidRPr="00E64399">
        <w:rPr>
          <w:rFonts w:ascii="Arial" w:hAnsi="Arial" w:cs="Arial"/>
          <w:noProof/>
          <w:sz w:val="24"/>
          <w:szCs w:val="24"/>
          <w:lang w:val="mn-MN"/>
        </w:rPr>
        <w:t>Зорилгод хүрэх нотолгоо:</w:t>
      </w:r>
    </w:p>
    <w:p w14:paraId="0B36199C"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32.1: ИНХ-ыг "шууд ардчиллын үндсэн дээр" ажилладаг гэж тодорхойлсон нь Үндсэн хуулийн 16.9-тай шууд нийцэж байна.</w:t>
      </w:r>
    </w:p>
    <w:p w14:paraId="35812CBF"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32.7: Ирцийн босгыг 4 шатлалаар тогтоосон нь (10%/5%/3%/250 иргэн) баг, хорооны хүн амын нягтаршилтай уялдуулсан бодит шийдэл.</w:t>
      </w:r>
    </w:p>
    <w:p w14:paraId="379E6245"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32.16: Хурлын даргад Засаг даргын цалингийн 50%-ийн урамшуулал олгож болно гэж заасан нь сонирхсон иргэдийн оролцоог нэмэгдүүлэх боломжийг нээж байгаа боловч заавал гарах төсвийн зардал биш — факультатив зохицуулалт.</w:t>
      </w:r>
    </w:p>
    <w:p w14:paraId="522CC476"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32.21: Жил бүрийн эхний сард цаглабар батлах — ИНХ-ыг тогтмолжуулах механизм.</w:t>
      </w:r>
    </w:p>
    <w:p w14:paraId="1A79C314"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32.12.2–32.12.3: Засаг даргын тайланг хэлэлцэж, огцруулах санал гаргах бүрэн эрх — хяналтын тогтолцоо бодитой болно.</w:t>
      </w:r>
    </w:p>
    <w:p w14:paraId="4C3D926F"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32.28: Бүтэн өдрийн санал хураалт — нэр дэвшүүлэх ажиллагааны ил тод байдлыг хангана.</w:t>
      </w:r>
    </w:p>
    <w:p w14:paraId="712780B1" w14:textId="77777777" w:rsidR="00BA4D0F" w:rsidRPr="00E64399" w:rsidRDefault="00BA4D0F" w:rsidP="00BA4D0F">
      <w:pPr>
        <w:pStyle w:val="ListParagraph"/>
        <w:numPr>
          <w:ilvl w:val="0"/>
          <w:numId w:val="1"/>
        </w:numPr>
        <w:spacing w:before="40" w:after="40" w:line="240" w:lineRule="auto"/>
        <w:contextualSpacing w:val="0"/>
        <w:jc w:val="both"/>
        <w:rPr>
          <w:rFonts w:ascii="Arial" w:hAnsi="Arial" w:cs="Arial"/>
          <w:noProof/>
          <w:sz w:val="24"/>
          <w:szCs w:val="24"/>
          <w:lang w:val="mn-MN"/>
        </w:rPr>
      </w:pPr>
      <w:r w:rsidRPr="00E64399">
        <w:rPr>
          <w:rFonts w:ascii="Arial" w:hAnsi="Arial" w:cs="Arial"/>
          <w:noProof/>
          <w:sz w:val="24"/>
          <w:szCs w:val="24"/>
          <w:lang w:val="mn-MN"/>
        </w:rPr>
        <w:t>4.1.10: "Иргэний танхим"-ын тодорхойлолт нэмсэн нь хуулийн ойлгомжтой байдлыг дэмжинэ.</w:t>
      </w:r>
    </w:p>
    <w:p w14:paraId="1380F460" w14:textId="77777777" w:rsidR="00BA4D0F" w:rsidRPr="00E64399" w:rsidRDefault="00BA4D0F" w:rsidP="00BA4D0F">
      <w:pPr>
        <w:spacing w:before="60" w:after="60"/>
        <w:jc w:val="both"/>
        <w:rPr>
          <w:rFonts w:ascii="Arial" w:hAnsi="Arial" w:cs="Arial"/>
          <w:b/>
          <w:bCs/>
          <w:noProof/>
          <w:sz w:val="24"/>
          <w:szCs w:val="24"/>
          <w:lang w:val="mn-MN"/>
        </w:rPr>
      </w:pPr>
    </w:p>
    <w:p w14:paraId="552BB3E8"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b/>
          <w:bCs/>
          <w:noProof/>
          <w:sz w:val="24"/>
          <w:szCs w:val="24"/>
          <w:lang w:val="mn-MN"/>
        </w:rPr>
        <w:t xml:space="preserve">Дүгнэлт: </w:t>
      </w:r>
      <w:r w:rsidRPr="00E64399">
        <w:rPr>
          <w:rFonts w:ascii="Arial" w:hAnsi="Arial" w:cs="Arial"/>
          <w:noProof/>
          <w:sz w:val="24"/>
          <w:szCs w:val="24"/>
          <w:lang w:val="mn-MN"/>
        </w:rPr>
        <w:t>Зорилгодоо хүрэх боломжтой — хэвээр үлдээх.</w:t>
      </w:r>
    </w:p>
    <w:p w14:paraId="08A1AB7E"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3.2 Практикт хэрэгжих боломж — ДУНДАЖ</w:t>
      </w:r>
    </w:p>
    <w:p w14:paraId="3D3CBCF1" w14:textId="77777777" w:rsidR="00BA4D0F" w:rsidRPr="00E64399" w:rsidRDefault="00BA4D0F" w:rsidP="00BA4D0F">
      <w:pPr>
        <w:spacing w:before="160" w:after="60"/>
        <w:rPr>
          <w:rFonts w:ascii="Arial" w:hAnsi="Arial" w:cs="Arial"/>
          <w:noProof/>
          <w:sz w:val="24"/>
          <w:szCs w:val="24"/>
          <w:lang w:val="mn-MN"/>
        </w:rPr>
      </w:pPr>
      <w:r w:rsidRPr="00E64399">
        <w:rPr>
          <w:rFonts w:ascii="Arial" w:hAnsi="Arial" w:cs="Arial"/>
          <w:b/>
          <w:bCs/>
          <w:noProof/>
          <w:sz w:val="24"/>
          <w:szCs w:val="24"/>
          <w:lang w:val="mn-MN"/>
        </w:rPr>
        <w:t>Эерэг тал:</w:t>
      </w:r>
    </w:p>
    <w:p w14:paraId="5E293DEB"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Дагаж мөрдөх журмын 2-р зүйлд цахим хуралдааны журмыг Засгийн газраар батлуулахаар даалгасан нь техникийн хэрэгжилтийг зохистойгоор зохицуулсан.</w:t>
      </w:r>
    </w:p>
    <w:p w14:paraId="6F394E70"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Дагаж мөрдөх журмын 1-р зүйлд 60 хоногт багтаан ИНХ-ын дарга, тэргүүлэгчдийг сонгохоор тогтоосон тодорхой хугацаа.</w:t>
      </w:r>
    </w:p>
    <w:p w14:paraId="04831860"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32.10: Хурлын дарга 2 удаа хуралдаан зарлаагүй бол иргэдийн санаачилгаар солих механизм — хариуцлагын тогтолцоо.</w:t>
      </w:r>
    </w:p>
    <w:p w14:paraId="344ACDC1" w14:textId="77777777" w:rsidR="00BA4D0F" w:rsidRPr="00E64399" w:rsidRDefault="00BA4D0F" w:rsidP="00BA4D0F">
      <w:pPr>
        <w:spacing w:before="80"/>
        <w:rPr>
          <w:rFonts w:ascii="Arial" w:hAnsi="Arial" w:cs="Arial"/>
          <w:noProof/>
          <w:sz w:val="24"/>
          <w:szCs w:val="24"/>
          <w:lang w:val="mn-MN"/>
        </w:rPr>
      </w:pPr>
    </w:p>
    <w:p w14:paraId="34C42567" w14:textId="77777777" w:rsidR="00BA4D0F" w:rsidRPr="00E64399" w:rsidRDefault="00BA4D0F" w:rsidP="00BA4D0F">
      <w:pPr>
        <w:spacing w:before="160" w:after="60"/>
        <w:rPr>
          <w:rFonts w:ascii="Arial" w:hAnsi="Arial" w:cs="Arial"/>
          <w:noProof/>
          <w:sz w:val="24"/>
          <w:szCs w:val="24"/>
          <w:lang w:val="mn-MN"/>
        </w:rPr>
      </w:pPr>
      <w:r w:rsidRPr="00E64399">
        <w:rPr>
          <w:rFonts w:ascii="Arial" w:hAnsi="Arial" w:cs="Arial"/>
          <w:b/>
          <w:bCs/>
          <w:noProof/>
          <w:sz w:val="24"/>
          <w:szCs w:val="24"/>
          <w:lang w:val="mn-MN"/>
        </w:rPr>
        <w:t>Анхаарал шаардлагатай:</w:t>
      </w:r>
    </w:p>
    <w:p w14:paraId="63DBB469"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32.8: Ирц хүрэхгүй бол 14 хоногоор хойшлуулна — Засаг даргад нэр дэвшүүлэх шаардлагатай үед ажиллагааг удаашруулж болзошгүй.</w:t>
      </w:r>
    </w:p>
    <w:p w14:paraId="7EA511BB"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32.28.6: 3–5 цагийн санал хураалтыг ИНХ-ын дарга, ИТХ-ийн ажлын алба болон иргэдийн төлөөлөл хамтран зохион байгуулна — хүний нөөцийн шаардлага өндөр байх магадлалтай.</w:t>
      </w:r>
    </w:p>
    <w:p w14:paraId="1DA6413A"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32.3 цахим хуралдаан: Орон нутгийн хөдөөгийн багуудад интернетийн хүртээмж, техник бэлэн байдал тодорхойгүй. Иймд Засгийн газраас тогтоол гаргаж, боломжит байдлаар зохицуулах боломжтой.</w:t>
      </w:r>
    </w:p>
    <w:p w14:paraId="0E20FF27"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32.7: "Нийт хэсгүүдийн төлөөлөл жигд хангагдсан байна" гэсэн шаардлага хэрхэн баталгаажуулах нь тодорхойгүй.</w:t>
      </w:r>
    </w:p>
    <w:p w14:paraId="22E92DAC" w14:textId="77777777" w:rsidR="00BA4D0F" w:rsidRDefault="00BA4D0F" w:rsidP="00BA4D0F">
      <w:pPr>
        <w:spacing w:before="60" w:after="60"/>
        <w:jc w:val="both"/>
        <w:rPr>
          <w:rFonts w:ascii="Arial" w:hAnsi="Arial" w:cs="Arial"/>
          <w:b/>
          <w:bCs/>
          <w:noProof/>
          <w:sz w:val="24"/>
          <w:szCs w:val="24"/>
          <w:lang w:val="mn-MN"/>
        </w:rPr>
      </w:pPr>
    </w:p>
    <w:p w14:paraId="6689E34B"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b/>
          <w:bCs/>
          <w:noProof/>
          <w:sz w:val="24"/>
          <w:szCs w:val="24"/>
          <w:lang w:val="mn-MN"/>
        </w:rPr>
        <w:t xml:space="preserve">Дүгнэлт: </w:t>
      </w:r>
      <w:r w:rsidRPr="00E64399">
        <w:rPr>
          <w:rFonts w:ascii="Arial" w:hAnsi="Arial" w:cs="Arial"/>
          <w:noProof/>
          <w:sz w:val="24"/>
          <w:szCs w:val="24"/>
          <w:lang w:val="mn-MN"/>
        </w:rPr>
        <w:t>Цахим дэд бүтцийн бэлэн байдлыг тодорхойлж, хэрэгжүүлэгч байгууллагуудаас санал авах шаардлагатай.</w:t>
      </w:r>
    </w:p>
    <w:p w14:paraId="52E19CD8"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3.3 Ойлгомжтой байдал — ЭЕРЭГ</w:t>
      </w:r>
    </w:p>
    <w:p w14:paraId="344AFA30"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noProof/>
          <w:sz w:val="24"/>
          <w:szCs w:val="24"/>
          <w:lang w:val="mn-MN"/>
        </w:rPr>
        <w:t xml:space="preserve">Нийтдээ ойлгомжтой. </w:t>
      </w:r>
    </w:p>
    <w:p w14:paraId="3B6CD69C"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3.4 Хүлээн зөвшөөрөгдөх байдал — ЭЕРЭГ</w:t>
      </w:r>
    </w:p>
    <w:p w14:paraId="5971E9F9"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noProof/>
          <w:sz w:val="24"/>
          <w:szCs w:val="24"/>
          <w:lang w:val="mn-MN"/>
        </w:rPr>
        <w:t>Хуулийн төслийн агуулга нь ардчилсан оролцоог нэмэгдүүлэх чиглэлд явж байгаа тул нийтэд хүлээн зөвшөөрөгдөх өндөр магадлалтай.</w:t>
      </w:r>
    </w:p>
    <w:p w14:paraId="0229E45B"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 xml:space="preserve">32.5: Иргэн бүрт аливаа хязгаарлалтгүйгээр оролцох, санаачлах, нэр дэвших эрхийг хуульчилсан нь иргэдийн хүлээлтэд нийцсэн. </w:t>
      </w:r>
    </w:p>
    <w:p w14:paraId="1C2A23F1"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32.16: Хурлын даргад урамшуулал олгож болно гэж заасан нь факультатив хэлбэртэй тул сум, дүүргийн ИТХ-ын шийдвэрт үндэслэн олгох боломжтой — улсын төсөвт заавал ачаалал үүсгэхгүй.</w:t>
      </w:r>
    </w:p>
    <w:p w14:paraId="17B1A6D4"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32.28: Санал хураалт — цөөн хүний "гар өргөлт"-өөр шийдэж байсан хуучин практикийг арилгах тул иргэд дэмжиж хүлээн авах боломжтой.</w:t>
      </w:r>
    </w:p>
    <w:p w14:paraId="1559C811"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32.3: Цахим оролцооны хэлбэрийг хуульчилсан нь хөдөлмөрийн насны залуу иргэдийн дунд өндөр хүлээн зөвшөөрөгдөх магадлалтай.</w:t>
      </w:r>
    </w:p>
    <w:p w14:paraId="305CFEBB" w14:textId="77777777" w:rsidR="00BA4D0F"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56.4.1: Баг, хорооны Засаг даргын боловсролын шаардлагыг адил буюу бүрэн дунд боловсролтой байхаар зохицуулсан нь тэгш байдлын зарчимд нийцсэн.</w:t>
      </w:r>
    </w:p>
    <w:p w14:paraId="7AA51B81" w14:textId="77777777" w:rsidR="00BA4D0F" w:rsidRPr="007B0243" w:rsidRDefault="00BA4D0F" w:rsidP="00BA4D0F">
      <w:pPr>
        <w:pStyle w:val="ListParagraph"/>
        <w:spacing w:before="40" w:after="40" w:line="240" w:lineRule="auto"/>
        <w:ind w:left="680"/>
        <w:contextualSpacing w:val="0"/>
        <w:rPr>
          <w:rFonts w:ascii="Arial" w:hAnsi="Arial" w:cs="Arial"/>
          <w:noProof/>
          <w:sz w:val="24"/>
          <w:szCs w:val="24"/>
          <w:lang w:val="mn-MN"/>
        </w:rPr>
      </w:pPr>
    </w:p>
    <w:p w14:paraId="2B1D2052"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noProof/>
          <w:sz w:val="24"/>
          <w:szCs w:val="24"/>
          <w:lang w:val="mn-MN"/>
        </w:rPr>
        <w:t xml:space="preserve">Анхаарах: ИТХ-ийн ажлын алба нэмэлт ачаалал хүлээх тул ИТХ-ын ажлын албаны нэг албан хаагчийн ажлын байрны тодорхойлолтод чиг үүрэг нэмж тусгах. </w:t>
      </w:r>
    </w:p>
    <w:p w14:paraId="176DB864"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b/>
          <w:bCs/>
          <w:noProof/>
          <w:sz w:val="24"/>
          <w:szCs w:val="24"/>
          <w:lang w:val="mn-MN"/>
        </w:rPr>
        <w:t xml:space="preserve">Дүгнэлт: </w:t>
      </w:r>
      <w:r w:rsidRPr="00E64399">
        <w:rPr>
          <w:rFonts w:ascii="Arial" w:hAnsi="Arial" w:cs="Arial"/>
          <w:noProof/>
          <w:sz w:val="24"/>
          <w:szCs w:val="24"/>
          <w:lang w:val="mn-MN"/>
        </w:rPr>
        <w:t>Хүлээн зөвшөөрөгдөх өндөр магадлалтай — хэвээр үлдээх.</w:t>
      </w:r>
    </w:p>
    <w:p w14:paraId="67479C8F"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3.5 Зардал — ТОДОРХОЙ</w:t>
      </w:r>
    </w:p>
    <w:p w14:paraId="414DF7AF" w14:textId="77777777" w:rsidR="00BA4D0F" w:rsidRPr="00E64399" w:rsidRDefault="00BA4D0F" w:rsidP="00BA4D0F">
      <w:pPr>
        <w:spacing w:before="60" w:after="60"/>
        <w:ind w:firstLine="720"/>
        <w:jc w:val="both"/>
        <w:rPr>
          <w:rFonts w:ascii="Arial" w:hAnsi="Arial" w:cs="Arial"/>
          <w:noProof/>
          <w:sz w:val="24"/>
          <w:szCs w:val="24"/>
          <w:lang w:val="mn-MN"/>
        </w:rPr>
      </w:pPr>
      <w:r w:rsidRPr="00E64399">
        <w:rPr>
          <w:rFonts w:ascii="Arial" w:hAnsi="Arial" w:cs="Arial"/>
          <w:noProof/>
          <w:sz w:val="24"/>
          <w:szCs w:val="24"/>
          <w:lang w:val="mn-MN"/>
        </w:rPr>
        <w:t xml:space="preserve">Зардлын тооцооллыг судлахдаа Засгийн газрын 2024 оны 238 дугаар тогтоолоор тогтоосон цалинд үндэслэн тооцсон байна. Аргачлал батлах тухай Засгийн </w:t>
      </w:r>
      <w:r w:rsidRPr="00E64399">
        <w:rPr>
          <w:rFonts w:ascii="Arial" w:hAnsi="Arial" w:cs="Arial"/>
          <w:noProof/>
          <w:sz w:val="24"/>
          <w:szCs w:val="24"/>
          <w:lang w:val="mn-MN"/>
        </w:rPr>
        <w:lastRenderedPageBreak/>
        <w:t>газрын 216 оны 59 тоот тогтоолын Аргачлалын 4.9-т заасны дагуу зардлын тооцоог "Хууль тогтоомжийг хэрэгжүүлэхтэй холбогдон гарах зардлын тооцоог хийх аргачлал"-ын дагуу хийсэн.</w:t>
      </w:r>
    </w:p>
    <w:p w14:paraId="6723D754" w14:textId="77777777" w:rsidR="00BA4D0F" w:rsidRPr="00E64399" w:rsidRDefault="00BA4D0F" w:rsidP="00BA4D0F">
      <w:pPr>
        <w:spacing w:before="160" w:after="60"/>
        <w:rPr>
          <w:rFonts w:ascii="Arial" w:hAnsi="Arial" w:cs="Arial"/>
          <w:noProof/>
          <w:sz w:val="24"/>
          <w:szCs w:val="24"/>
          <w:lang w:val="mn-MN"/>
        </w:rPr>
      </w:pPr>
      <w:r w:rsidRPr="00E64399">
        <w:rPr>
          <w:rFonts w:ascii="Arial" w:hAnsi="Arial" w:cs="Arial"/>
          <w:b/>
          <w:bCs/>
          <w:noProof/>
          <w:sz w:val="24"/>
          <w:szCs w:val="24"/>
          <w:lang w:val="mn-MN"/>
        </w:rPr>
        <w:t>3.5.1 Зардлын шинжилгээ (32.16 — факультатив урамшуулал, 60.2.6 — үйл ажиллагааны зардал)</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6"/>
        <w:gridCol w:w="1286"/>
        <w:gridCol w:w="1717"/>
        <w:gridCol w:w="1755"/>
        <w:gridCol w:w="2232"/>
      </w:tblGrid>
      <w:tr w:rsidR="00BA4D0F" w:rsidRPr="00E64399" w14:paraId="41C562B8" w14:textId="77777777" w:rsidTr="005725EA">
        <w:trPr>
          <w:tblHeader/>
        </w:trPr>
        <w:tc>
          <w:tcPr>
            <w:tcW w:w="22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10" w:type="dxa"/>
              <w:bottom w:w="80" w:type="dxa"/>
              <w:right w:w="110" w:type="dxa"/>
            </w:tcMar>
            <w:vAlign w:val="center"/>
          </w:tcPr>
          <w:p w14:paraId="65089ACA"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Нэгжийн төрөл</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10" w:type="dxa"/>
              <w:bottom w:w="80" w:type="dxa"/>
              <w:right w:w="110" w:type="dxa"/>
            </w:tcMar>
            <w:vAlign w:val="center"/>
          </w:tcPr>
          <w:p w14:paraId="16271918"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Нэгжийн тоо</w:t>
            </w:r>
          </w:p>
        </w:tc>
        <w:tc>
          <w:tcPr>
            <w:tcW w:w="15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10" w:type="dxa"/>
              <w:bottom w:w="80" w:type="dxa"/>
              <w:right w:w="110" w:type="dxa"/>
            </w:tcMar>
            <w:vAlign w:val="center"/>
          </w:tcPr>
          <w:p w14:paraId="74FA5BCC"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Сарын урамшуулал (₮)</w:t>
            </w:r>
          </w:p>
        </w:tc>
        <w:tc>
          <w:tcPr>
            <w:tcW w:w="17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10" w:type="dxa"/>
              <w:bottom w:w="80" w:type="dxa"/>
              <w:right w:w="110" w:type="dxa"/>
            </w:tcMar>
            <w:vAlign w:val="center"/>
          </w:tcPr>
          <w:p w14:paraId="43A09626"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Сарын нийт (₮)</w:t>
            </w:r>
          </w:p>
        </w:tc>
        <w:tc>
          <w:tcPr>
            <w:tcW w:w="2326" w:type="dxa"/>
            <w:tcBorders>
              <w:top w:val="single" w:sz="1" w:space="0" w:color="BBBBBB"/>
              <w:left w:val="single" w:sz="1" w:space="0" w:color="BBBBBB"/>
              <w:bottom w:val="single" w:sz="1" w:space="0" w:color="BBBBBB"/>
              <w:right w:val="single" w:sz="1" w:space="0" w:color="BBBBBB"/>
            </w:tcBorders>
            <w:shd w:val="clear" w:color="auto" w:fill="1F3864"/>
            <w:tcMar>
              <w:top w:w="80" w:type="dxa"/>
              <w:left w:w="110" w:type="dxa"/>
              <w:bottom w:w="80" w:type="dxa"/>
              <w:right w:w="110" w:type="dxa"/>
            </w:tcMar>
            <w:vAlign w:val="center"/>
          </w:tcPr>
          <w:p w14:paraId="02ACFF28"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Жилийн нийт (₮)</w:t>
            </w:r>
          </w:p>
        </w:tc>
      </w:tr>
      <w:tr w:rsidR="00BA4D0F" w:rsidRPr="00E64399" w14:paraId="7A786BC4" w14:textId="77777777" w:rsidTr="005725EA">
        <w:tc>
          <w:tcPr>
            <w:tcW w:w="2200" w:type="dxa"/>
            <w:tcBorders>
              <w:top w:val="single" w:sz="1" w:space="0" w:color="BBBBBB"/>
              <w:left w:val="single" w:sz="1" w:space="0" w:color="BBBBBB"/>
              <w:bottom w:val="single" w:sz="1" w:space="0" w:color="BBBBBB"/>
              <w:right w:val="single" w:sz="1" w:space="0" w:color="BBBBBB"/>
            </w:tcBorders>
            <w:shd w:val="clear" w:color="auto" w:fill="E3F2FD"/>
            <w:tcMar>
              <w:top w:w="70" w:type="dxa"/>
              <w:left w:w="110" w:type="dxa"/>
              <w:bottom w:w="70" w:type="dxa"/>
              <w:right w:w="110" w:type="dxa"/>
            </w:tcMar>
            <w:vAlign w:val="center"/>
          </w:tcPr>
          <w:p w14:paraId="4C6907BC" w14:textId="77777777" w:rsidR="00BA4D0F" w:rsidRPr="00E64399" w:rsidRDefault="00BA4D0F" w:rsidP="005725EA">
            <w:pPr>
              <w:rPr>
                <w:rFonts w:ascii="Arial" w:hAnsi="Arial" w:cs="Arial"/>
                <w:noProof/>
                <w:sz w:val="24"/>
                <w:szCs w:val="24"/>
                <w:lang w:val="mn-MN"/>
              </w:rPr>
            </w:pPr>
            <w:r w:rsidRPr="00E64399">
              <w:rPr>
                <w:rFonts w:ascii="Arial" w:hAnsi="Arial" w:cs="Arial"/>
                <w:b/>
                <w:bCs/>
                <w:noProof/>
                <w:sz w:val="24"/>
                <w:szCs w:val="24"/>
                <w:lang w:val="mn-MN"/>
              </w:rPr>
              <w:t>Хороо (Нийслэл) [Засаг даргын цалин: 1,632,000₮ × 50%]</w:t>
            </w:r>
          </w:p>
        </w:tc>
        <w:tc>
          <w:tcPr>
            <w:tcW w:w="1300" w:type="dxa"/>
            <w:tcBorders>
              <w:top w:val="single" w:sz="1" w:space="0" w:color="BBBBBB"/>
              <w:left w:val="single" w:sz="1" w:space="0" w:color="BBBBBB"/>
              <w:bottom w:val="single" w:sz="1" w:space="0" w:color="BBBBBB"/>
              <w:right w:val="single" w:sz="1" w:space="0" w:color="BBBBBB"/>
            </w:tcBorders>
            <w:shd w:val="clear" w:color="auto" w:fill="E3F2FD"/>
            <w:tcMar>
              <w:top w:w="70" w:type="dxa"/>
              <w:left w:w="110" w:type="dxa"/>
              <w:bottom w:w="70" w:type="dxa"/>
              <w:right w:w="110" w:type="dxa"/>
            </w:tcMar>
            <w:vAlign w:val="center"/>
          </w:tcPr>
          <w:p w14:paraId="745A8E70"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204</w:t>
            </w:r>
          </w:p>
        </w:tc>
        <w:tc>
          <w:tcPr>
            <w:tcW w:w="1500" w:type="dxa"/>
            <w:tcBorders>
              <w:top w:val="single" w:sz="1" w:space="0" w:color="BBBBBB"/>
              <w:left w:val="single" w:sz="1" w:space="0" w:color="BBBBBB"/>
              <w:bottom w:val="single" w:sz="1" w:space="0" w:color="BBBBBB"/>
              <w:right w:val="single" w:sz="1" w:space="0" w:color="BBBBBB"/>
            </w:tcBorders>
            <w:shd w:val="clear" w:color="auto" w:fill="E3F2FD"/>
            <w:tcMar>
              <w:top w:w="70" w:type="dxa"/>
              <w:left w:w="110" w:type="dxa"/>
              <w:bottom w:w="70" w:type="dxa"/>
              <w:right w:w="110" w:type="dxa"/>
            </w:tcMar>
            <w:vAlign w:val="center"/>
          </w:tcPr>
          <w:p w14:paraId="5117420B"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816,000</w:t>
            </w:r>
          </w:p>
        </w:tc>
        <w:tc>
          <w:tcPr>
            <w:tcW w:w="1700" w:type="dxa"/>
            <w:tcBorders>
              <w:top w:val="single" w:sz="1" w:space="0" w:color="BBBBBB"/>
              <w:left w:val="single" w:sz="1" w:space="0" w:color="BBBBBB"/>
              <w:bottom w:val="single" w:sz="1" w:space="0" w:color="BBBBBB"/>
              <w:right w:val="single" w:sz="1" w:space="0" w:color="BBBBBB"/>
            </w:tcBorders>
            <w:shd w:val="clear" w:color="auto" w:fill="E3F2FD"/>
            <w:tcMar>
              <w:top w:w="70" w:type="dxa"/>
              <w:left w:w="110" w:type="dxa"/>
              <w:bottom w:w="70" w:type="dxa"/>
              <w:right w:w="110" w:type="dxa"/>
            </w:tcMar>
            <w:vAlign w:val="center"/>
          </w:tcPr>
          <w:p w14:paraId="044D7472"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166,464,000</w:t>
            </w:r>
          </w:p>
        </w:tc>
        <w:tc>
          <w:tcPr>
            <w:tcW w:w="2326" w:type="dxa"/>
            <w:tcBorders>
              <w:top w:val="single" w:sz="1" w:space="0" w:color="BBBBBB"/>
              <w:left w:val="single" w:sz="1" w:space="0" w:color="BBBBBB"/>
              <w:bottom w:val="single" w:sz="1" w:space="0" w:color="BBBBBB"/>
              <w:right w:val="single" w:sz="1" w:space="0" w:color="BBBBBB"/>
            </w:tcBorders>
            <w:shd w:val="clear" w:color="auto" w:fill="E3F2FD"/>
            <w:tcMar>
              <w:top w:w="70" w:type="dxa"/>
              <w:left w:w="110" w:type="dxa"/>
              <w:bottom w:w="70" w:type="dxa"/>
              <w:right w:w="110" w:type="dxa"/>
            </w:tcMar>
            <w:vAlign w:val="center"/>
          </w:tcPr>
          <w:p w14:paraId="2A78E1BA"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1,997,568,000</w:t>
            </w:r>
          </w:p>
        </w:tc>
      </w:tr>
      <w:tr w:rsidR="00BA4D0F" w:rsidRPr="00E64399" w14:paraId="7022A2C4" w14:textId="77777777" w:rsidTr="005725EA">
        <w:tc>
          <w:tcPr>
            <w:tcW w:w="2200" w:type="dxa"/>
            <w:tcBorders>
              <w:top w:val="single" w:sz="1" w:space="0" w:color="BBBBBB"/>
              <w:left w:val="single" w:sz="1" w:space="0" w:color="BBBBBB"/>
              <w:bottom w:val="single" w:sz="1" w:space="0" w:color="BBBBBB"/>
              <w:right w:val="single" w:sz="1" w:space="0" w:color="BBBBBB"/>
            </w:tcBorders>
            <w:shd w:val="clear" w:color="auto" w:fill="F3E5F5"/>
            <w:tcMar>
              <w:top w:w="70" w:type="dxa"/>
              <w:left w:w="110" w:type="dxa"/>
              <w:bottom w:w="70" w:type="dxa"/>
              <w:right w:w="110" w:type="dxa"/>
            </w:tcMar>
            <w:vAlign w:val="center"/>
          </w:tcPr>
          <w:p w14:paraId="78CB3E2D" w14:textId="77777777" w:rsidR="00BA4D0F" w:rsidRPr="00E64399" w:rsidRDefault="00BA4D0F" w:rsidP="005725EA">
            <w:pPr>
              <w:rPr>
                <w:rFonts w:ascii="Arial" w:hAnsi="Arial" w:cs="Arial"/>
                <w:noProof/>
                <w:sz w:val="24"/>
                <w:szCs w:val="24"/>
                <w:lang w:val="mn-MN"/>
              </w:rPr>
            </w:pPr>
            <w:r w:rsidRPr="00E64399">
              <w:rPr>
                <w:rFonts w:ascii="Arial" w:hAnsi="Arial" w:cs="Arial"/>
                <w:b/>
                <w:bCs/>
                <w:noProof/>
                <w:sz w:val="24"/>
                <w:szCs w:val="24"/>
                <w:lang w:val="mn-MN"/>
              </w:rPr>
              <w:t>Баг (Орон нутаг) [Засаг даргын цалин: 1,438,000₮ × 50%]</w:t>
            </w:r>
          </w:p>
        </w:tc>
        <w:tc>
          <w:tcPr>
            <w:tcW w:w="1300" w:type="dxa"/>
            <w:tcBorders>
              <w:top w:val="single" w:sz="1" w:space="0" w:color="BBBBBB"/>
              <w:left w:val="single" w:sz="1" w:space="0" w:color="BBBBBB"/>
              <w:bottom w:val="single" w:sz="1" w:space="0" w:color="BBBBBB"/>
              <w:right w:val="single" w:sz="1" w:space="0" w:color="BBBBBB"/>
            </w:tcBorders>
            <w:shd w:val="clear" w:color="auto" w:fill="F3E5F5"/>
            <w:tcMar>
              <w:top w:w="70" w:type="dxa"/>
              <w:left w:w="110" w:type="dxa"/>
              <w:bottom w:w="70" w:type="dxa"/>
              <w:right w:w="110" w:type="dxa"/>
            </w:tcMar>
            <w:vAlign w:val="center"/>
          </w:tcPr>
          <w:p w14:paraId="281D4DD8"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1,647</w:t>
            </w:r>
          </w:p>
        </w:tc>
        <w:tc>
          <w:tcPr>
            <w:tcW w:w="1500" w:type="dxa"/>
            <w:tcBorders>
              <w:top w:val="single" w:sz="1" w:space="0" w:color="BBBBBB"/>
              <w:left w:val="single" w:sz="1" w:space="0" w:color="BBBBBB"/>
              <w:bottom w:val="single" w:sz="1" w:space="0" w:color="BBBBBB"/>
              <w:right w:val="single" w:sz="1" w:space="0" w:color="BBBBBB"/>
            </w:tcBorders>
            <w:shd w:val="clear" w:color="auto" w:fill="F3E5F5"/>
            <w:tcMar>
              <w:top w:w="70" w:type="dxa"/>
              <w:left w:w="110" w:type="dxa"/>
              <w:bottom w:w="70" w:type="dxa"/>
              <w:right w:w="110" w:type="dxa"/>
            </w:tcMar>
            <w:vAlign w:val="center"/>
          </w:tcPr>
          <w:p w14:paraId="074016F0"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719,000</w:t>
            </w:r>
          </w:p>
        </w:tc>
        <w:tc>
          <w:tcPr>
            <w:tcW w:w="1700" w:type="dxa"/>
            <w:tcBorders>
              <w:top w:val="single" w:sz="1" w:space="0" w:color="BBBBBB"/>
              <w:left w:val="single" w:sz="1" w:space="0" w:color="BBBBBB"/>
              <w:bottom w:val="single" w:sz="1" w:space="0" w:color="BBBBBB"/>
              <w:right w:val="single" w:sz="1" w:space="0" w:color="BBBBBB"/>
            </w:tcBorders>
            <w:shd w:val="clear" w:color="auto" w:fill="F3E5F5"/>
            <w:tcMar>
              <w:top w:w="70" w:type="dxa"/>
              <w:left w:w="110" w:type="dxa"/>
              <w:bottom w:w="70" w:type="dxa"/>
              <w:right w:w="110" w:type="dxa"/>
            </w:tcMar>
            <w:vAlign w:val="center"/>
          </w:tcPr>
          <w:p w14:paraId="40BCA2E5" w14:textId="77777777" w:rsidR="00BA4D0F" w:rsidRPr="00E64399" w:rsidRDefault="00BA4D0F" w:rsidP="005725EA">
            <w:pPr>
              <w:jc w:val="center"/>
              <w:rPr>
                <w:rFonts w:ascii="Arial" w:hAnsi="Arial" w:cs="Arial"/>
                <w:noProof/>
                <w:sz w:val="24"/>
                <w:szCs w:val="24"/>
                <w:lang w:val="mn-MN"/>
              </w:rPr>
            </w:pPr>
            <w:r w:rsidRPr="00E64399">
              <w:rPr>
                <w:rFonts w:ascii="Arial" w:hAnsi="Arial" w:cs="Arial"/>
                <w:noProof/>
                <w:sz w:val="24"/>
                <w:szCs w:val="24"/>
                <w:lang w:val="mn-MN"/>
              </w:rPr>
              <w:t>1,184,193,000</w:t>
            </w:r>
          </w:p>
        </w:tc>
        <w:tc>
          <w:tcPr>
            <w:tcW w:w="2326" w:type="dxa"/>
            <w:tcBorders>
              <w:top w:val="single" w:sz="1" w:space="0" w:color="BBBBBB"/>
              <w:left w:val="single" w:sz="1" w:space="0" w:color="BBBBBB"/>
              <w:bottom w:val="single" w:sz="1" w:space="0" w:color="BBBBBB"/>
              <w:right w:val="single" w:sz="1" w:space="0" w:color="BBBBBB"/>
            </w:tcBorders>
            <w:shd w:val="clear" w:color="auto" w:fill="F3E5F5"/>
            <w:tcMar>
              <w:top w:w="70" w:type="dxa"/>
              <w:left w:w="110" w:type="dxa"/>
              <w:bottom w:w="70" w:type="dxa"/>
              <w:right w:w="110" w:type="dxa"/>
            </w:tcMar>
            <w:vAlign w:val="center"/>
          </w:tcPr>
          <w:p w14:paraId="1FC1FD64"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14,210,316,000</w:t>
            </w:r>
          </w:p>
        </w:tc>
      </w:tr>
      <w:tr w:rsidR="00BA4D0F" w:rsidRPr="00E64399" w14:paraId="4216507A" w14:textId="77777777" w:rsidTr="005725EA">
        <w:tc>
          <w:tcPr>
            <w:tcW w:w="2200" w:type="dxa"/>
            <w:tcBorders>
              <w:top w:val="single" w:sz="1" w:space="0" w:color="BBBBBB"/>
              <w:left w:val="single" w:sz="1" w:space="0" w:color="BBBBBB"/>
              <w:bottom w:val="single" w:sz="1" w:space="0" w:color="BBBBBB"/>
              <w:right w:val="single" w:sz="1" w:space="0" w:color="BBBBBB"/>
            </w:tcBorders>
            <w:shd w:val="clear" w:color="auto" w:fill="1F3864"/>
            <w:tcMar>
              <w:top w:w="70" w:type="dxa"/>
              <w:left w:w="110" w:type="dxa"/>
              <w:bottom w:w="70" w:type="dxa"/>
              <w:right w:w="110" w:type="dxa"/>
            </w:tcMar>
            <w:vAlign w:val="center"/>
          </w:tcPr>
          <w:p w14:paraId="7BCB374E" w14:textId="77777777" w:rsidR="00BA4D0F" w:rsidRPr="00E64399" w:rsidRDefault="00BA4D0F" w:rsidP="005725EA">
            <w:pPr>
              <w:rPr>
                <w:rFonts w:ascii="Arial" w:hAnsi="Arial" w:cs="Arial"/>
                <w:noProof/>
                <w:sz w:val="24"/>
                <w:szCs w:val="24"/>
                <w:lang w:val="mn-MN"/>
              </w:rPr>
            </w:pPr>
            <w:r w:rsidRPr="00E64399">
              <w:rPr>
                <w:rFonts w:ascii="Arial" w:hAnsi="Arial" w:cs="Arial"/>
                <w:b/>
                <w:bCs/>
                <w:noProof/>
                <w:sz w:val="24"/>
                <w:szCs w:val="24"/>
                <w:lang w:val="mn-MN"/>
              </w:rPr>
              <w:t>НИЙТ</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70" w:type="dxa"/>
              <w:left w:w="110" w:type="dxa"/>
              <w:bottom w:w="70" w:type="dxa"/>
              <w:right w:w="110" w:type="dxa"/>
            </w:tcMar>
            <w:vAlign w:val="center"/>
          </w:tcPr>
          <w:p w14:paraId="3E15A026"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1,851</w:t>
            </w:r>
          </w:p>
        </w:tc>
        <w:tc>
          <w:tcPr>
            <w:tcW w:w="1500" w:type="dxa"/>
            <w:tcBorders>
              <w:top w:val="single" w:sz="1" w:space="0" w:color="BBBBBB"/>
              <w:left w:val="single" w:sz="1" w:space="0" w:color="BBBBBB"/>
              <w:bottom w:val="single" w:sz="1" w:space="0" w:color="BBBBBB"/>
              <w:right w:val="single" w:sz="1" w:space="0" w:color="BBBBBB"/>
            </w:tcBorders>
            <w:shd w:val="clear" w:color="auto" w:fill="1F3864"/>
            <w:tcMar>
              <w:top w:w="70" w:type="dxa"/>
              <w:left w:w="110" w:type="dxa"/>
              <w:bottom w:w="70" w:type="dxa"/>
              <w:right w:w="110" w:type="dxa"/>
            </w:tcMar>
            <w:vAlign w:val="center"/>
          </w:tcPr>
          <w:p w14:paraId="5EADB289" w14:textId="77777777" w:rsidR="00BA4D0F" w:rsidRPr="00E64399" w:rsidRDefault="00BA4D0F" w:rsidP="005725EA">
            <w:pPr>
              <w:rPr>
                <w:rFonts w:ascii="Arial" w:hAnsi="Arial" w:cs="Arial"/>
                <w:noProof/>
                <w:sz w:val="24"/>
                <w:szCs w:val="24"/>
                <w:lang w:val="mn-MN"/>
              </w:rPr>
            </w:pPr>
          </w:p>
        </w:tc>
        <w:tc>
          <w:tcPr>
            <w:tcW w:w="1700" w:type="dxa"/>
            <w:tcBorders>
              <w:top w:val="single" w:sz="1" w:space="0" w:color="BBBBBB"/>
              <w:left w:val="single" w:sz="1" w:space="0" w:color="BBBBBB"/>
              <w:bottom w:val="single" w:sz="1" w:space="0" w:color="BBBBBB"/>
              <w:right w:val="single" w:sz="1" w:space="0" w:color="BBBBBB"/>
            </w:tcBorders>
            <w:shd w:val="clear" w:color="auto" w:fill="1F3864"/>
            <w:tcMar>
              <w:top w:w="70" w:type="dxa"/>
              <w:left w:w="110" w:type="dxa"/>
              <w:bottom w:w="70" w:type="dxa"/>
              <w:right w:w="110" w:type="dxa"/>
            </w:tcMar>
            <w:vAlign w:val="center"/>
          </w:tcPr>
          <w:p w14:paraId="48A71EB7" w14:textId="77777777" w:rsidR="00BA4D0F" w:rsidRPr="00E64399" w:rsidRDefault="00BA4D0F" w:rsidP="005725EA">
            <w:pPr>
              <w:rPr>
                <w:rFonts w:ascii="Arial" w:hAnsi="Arial" w:cs="Arial"/>
                <w:noProof/>
                <w:sz w:val="24"/>
                <w:szCs w:val="24"/>
                <w:lang w:val="mn-MN"/>
              </w:rPr>
            </w:pPr>
          </w:p>
        </w:tc>
        <w:tc>
          <w:tcPr>
            <w:tcW w:w="2326" w:type="dxa"/>
            <w:tcBorders>
              <w:top w:val="single" w:sz="1" w:space="0" w:color="BBBBBB"/>
              <w:left w:val="single" w:sz="1" w:space="0" w:color="BBBBBB"/>
              <w:bottom w:val="single" w:sz="1" w:space="0" w:color="BBBBBB"/>
              <w:right w:val="single" w:sz="1" w:space="0" w:color="BBBBBB"/>
            </w:tcBorders>
            <w:shd w:val="clear" w:color="auto" w:fill="1F3864"/>
            <w:tcMar>
              <w:top w:w="70" w:type="dxa"/>
              <w:left w:w="110" w:type="dxa"/>
              <w:bottom w:w="70" w:type="dxa"/>
              <w:right w:w="110" w:type="dxa"/>
            </w:tcMar>
            <w:vAlign w:val="center"/>
          </w:tcPr>
          <w:p w14:paraId="4E52305D"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16,207,884,000</w:t>
            </w:r>
          </w:p>
        </w:tc>
      </w:tr>
    </w:tbl>
    <w:p w14:paraId="6D1A395A" w14:textId="77777777" w:rsidR="00BA4D0F" w:rsidRPr="00E64399" w:rsidRDefault="00BA4D0F" w:rsidP="00BA4D0F">
      <w:pPr>
        <w:spacing w:before="80"/>
        <w:rPr>
          <w:rFonts w:ascii="Arial" w:hAnsi="Arial" w:cs="Arial"/>
          <w:noProof/>
          <w:sz w:val="24"/>
          <w:szCs w:val="24"/>
          <w:lang w:val="mn-MN"/>
        </w:rPr>
      </w:pPr>
    </w:p>
    <w:p w14:paraId="22171427" w14:textId="77777777" w:rsidR="00BA4D0F" w:rsidRPr="00E64399" w:rsidRDefault="00BA4D0F" w:rsidP="00BA4D0F">
      <w:pPr>
        <w:spacing w:before="40" w:after="40"/>
        <w:ind w:firstLine="340"/>
        <w:rPr>
          <w:rFonts w:ascii="Arial" w:hAnsi="Arial" w:cs="Arial"/>
          <w:noProof/>
          <w:sz w:val="24"/>
          <w:szCs w:val="24"/>
          <w:lang w:val="mn-MN"/>
        </w:rPr>
      </w:pPr>
      <w:r w:rsidRPr="00E64399">
        <w:rPr>
          <w:rFonts w:ascii="Arial" w:hAnsi="Arial" w:cs="Arial"/>
          <w:noProof/>
          <w:sz w:val="24"/>
          <w:szCs w:val="24"/>
          <w:lang w:val="mn-MN"/>
        </w:rPr>
        <w:t>Нийт зардлын 87.7% нь хөдөөгийн 1,647 багийн ИНХ-ын дарга нарт ногдоно.</w:t>
      </w:r>
    </w:p>
    <w:p w14:paraId="6A6CE9B7" w14:textId="77777777" w:rsidR="00BA4D0F" w:rsidRPr="00E64399" w:rsidRDefault="00BA4D0F" w:rsidP="00BA4D0F">
      <w:pPr>
        <w:spacing w:before="40" w:after="40"/>
        <w:ind w:firstLine="340"/>
        <w:rPr>
          <w:rFonts w:ascii="Arial" w:hAnsi="Arial" w:cs="Arial"/>
          <w:noProof/>
          <w:sz w:val="24"/>
          <w:szCs w:val="24"/>
          <w:lang w:val="mn-MN"/>
        </w:rPr>
      </w:pPr>
      <w:r w:rsidRPr="00E64399">
        <w:rPr>
          <w:rFonts w:ascii="Arial" w:hAnsi="Arial" w:cs="Arial"/>
          <w:noProof/>
          <w:sz w:val="24"/>
          <w:szCs w:val="24"/>
          <w:lang w:val="mn-MN"/>
        </w:rPr>
        <w:t>Нийт зардлын 12.3% нь нийслэлийн 204 хорооны ИНХ-ын дарга нарт ногдоно.</w:t>
      </w:r>
    </w:p>
    <w:p w14:paraId="6F4F119B" w14:textId="77777777" w:rsidR="00BA4D0F" w:rsidRPr="00E64399" w:rsidRDefault="00BA4D0F" w:rsidP="00BA4D0F">
      <w:pPr>
        <w:spacing w:before="40" w:after="40"/>
        <w:ind w:firstLine="340"/>
        <w:rPr>
          <w:rFonts w:ascii="Arial" w:hAnsi="Arial" w:cs="Arial"/>
          <w:noProof/>
          <w:sz w:val="24"/>
          <w:szCs w:val="24"/>
          <w:lang w:val="mn-MN"/>
        </w:rPr>
      </w:pPr>
      <w:r w:rsidRPr="00E64399">
        <w:rPr>
          <w:rFonts w:ascii="Arial" w:hAnsi="Arial" w:cs="Arial"/>
          <w:noProof/>
          <w:sz w:val="24"/>
          <w:szCs w:val="24"/>
          <w:lang w:val="mn-MN"/>
        </w:rPr>
        <w:t>Санхүүжилт: ИНХ-ын үйл ажиллагааны зардлыг 2027 оны төсвийн жилээс сум, дүүргийн төсөвт тусгана. (Дагаж мөрдөх журмын 3-р зүйл) Хурлын даргын урамшуулал нь "олгож болно" гэсэн факультатив заалт (32.16) тул улсын болон сум, дүүргийн төсөвт заавал тусгах үүрэг үүсгэхгүй.</w:t>
      </w:r>
    </w:p>
    <w:p w14:paraId="47635860" w14:textId="77777777" w:rsidR="00BA4D0F" w:rsidRPr="00E64399" w:rsidRDefault="00BA4D0F" w:rsidP="00BA4D0F">
      <w:pPr>
        <w:spacing w:before="60" w:after="60"/>
        <w:jc w:val="both"/>
        <w:rPr>
          <w:rFonts w:ascii="Arial" w:hAnsi="Arial" w:cs="Arial"/>
          <w:b/>
          <w:bCs/>
          <w:noProof/>
          <w:sz w:val="24"/>
          <w:szCs w:val="24"/>
          <w:lang w:val="mn-MN"/>
        </w:rPr>
      </w:pPr>
    </w:p>
    <w:p w14:paraId="49423876"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b/>
          <w:bCs/>
          <w:noProof/>
          <w:sz w:val="24"/>
          <w:szCs w:val="24"/>
          <w:lang w:val="mn-MN"/>
        </w:rPr>
        <w:t xml:space="preserve">Дүгнэлт: </w:t>
      </w:r>
      <w:r w:rsidRPr="007B0243">
        <w:rPr>
          <w:rFonts w:ascii="Arial" w:hAnsi="Arial" w:cs="Arial"/>
          <w:noProof/>
          <w:sz w:val="24"/>
          <w:szCs w:val="24"/>
          <w:lang w:val="mn-MN"/>
        </w:rPr>
        <w:t xml:space="preserve">Хурлын даргын урамшуулал нь 32.16-д "олгож болно" гэсэн факультатив хэлбэртэй тул улсын төсөвт заавал ачаалал үүсгэхгүй. ИНХ-ын үйл ажиллагааны тамга, тэмдэг, хэвлэмэл хуудас, бичиг хэргийн зардал нь тухайн шатны ИТХ-ийн </w:t>
      </w:r>
      <w:r w:rsidRPr="007B0243">
        <w:rPr>
          <w:rFonts w:ascii="Arial" w:hAnsi="Arial" w:cs="Arial"/>
          <w:noProof/>
          <w:sz w:val="24"/>
          <w:szCs w:val="24"/>
          <w:lang w:val="mn-MN"/>
        </w:rPr>
        <w:lastRenderedPageBreak/>
        <w:t>ажлын албаны одоо байгаа төсвөөс хариуцагдана. Иймд хуулийн төсөл батлагдснаар нэмэлт улсын зардал заавал шаардагдахгүй.</w:t>
      </w:r>
      <w:r w:rsidRPr="00E64399">
        <w:rPr>
          <w:rFonts w:ascii="Arial" w:hAnsi="Arial" w:cs="Arial"/>
          <w:b/>
          <w:bCs/>
          <w:noProof/>
          <w:sz w:val="24"/>
          <w:szCs w:val="24"/>
          <w:lang w:val="mn-MN"/>
        </w:rPr>
        <w:t xml:space="preserve"> </w:t>
      </w:r>
    </w:p>
    <w:p w14:paraId="0C7CDBB1" w14:textId="77777777" w:rsidR="00BA4D0F" w:rsidRPr="00E64399" w:rsidRDefault="00BA4D0F" w:rsidP="00BA4D0F">
      <w:pPr>
        <w:pStyle w:val="Heading2"/>
        <w:rPr>
          <w:noProof/>
          <w:color w:val="auto"/>
          <w:sz w:val="24"/>
          <w:szCs w:val="24"/>
          <w:lang w:val="mn-MN"/>
        </w:rPr>
      </w:pPr>
      <w:r w:rsidRPr="00E64399">
        <w:rPr>
          <w:noProof/>
          <w:color w:val="auto"/>
          <w:sz w:val="24"/>
          <w:szCs w:val="24"/>
          <w:lang w:val="mn-MN"/>
        </w:rPr>
        <w:t>3.6 Харилцан уялдаа — САЙН</w:t>
      </w:r>
    </w:p>
    <w:p w14:paraId="2D04BA18"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noProof/>
          <w:sz w:val="24"/>
          <w:szCs w:val="24"/>
          <w:lang w:val="mn-MN"/>
        </w:rPr>
        <w:t>Аргачлалын 4.10-т заасан 16 асуултаар хуулийн төслийг бүхэлд нь шалгасан дүн:</w:t>
      </w:r>
    </w:p>
    <w:p w14:paraId="2963E550" w14:textId="77777777" w:rsidR="00BA4D0F" w:rsidRPr="00E64399" w:rsidRDefault="00BA4D0F" w:rsidP="00BA4D0F">
      <w:pPr>
        <w:spacing w:before="160" w:after="60"/>
        <w:rPr>
          <w:rFonts w:ascii="Arial" w:hAnsi="Arial" w:cs="Arial"/>
          <w:noProof/>
          <w:sz w:val="24"/>
          <w:szCs w:val="24"/>
          <w:lang w:val="mn-MN"/>
        </w:rPr>
      </w:pPr>
      <w:r w:rsidRPr="00E64399">
        <w:rPr>
          <w:rFonts w:ascii="Arial" w:hAnsi="Arial" w:cs="Arial"/>
          <w:b/>
          <w:bCs/>
          <w:noProof/>
          <w:sz w:val="24"/>
          <w:szCs w:val="24"/>
          <w:lang w:val="mn-MN"/>
        </w:rPr>
        <w:t>3.6.1 Дотоод нийцэл</w:t>
      </w:r>
    </w:p>
    <w:p w14:paraId="7861098C"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 Зорилттой нийцэж байна — 32.1-д ИНХ-ыг шууд ардчиллын байгууллага гэж тодорхойлсон нь Үндсэн хуулийн зарчимтай нийцнэ.</w:t>
      </w:r>
    </w:p>
    <w:p w14:paraId="3DB837BF"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4.10.3 Нэр томьёо: 4.1.10-д "Иргэний танхим"-ын тодорхойлолт нэмснээр 32.19–32.20-той нийцлийг хангасан — сайжруулалт.</w:t>
      </w:r>
    </w:p>
    <w:p w14:paraId="5F3F65D7"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4.10.5 Дотоод давхардал байхгүй. 32.27 болон 32.28 нь тусдаа ялгаатай асуудлыг зохицуулдаг.</w:t>
      </w:r>
    </w:p>
    <w:p w14:paraId="1E32BF93"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4.10.7 Орхигдуулсан зохицуулалт: 32.12.3-т Засаг дарга огцруулах санал гаргах бүрэн эрхийг ИНХ-д олгосон боловч тухайн саналыг хэн хэлэлцэн шийдвэрлэх нь заагдаагүй — нөхөх шаардлагатай.</w:t>
      </w:r>
    </w:p>
    <w:p w14:paraId="1BEC3568" w14:textId="77777777" w:rsidR="00BA4D0F" w:rsidRPr="00E64399" w:rsidRDefault="00BA4D0F" w:rsidP="00BA4D0F">
      <w:pPr>
        <w:pStyle w:val="ListParagraph"/>
        <w:numPr>
          <w:ilvl w:val="0"/>
          <w:numId w:val="1"/>
        </w:numPr>
        <w:spacing w:before="8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 xml:space="preserve">4.10.16 Хуулийн төслийн 32.10-д Хурлын дарга хуралдуулаагүй бол урамшуулал олгохгүй гэсэн хариуцлагын зохицуулалт тусгасан нь зөв. </w:t>
      </w:r>
    </w:p>
    <w:p w14:paraId="4FC9A9CD" w14:textId="77777777" w:rsidR="00BA4D0F" w:rsidRPr="00E64399" w:rsidRDefault="00BA4D0F" w:rsidP="00BA4D0F">
      <w:pPr>
        <w:spacing w:before="160" w:after="60"/>
        <w:rPr>
          <w:rFonts w:ascii="Arial" w:hAnsi="Arial" w:cs="Arial"/>
          <w:b/>
          <w:bCs/>
          <w:noProof/>
          <w:sz w:val="24"/>
          <w:szCs w:val="24"/>
          <w:lang w:val="mn-MN"/>
        </w:rPr>
      </w:pPr>
      <w:r w:rsidRPr="00E64399">
        <w:rPr>
          <w:rFonts w:ascii="Arial" w:hAnsi="Arial" w:cs="Arial"/>
          <w:b/>
          <w:bCs/>
          <w:noProof/>
          <w:sz w:val="24"/>
          <w:szCs w:val="24"/>
          <w:lang w:val="mn-MN"/>
        </w:rPr>
        <w:t>3.6.2 Бусад хуультай уялдаа (4.10.4, 4.10.12)</w:t>
      </w:r>
    </w:p>
    <w:tbl>
      <w:tblPr>
        <w:tblStyle w:val="TableGrid"/>
        <w:tblW w:w="0" w:type="auto"/>
        <w:tblInd w:w="137" w:type="dxa"/>
        <w:tblLook w:val="04A0" w:firstRow="1" w:lastRow="0" w:firstColumn="1" w:lastColumn="0" w:noHBand="0" w:noVBand="1"/>
      </w:tblPr>
      <w:tblGrid>
        <w:gridCol w:w="2410"/>
        <w:gridCol w:w="4111"/>
        <w:gridCol w:w="2551"/>
      </w:tblGrid>
      <w:tr w:rsidR="00BA4D0F" w:rsidRPr="00E64399" w14:paraId="5A40EAED" w14:textId="77777777" w:rsidTr="0080371F">
        <w:tc>
          <w:tcPr>
            <w:tcW w:w="2410" w:type="dxa"/>
            <w:vAlign w:val="center"/>
          </w:tcPr>
          <w:p w14:paraId="06840135"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Хуулийн нэр</w:t>
            </w:r>
          </w:p>
        </w:tc>
        <w:tc>
          <w:tcPr>
            <w:tcW w:w="4111" w:type="dxa"/>
            <w:vAlign w:val="center"/>
          </w:tcPr>
          <w:p w14:paraId="112EF8AB"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Уялдааны байдал</w:t>
            </w:r>
          </w:p>
        </w:tc>
        <w:tc>
          <w:tcPr>
            <w:tcW w:w="2551" w:type="dxa"/>
            <w:vAlign w:val="center"/>
          </w:tcPr>
          <w:p w14:paraId="52066441" w14:textId="77777777" w:rsidR="00BA4D0F" w:rsidRPr="00E64399" w:rsidRDefault="00BA4D0F" w:rsidP="005725EA">
            <w:pPr>
              <w:jc w:val="center"/>
              <w:rPr>
                <w:rFonts w:ascii="Arial" w:hAnsi="Arial" w:cs="Arial"/>
                <w:noProof/>
                <w:sz w:val="24"/>
                <w:szCs w:val="24"/>
                <w:lang w:val="mn-MN"/>
              </w:rPr>
            </w:pPr>
            <w:r w:rsidRPr="00E64399">
              <w:rPr>
                <w:rFonts w:ascii="Arial" w:hAnsi="Arial" w:cs="Arial"/>
                <w:b/>
                <w:bCs/>
                <w:noProof/>
                <w:sz w:val="24"/>
                <w:szCs w:val="24"/>
                <w:lang w:val="mn-MN"/>
              </w:rPr>
              <w:t>Зөвлөмж</w:t>
            </w:r>
          </w:p>
        </w:tc>
      </w:tr>
      <w:tr w:rsidR="00BA4D0F" w:rsidRPr="00E64399" w14:paraId="482A50D1" w14:textId="77777777" w:rsidTr="0080371F">
        <w:tc>
          <w:tcPr>
            <w:tcW w:w="2410" w:type="dxa"/>
            <w:vAlign w:val="center"/>
          </w:tcPr>
          <w:p w14:paraId="078173B9"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Үндсэн хууль (16.9, 59.2, 60.2)</w:t>
            </w:r>
          </w:p>
        </w:tc>
        <w:tc>
          <w:tcPr>
            <w:tcW w:w="4111" w:type="dxa"/>
            <w:vAlign w:val="center"/>
          </w:tcPr>
          <w:p w14:paraId="0C4129B9"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Бүрэн нийцэж байна. 32.1, 32.5-д иргэдийн засаглах эрхийг хангасан.</w:t>
            </w:r>
          </w:p>
        </w:tc>
        <w:tc>
          <w:tcPr>
            <w:tcW w:w="2551" w:type="dxa"/>
            <w:vAlign w:val="center"/>
          </w:tcPr>
          <w:p w14:paraId="3AEA4372"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Нийцэж байна — хэвээр үлдээх</w:t>
            </w:r>
          </w:p>
        </w:tc>
      </w:tr>
      <w:tr w:rsidR="00BA4D0F" w:rsidRPr="00E64399" w14:paraId="34526FCB" w14:textId="77777777" w:rsidTr="0080371F">
        <w:tc>
          <w:tcPr>
            <w:tcW w:w="2410" w:type="dxa"/>
            <w:vAlign w:val="center"/>
          </w:tcPr>
          <w:p w14:paraId="1A6B4B0E"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Сонгуулийн тухай хууль</w:t>
            </w:r>
          </w:p>
        </w:tc>
        <w:tc>
          <w:tcPr>
            <w:tcW w:w="4111" w:type="dxa"/>
            <w:vAlign w:val="center"/>
          </w:tcPr>
          <w:p w14:paraId="212B057F"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32.28.7-д "эрх зүйн үр дагавар үүсгэхгүй" гэж заасан нь зөв боловч санал хураалтын ажиллагаа нь сонгуулийн үйл ажиллагааны ойлголттой адилсаж ойлгогдож болох хэдий ч б</w:t>
            </w:r>
            <w:r w:rsidRPr="00E64399">
              <w:rPr>
                <w:rFonts w:ascii="Arial" w:hAnsi="Arial" w:cs="Arial"/>
                <w:sz w:val="24"/>
                <w:szCs w:val="24"/>
                <w:lang w:val="mn-MN"/>
              </w:rPr>
              <w:t xml:space="preserve">аг, хорооны Засаг даргад нэр дэвшүүлэх үйл ажиллагааг Иргэдийн Нийтийн Хурлын санал хураалтаар, олонхын саналаар шийдвэрлэдэг байх нь Үндсэн хуулиар олгогдсон нутгийн өөрөө удирдах ёсны бие даасан байдлыг хангах суурь баталгаа болно. Энэ нь төрийн анхан шатны гүйцэтгэх удирдлагыг дээд шатны үзэмжээр </w:t>
            </w:r>
            <w:r w:rsidRPr="00E64399">
              <w:rPr>
                <w:rFonts w:ascii="Arial" w:hAnsi="Arial" w:cs="Arial"/>
                <w:sz w:val="24"/>
                <w:szCs w:val="24"/>
                <w:lang w:val="mn-MN"/>
              </w:rPr>
              <w:lastRenderedPageBreak/>
              <w:t>бус, тухайн орон нутгийн иргэдийн бодит дэмжлэг, хяналтан дор томилох эрх зүйн тэнцвэрийг хангана.</w:t>
            </w:r>
          </w:p>
        </w:tc>
        <w:tc>
          <w:tcPr>
            <w:tcW w:w="2551" w:type="dxa"/>
            <w:vAlign w:val="center"/>
          </w:tcPr>
          <w:p w14:paraId="0A7E8F77" w14:textId="77777777" w:rsidR="00BA4D0F" w:rsidRPr="00E64399" w:rsidRDefault="00BA4D0F" w:rsidP="005725EA">
            <w:pPr>
              <w:rPr>
                <w:rFonts w:ascii="Arial" w:hAnsi="Arial" w:cs="Arial"/>
                <w:noProof/>
                <w:sz w:val="24"/>
                <w:szCs w:val="24"/>
                <w:lang w:val="mn-MN"/>
              </w:rPr>
            </w:pPr>
            <w:r w:rsidRPr="00E64399">
              <w:rPr>
                <w:rFonts w:ascii="Arial" w:hAnsi="Arial" w:cs="Arial"/>
                <w:sz w:val="24"/>
                <w:szCs w:val="24"/>
                <w:lang w:val="mn-MN"/>
              </w:rPr>
              <w:lastRenderedPageBreak/>
              <w:t xml:space="preserve">Нийцэж байна.  </w:t>
            </w:r>
          </w:p>
        </w:tc>
      </w:tr>
      <w:tr w:rsidR="00BA4D0F" w:rsidRPr="00E64399" w14:paraId="32AB5CCC" w14:textId="77777777" w:rsidTr="0080371F">
        <w:tc>
          <w:tcPr>
            <w:tcW w:w="2410" w:type="dxa"/>
            <w:vAlign w:val="center"/>
          </w:tcPr>
          <w:p w14:paraId="599794FD"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Цахим гарын үсгийн тухай хууль</w:t>
            </w:r>
          </w:p>
        </w:tc>
        <w:tc>
          <w:tcPr>
            <w:tcW w:w="4111" w:type="dxa"/>
            <w:vAlign w:val="center"/>
          </w:tcPr>
          <w:p w14:paraId="273B8A60"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32.3 цахим хуралдаанаар гаргасан шийдвэрийн хүчин төгөлдөр байдал — цахим баримт бичгийн эрх зүйн орчин нийцэх ёстой.</w:t>
            </w:r>
          </w:p>
        </w:tc>
        <w:tc>
          <w:tcPr>
            <w:tcW w:w="2551" w:type="dxa"/>
            <w:vAlign w:val="center"/>
          </w:tcPr>
          <w:p w14:paraId="32383DE6"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Цахим гарын үсгийн тухай хуультай нийцнэ.</w:t>
            </w:r>
          </w:p>
        </w:tc>
      </w:tr>
      <w:tr w:rsidR="00BA4D0F" w:rsidRPr="00E64399" w14:paraId="398B4F25" w14:textId="77777777" w:rsidTr="0080371F">
        <w:tc>
          <w:tcPr>
            <w:tcW w:w="2410" w:type="dxa"/>
            <w:vAlign w:val="center"/>
          </w:tcPr>
          <w:p w14:paraId="7313D972"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Төсвийн тухай хууль</w:t>
            </w:r>
          </w:p>
        </w:tc>
        <w:tc>
          <w:tcPr>
            <w:tcW w:w="4111" w:type="dxa"/>
            <w:vAlign w:val="center"/>
          </w:tcPr>
          <w:p w14:paraId="5B89D45C"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60.2.6 нэмэлтийг хамт боловсруулсан нь уялдааг хангасан.</w:t>
            </w:r>
          </w:p>
        </w:tc>
        <w:tc>
          <w:tcPr>
            <w:tcW w:w="2551" w:type="dxa"/>
            <w:vAlign w:val="center"/>
          </w:tcPr>
          <w:p w14:paraId="51A4C7A1"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Нийцэж байна — давуу тал</w:t>
            </w:r>
          </w:p>
        </w:tc>
      </w:tr>
      <w:tr w:rsidR="00BA4D0F" w:rsidRPr="00E64399" w14:paraId="3CBAE99D" w14:textId="77777777" w:rsidTr="0080371F">
        <w:trPr>
          <w:trHeight w:val="1629"/>
        </w:trPr>
        <w:tc>
          <w:tcPr>
            <w:tcW w:w="2410" w:type="dxa"/>
            <w:vAlign w:val="center"/>
          </w:tcPr>
          <w:p w14:paraId="3068083F"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14 бусад хуулиуд</w:t>
            </w:r>
          </w:p>
        </w:tc>
        <w:tc>
          <w:tcPr>
            <w:tcW w:w="4111" w:type="dxa"/>
            <w:vAlign w:val="center"/>
          </w:tcPr>
          <w:p w14:paraId="22112F82"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ИНХ-ын тасралтгүй ажиллагаа сэргэснээр Газрын, Ойн, Усны, Нийгмийн халамжийн тухай зэрэг хуулийн заалтууд дахин хэрэгжинэ.</w:t>
            </w:r>
          </w:p>
        </w:tc>
        <w:tc>
          <w:tcPr>
            <w:tcW w:w="2551" w:type="dxa"/>
            <w:vAlign w:val="center"/>
          </w:tcPr>
          <w:p w14:paraId="085840CF" w14:textId="77777777" w:rsidR="00BA4D0F" w:rsidRPr="00E64399" w:rsidRDefault="00BA4D0F" w:rsidP="005725EA">
            <w:pPr>
              <w:rPr>
                <w:rFonts w:ascii="Arial" w:hAnsi="Arial" w:cs="Arial"/>
                <w:noProof/>
                <w:sz w:val="24"/>
                <w:szCs w:val="24"/>
                <w:lang w:val="mn-MN"/>
              </w:rPr>
            </w:pPr>
            <w:r w:rsidRPr="00E64399">
              <w:rPr>
                <w:rFonts w:ascii="Arial" w:hAnsi="Arial" w:cs="Arial"/>
                <w:noProof/>
                <w:sz w:val="24"/>
                <w:szCs w:val="24"/>
                <w:lang w:val="mn-MN"/>
              </w:rPr>
              <w:t>Нийцэж байна — эерэг нөлөө</w:t>
            </w:r>
          </w:p>
        </w:tc>
      </w:tr>
    </w:tbl>
    <w:p w14:paraId="69A11083" w14:textId="77777777" w:rsidR="00BA4D0F" w:rsidRPr="00E64399" w:rsidRDefault="00BA4D0F" w:rsidP="00BA4D0F">
      <w:pPr>
        <w:spacing w:before="80"/>
        <w:rPr>
          <w:rFonts w:ascii="Arial" w:hAnsi="Arial" w:cs="Arial"/>
          <w:noProof/>
          <w:sz w:val="24"/>
          <w:szCs w:val="24"/>
          <w:lang w:val="mn-MN"/>
        </w:rPr>
      </w:pPr>
    </w:p>
    <w:p w14:paraId="630361AE" w14:textId="77777777" w:rsidR="00BA4D0F" w:rsidRPr="00E64399" w:rsidRDefault="00BA4D0F" w:rsidP="00BA4D0F">
      <w:pPr>
        <w:spacing w:before="160" w:after="60"/>
        <w:rPr>
          <w:rFonts w:ascii="Arial" w:hAnsi="Arial" w:cs="Arial"/>
          <w:noProof/>
          <w:sz w:val="24"/>
          <w:szCs w:val="24"/>
          <w:lang w:val="mn-MN"/>
        </w:rPr>
      </w:pPr>
      <w:r w:rsidRPr="00E64399">
        <w:rPr>
          <w:rFonts w:ascii="Arial" w:hAnsi="Arial" w:cs="Arial"/>
          <w:b/>
          <w:bCs/>
          <w:noProof/>
          <w:sz w:val="24"/>
          <w:szCs w:val="24"/>
          <w:lang w:val="mn-MN"/>
        </w:rPr>
        <w:t>3.6.3 Тусгай заалтуудын шалгалт (4.10.10–4.10.15)</w:t>
      </w:r>
    </w:p>
    <w:p w14:paraId="13C7463A"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4.10.10 Татвар, төлбөр: Татварын хуулиас бусад хуульд төлбөр тогтоогоогүй — нийцэж байна.</w:t>
      </w:r>
    </w:p>
    <w:p w14:paraId="5EDDD5C4"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4.10.12 Хүний эрх: Иргэдийн засаглах эрхийг нэмэгдүүлж байна, хязгаарлаагүй — нийцэж байна.</w:t>
      </w:r>
    </w:p>
    <w:p w14:paraId="7F5EB0F7"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4.10.13 Жендэр: 32.5-д "иргэн" гэсэн хүйсгүй томьёолол — нейтраль, нийцэж байна.</w:t>
      </w:r>
    </w:p>
    <w:p w14:paraId="6EB80217"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4.10.14 Шударга өрсөлдөөн: Хамааралгүй.</w:t>
      </w:r>
    </w:p>
    <w:p w14:paraId="2435310E" w14:textId="77777777" w:rsidR="00BA4D0F" w:rsidRPr="00E64399" w:rsidRDefault="00BA4D0F" w:rsidP="00BA4D0F">
      <w:pPr>
        <w:pStyle w:val="ListParagraph"/>
        <w:numPr>
          <w:ilvl w:val="0"/>
          <w:numId w:val="1"/>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4.10.15 Авлига, хүнд суртал: 32.28-д нууц санал хураалт, 32.21-д ил тод цаглабар — авлигаас сэргийлэх чиглэлд эерэг нөлөөтэй.</w:t>
      </w:r>
    </w:p>
    <w:p w14:paraId="27A7B3F0" w14:textId="77777777" w:rsidR="00BA4D0F" w:rsidRPr="00E64399" w:rsidRDefault="00BA4D0F" w:rsidP="00BA4D0F">
      <w:pPr>
        <w:spacing w:before="80"/>
        <w:rPr>
          <w:rFonts w:ascii="Arial" w:hAnsi="Arial" w:cs="Arial"/>
          <w:noProof/>
          <w:sz w:val="24"/>
          <w:szCs w:val="24"/>
          <w:lang w:val="mn-MN"/>
        </w:rPr>
      </w:pPr>
    </w:p>
    <w:p w14:paraId="67AECD76" w14:textId="77777777" w:rsidR="00BA4D0F" w:rsidRPr="00E64399" w:rsidRDefault="00BA4D0F" w:rsidP="00BA4D0F">
      <w:pPr>
        <w:spacing w:before="60" w:after="60"/>
        <w:jc w:val="both"/>
        <w:rPr>
          <w:rFonts w:ascii="Arial" w:hAnsi="Arial" w:cs="Arial"/>
          <w:noProof/>
          <w:sz w:val="24"/>
          <w:szCs w:val="24"/>
          <w:lang w:val="mn-MN"/>
        </w:rPr>
      </w:pPr>
      <w:r w:rsidRPr="00E64399">
        <w:rPr>
          <w:rFonts w:ascii="Arial" w:hAnsi="Arial" w:cs="Arial"/>
          <w:b/>
          <w:bCs/>
          <w:noProof/>
          <w:sz w:val="24"/>
          <w:szCs w:val="24"/>
          <w:lang w:val="mn-MN"/>
        </w:rPr>
        <w:t>Дүгнэлт:</w:t>
      </w:r>
      <w:r w:rsidRPr="00E64399">
        <w:rPr>
          <w:rFonts w:ascii="Arial" w:hAnsi="Arial" w:cs="Arial"/>
          <w:noProof/>
          <w:sz w:val="24"/>
          <w:szCs w:val="24"/>
          <w:lang w:val="mn-MN"/>
        </w:rPr>
        <w:t xml:space="preserve"> Үндсэн агуулгын нийцэл хангагдсан.</w:t>
      </w:r>
    </w:p>
    <w:p w14:paraId="380D0873" w14:textId="77777777" w:rsidR="00BA4D0F" w:rsidRPr="00E64399" w:rsidRDefault="00BA4D0F" w:rsidP="00BA4D0F">
      <w:pPr>
        <w:pStyle w:val="Heading1"/>
        <w:rPr>
          <w:noProof/>
          <w:color w:val="auto"/>
          <w:sz w:val="24"/>
          <w:szCs w:val="24"/>
          <w:lang w:val="mn-MN"/>
        </w:rPr>
      </w:pPr>
      <w:r w:rsidRPr="00E64399">
        <w:rPr>
          <w:noProof/>
          <w:color w:val="auto"/>
          <w:sz w:val="24"/>
          <w:szCs w:val="24"/>
          <w:lang w:val="mn-MN"/>
        </w:rPr>
        <w:t>ДӨРӨВ.НЭГДСЭН ДҮГНЭЛТ, ЗӨВЛӨМЖ</w:t>
      </w:r>
    </w:p>
    <w:p w14:paraId="670A02C9" w14:textId="77777777" w:rsidR="00BA4D0F" w:rsidRPr="00E64399" w:rsidRDefault="00BA4D0F" w:rsidP="00BA4D0F">
      <w:pPr>
        <w:spacing w:before="30" w:after="30"/>
        <w:rPr>
          <w:rFonts w:ascii="Arial" w:hAnsi="Arial" w:cs="Arial"/>
          <w:noProof/>
          <w:sz w:val="24"/>
          <w:szCs w:val="24"/>
          <w:lang w:val="mn-MN"/>
        </w:rPr>
      </w:pPr>
      <w:r w:rsidRPr="00E64399">
        <w:rPr>
          <w:rFonts w:ascii="Arial" w:hAnsi="Arial" w:cs="Arial"/>
          <w:noProof/>
          <w:sz w:val="24"/>
          <w:szCs w:val="24"/>
          <w:lang w:val="mn-MN"/>
        </w:rPr>
        <w:t xml:space="preserve">Хуулийн төсөл нь </w:t>
      </w:r>
    </w:p>
    <w:p w14:paraId="0619BF27"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t>Ирцийн босгыг хүн амтай уялдуулан шатлалтай тогтоосон (32.7)</w:t>
      </w:r>
    </w:p>
    <w:p w14:paraId="24C6DE63"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lastRenderedPageBreak/>
        <w:t>Хурлын даргад урамшуулал олгож болох эрхзүйн орчин бүрдсэн (32.16) — төсвийн ачаалалгүйгээр</w:t>
      </w:r>
    </w:p>
    <w:p w14:paraId="7C4E3DAC"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t>Цахим болон хосолсон хуралдааныг хуульчилсан (32.3)</w:t>
      </w:r>
    </w:p>
    <w:p w14:paraId="60A0FB26"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t>Иргэдийн Нийтийн Хурлын шийдвэр гаргах санал хураалт— нэр дэвшүүлэх ил тод журам (32.28)</w:t>
      </w:r>
    </w:p>
    <w:p w14:paraId="1ACFD0D3"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t>"Иргэний танхим"-ын тодорхойлолт хуульд орсон (4.1.10)</w:t>
      </w:r>
    </w:p>
    <w:p w14:paraId="318AF756" w14:textId="77777777" w:rsidR="00BA4D0F" w:rsidRPr="00E64399" w:rsidRDefault="00BA4D0F" w:rsidP="00BA4D0F">
      <w:pPr>
        <w:pStyle w:val="ListParagraph"/>
        <w:numPr>
          <w:ilvl w:val="0"/>
          <w:numId w:val="3"/>
        </w:numPr>
        <w:spacing w:before="30" w:after="30" w:line="240" w:lineRule="auto"/>
        <w:contextualSpacing w:val="0"/>
        <w:rPr>
          <w:rFonts w:ascii="Arial" w:hAnsi="Arial" w:cs="Arial"/>
          <w:noProof/>
          <w:sz w:val="24"/>
          <w:szCs w:val="24"/>
          <w:lang w:val="mn-MN"/>
        </w:rPr>
      </w:pPr>
      <w:r w:rsidRPr="00E64399">
        <w:rPr>
          <w:rFonts w:ascii="Arial" w:hAnsi="Arial" w:cs="Arial"/>
          <w:noProof/>
          <w:sz w:val="24"/>
          <w:szCs w:val="24"/>
          <w:lang w:val="mn-MN"/>
        </w:rPr>
        <w:t xml:space="preserve">Зардлын тооцоо бодит суурьтай (16.2 тэрбум₮) байна. </w:t>
      </w:r>
    </w:p>
    <w:p w14:paraId="3B3F5910" w14:textId="77777777" w:rsidR="00BA4D0F" w:rsidRPr="00E64399" w:rsidRDefault="00BA4D0F" w:rsidP="00BA4D0F">
      <w:pPr>
        <w:pStyle w:val="Heading2"/>
        <w:ind w:firstLine="680"/>
        <w:rPr>
          <w:b w:val="0"/>
          <w:bCs w:val="0"/>
          <w:noProof/>
          <w:color w:val="auto"/>
          <w:sz w:val="24"/>
          <w:szCs w:val="24"/>
          <w:lang w:val="mn-MN"/>
        </w:rPr>
      </w:pPr>
      <w:r w:rsidRPr="00E64399">
        <w:rPr>
          <w:b w:val="0"/>
          <w:bCs w:val="0"/>
          <w:noProof/>
          <w:color w:val="auto"/>
          <w:sz w:val="24"/>
          <w:szCs w:val="24"/>
          <w:lang w:val="mn-MN"/>
        </w:rPr>
        <w:t xml:space="preserve">Хууль батлагдсан тохиолдолд хэрэгжүүлэх хуваарь тодорхой тусгасан бөгөөд дараах хэсэгт анхаарах шаардлагатай байна. </w:t>
      </w:r>
    </w:p>
    <w:p w14:paraId="084884D8" w14:textId="77777777" w:rsidR="00BA4D0F" w:rsidRPr="00E64399" w:rsidRDefault="00BA4D0F" w:rsidP="00BA4D0F">
      <w:pPr>
        <w:pStyle w:val="ListParagraph"/>
        <w:numPr>
          <w:ilvl w:val="0"/>
          <w:numId w:val="2"/>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Цахим хуралдааны журам батлах ажлыг Дагаж мөрдөх журмын 2-р зүйлд заасан хугацаанд эхлүүлэх.</w:t>
      </w:r>
    </w:p>
    <w:p w14:paraId="611D17A0" w14:textId="77777777" w:rsidR="00BA4D0F" w:rsidRPr="00E64399" w:rsidRDefault="00BA4D0F" w:rsidP="00BA4D0F">
      <w:pPr>
        <w:pStyle w:val="ListParagraph"/>
        <w:numPr>
          <w:ilvl w:val="0"/>
          <w:numId w:val="2"/>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Орон нутгийн, ялангуяа хөдөөгийн цахим дэд бүтцийн бэлэн байдлыг урьдчилан судалж тодорхойлох.</w:t>
      </w:r>
    </w:p>
    <w:p w14:paraId="34204811" w14:textId="77777777" w:rsidR="00BA4D0F" w:rsidRPr="00E64399" w:rsidRDefault="00BA4D0F" w:rsidP="00BA4D0F">
      <w:pPr>
        <w:pStyle w:val="ListParagraph"/>
        <w:numPr>
          <w:ilvl w:val="0"/>
          <w:numId w:val="2"/>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2027 оны төсөвт ИНХ-ын үйл ажиллагааны зардлын нормативыг Сангийн яамнаас баталж тусгах. Хурлын даргын урамшуулал нь 32.16-ийн "олгож болно" заалтын дагуу тухайн шатны ИТХ-ийн шийдвэрт үндэслэн дур зоргоор шийдвэрлэгдэнэ — улсын төсвийн заавал зардал биш.</w:t>
      </w:r>
    </w:p>
    <w:p w14:paraId="55798014" w14:textId="77777777" w:rsidR="00BA4D0F" w:rsidRPr="00E64399" w:rsidRDefault="00BA4D0F" w:rsidP="00BA4D0F">
      <w:pPr>
        <w:pStyle w:val="ListParagraph"/>
        <w:numPr>
          <w:ilvl w:val="0"/>
          <w:numId w:val="2"/>
        </w:numPr>
        <w:spacing w:before="40" w:after="40" w:line="240" w:lineRule="auto"/>
        <w:contextualSpacing w:val="0"/>
        <w:rPr>
          <w:rFonts w:ascii="Arial" w:hAnsi="Arial" w:cs="Arial"/>
          <w:noProof/>
          <w:sz w:val="24"/>
          <w:szCs w:val="24"/>
          <w:lang w:val="mn-MN"/>
        </w:rPr>
      </w:pPr>
      <w:r w:rsidRPr="00E64399">
        <w:rPr>
          <w:rFonts w:ascii="Arial" w:hAnsi="Arial" w:cs="Arial"/>
          <w:noProof/>
          <w:sz w:val="24"/>
          <w:szCs w:val="24"/>
          <w:lang w:val="mn-MN"/>
        </w:rPr>
        <w:t>"Нийт хэсгүүдийн төлөөлөл жигд хангагдсан байна" (32.7) гэдгийг хэрхэн баталгаажуулах журмыг тодорхой болгох.</w:t>
      </w:r>
    </w:p>
    <w:p w14:paraId="3133592E" w14:textId="77777777" w:rsidR="00BA4D0F" w:rsidRPr="00E64399" w:rsidRDefault="00BA4D0F" w:rsidP="00BA4D0F">
      <w:pPr>
        <w:spacing w:before="60" w:after="60"/>
        <w:ind w:firstLine="720"/>
        <w:jc w:val="both"/>
        <w:rPr>
          <w:rFonts w:ascii="Arial" w:hAnsi="Arial" w:cs="Arial"/>
          <w:noProof/>
          <w:sz w:val="24"/>
          <w:szCs w:val="24"/>
          <w:lang w:val="mn-MN"/>
        </w:rPr>
      </w:pPr>
    </w:p>
    <w:p w14:paraId="19F1125B" w14:textId="77777777" w:rsidR="00BA4D0F" w:rsidRPr="00E64399" w:rsidRDefault="00BA4D0F" w:rsidP="00BA4D0F">
      <w:pPr>
        <w:spacing w:before="60" w:after="60"/>
        <w:ind w:firstLine="720"/>
        <w:jc w:val="both"/>
        <w:rPr>
          <w:rFonts w:ascii="Arial" w:hAnsi="Arial" w:cs="Arial"/>
          <w:noProof/>
          <w:sz w:val="24"/>
          <w:szCs w:val="24"/>
          <w:lang w:val="mn-MN"/>
        </w:rPr>
      </w:pPr>
      <w:r w:rsidRPr="00E64399">
        <w:rPr>
          <w:rFonts w:ascii="Arial" w:hAnsi="Arial" w:cs="Arial"/>
          <w:noProof/>
          <w:sz w:val="24"/>
          <w:szCs w:val="24"/>
          <w:lang w:val="mn-MN"/>
        </w:rPr>
        <w:t>Энэхүү хуулийн нэмэлт, өөрчлөлт нь 2022 оноос үүссэн анхан шатны нэгжийн засаглалын хямралыг арилгах, Үндсэн хуулиар олгогдсон иргэдийн шууд оролцооны эрхийг бодитой хэрэгжүүлэх суурь эрх зүйн орчин болно.</w:t>
      </w:r>
    </w:p>
    <w:p w14:paraId="1D89550D" w14:textId="3890845A" w:rsidR="00BA4D0F" w:rsidRDefault="00BA4D0F" w:rsidP="00BA4D0F">
      <w:pPr>
        <w:rPr>
          <w:rFonts w:ascii="Arial" w:hAnsi="Arial" w:cs="Arial"/>
          <w:noProof/>
          <w:sz w:val="24"/>
          <w:szCs w:val="24"/>
          <w:lang w:val="mn-MN"/>
        </w:rPr>
      </w:pPr>
    </w:p>
    <w:p w14:paraId="1B32461E" w14:textId="72B8A312" w:rsidR="00BA4D0F" w:rsidRDefault="00BA4D0F" w:rsidP="00BA4D0F">
      <w:pPr>
        <w:rPr>
          <w:rFonts w:ascii="Arial" w:hAnsi="Arial" w:cs="Arial"/>
          <w:noProof/>
          <w:sz w:val="24"/>
          <w:szCs w:val="24"/>
          <w:lang w:val="mn-MN"/>
        </w:rPr>
      </w:pPr>
    </w:p>
    <w:p w14:paraId="3054CFE4" w14:textId="40B83C76" w:rsidR="00BA4D0F" w:rsidRDefault="00BA4D0F" w:rsidP="00BA4D0F">
      <w:pPr>
        <w:rPr>
          <w:rFonts w:ascii="Arial" w:hAnsi="Arial" w:cs="Arial"/>
          <w:noProof/>
          <w:sz w:val="24"/>
          <w:szCs w:val="24"/>
          <w:lang w:val="mn-MN"/>
        </w:rPr>
      </w:pPr>
    </w:p>
    <w:p w14:paraId="76F46483" w14:textId="18C0FA24" w:rsidR="00BA4D0F" w:rsidRDefault="00BA4D0F" w:rsidP="00BA4D0F">
      <w:pPr>
        <w:rPr>
          <w:rFonts w:ascii="Arial" w:hAnsi="Arial" w:cs="Arial"/>
          <w:noProof/>
          <w:sz w:val="24"/>
          <w:szCs w:val="24"/>
          <w:lang w:val="mn-MN"/>
        </w:rPr>
      </w:pPr>
    </w:p>
    <w:p w14:paraId="3E48F6FE" w14:textId="103845CB" w:rsidR="00BA4D0F" w:rsidRDefault="00BA4D0F" w:rsidP="00BA4D0F">
      <w:pPr>
        <w:rPr>
          <w:rFonts w:ascii="Arial" w:hAnsi="Arial" w:cs="Arial"/>
          <w:noProof/>
          <w:sz w:val="24"/>
          <w:szCs w:val="24"/>
          <w:lang w:val="mn-MN"/>
        </w:rPr>
      </w:pPr>
    </w:p>
    <w:p w14:paraId="59DA3637" w14:textId="44B94A19" w:rsidR="00BA4D0F" w:rsidRPr="00BA4D0F" w:rsidRDefault="00BA4D0F" w:rsidP="00BA4D0F">
      <w:pPr>
        <w:jc w:val="center"/>
        <w:rPr>
          <w:rFonts w:ascii="Arial" w:hAnsi="Arial" w:cs="Arial"/>
          <w:sz w:val="24"/>
          <w:szCs w:val="24"/>
          <w:lang w:val="mn-MN"/>
        </w:rPr>
      </w:pPr>
      <w:r>
        <w:rPr>
          <w:rFonts w:ascii="Arial" w:hAnsi="Arial" w:cs="Arial"/>
          <w:noProof/>
          <w:sz w:val="24"/>
          <w:szCs w:val="24"/>
          <w:lang w:val="mn-MN"/>
        </w:rPr>
        <w:t>................</w:t>
      </w:r>
      <w:r>
        <w:rPr>
          <w:rFonts w:ascii="Arial" w:hAnsi="Arial" w:cs="Arial"/>
          <w:noProof/>
          <w:sz w:val="24"/>
          <w:szCs w:val="24"/>
        </w:rPr>
        <w:t>oOo</w:t>
      </w:r>
      <w:r>
        <w:rPr>
          <w:rFonts w:ascii="Arial" w:hAnsi="Arial" w:cs="Arial"/>
          <w:noProof/>
          <w:sz w:val="24"/>
          <w:szCs w:val="24"/>
          <w:lang w:val="mn-MN"/>
        </w:rPr>
        <w:t>.................</w:t>
      </w:r>
      <w:bookmarkStart w:id="0" w:name="_GoBack"/>
      <w:bookmarkEnd w:id="0"/>
    </w:p>
    <w:p w14:paraId="12C93AD0" w14:textId="77777777" w:rsidR="00BA4D0F" w:rsidRDefault="00BA4D0F" w:rsidP="00BA4D0F">
      <w:pPr>
        <w:jc w:val="center"/>
        <w:rPr>
          <w:rFonts w:ascii="Arial" w:hAnsi="Arial" w:cs="Arial"/>
          <w:sz w:val="24"/>
          <w:szCs w:val="24"/>
          <w:lang w:val="mn-MN"/>
        </w:rPr>
      </w:pPr>
    </w:p>
    <w:p w14:paraId="4CE1E6C6" w14:textId="77777777" w:rsidR="00BA4D0F" w:rsidRDefault="00BA4D0F" w:rsidP="00BA4D0F">
      <w:pPr>
        <w:jc w:val="center"/>
        <w:rPr>
          <w:rFonts w:ascii="Arial" w:hAnsi="Arial" w:cs="Arial"/>
          <w:sz w:val="24"/>
          <w:szCs w:val="24"/>
          <w:lang w:val="mn-MN"/>
        </w:rPr>
      </w:pPr>
    </w:p>
    <w:p w14:paraId="72CB9581" w14:textId="77777777" w:rsidR="004A0245" w:rsidRDefault="004A0245"/>
    <w:sectPr w:rsidR="004A0245" w:rsidSect="00BA4D0F">
      <w:footerReference w:type="default" r:id="rId7"/>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54D6F" w14:textId="77777777" w:rsidR="00725249" w:rsidRDefault="00725249" w:rsidP="0080371F">
      <w:pPr>
        <w:spacing w:after="0" w:line="240" w:lineRule="auto"/>
      </w:pPr>
      <w:r>
        <w:separator/>
      </w:r>
    </w:p>
  </w:endnote>
  <w:endnote w:type="continuationSeparator" w:id="0">
    <w:p w14:paraId="731662D7" w14:textId="77777777" w:rsidR="00725249" w:rsidRDefault="00725249" w:rsidP="0080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743778"/>
      <w:docPartObj>
        <w:docPartGallery w:val="Page Numbers (Bottom of Page)"/>
        <w:docPartUnique/>
      </w:docPartObj>
    </w:sdtPr>
    <w:sdtEndPr>
      <w:rPr>
        <w:noProof/>
      </w:rPr>
    </w:sdtEndPr>
    <w:sdtContent>
      <w:p w14:paraId="6F41AE64" w14:textId="42A7C097" w:rsidR="0080371F" w:rsidRDefault="008037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7232D" w14:textId="77777777" w:rsidR="0080371F" w:rsidRDefault="00803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3022" w14:textId="77777777" w:rsidR="00725249" w:rsidRDefault="00725249" w:rsidP="0080371F">
      <w:pPr>
        <w:spacing w:after="0" w:line="240" w:lineRule="auto"/>
      </w:pPr>
      <w:r>
        <w:separator/>
      </w:r>
    </w:p>
  </w:footnote>
  <w:footnote w:type="continuationSeparator" w:id="0">
    <w:p w14:paraId="3380F12A" w14:textId="77777777" w:rsidR="00725249" w:rsidRDefault="00725249" w:rsidP="00803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A1608"/>
    <w:multiLevelType w:val="hybridMultilevel"/>
    <w:tmpl w:val="CA02555C"/>
    <w:lvl w:ilvl="0" w:tplc="1A0464B0">
      <w:start w:val="1"/>
      <w:numFmt w:val="decimal"/>
      <w:lvlText w:val="%1."/>
      <w:lvlJc w:val="left"/>
      <w:pPr>
        <w:ind w:left="680" w:hanging="340"/>
      </w:pPr>
    </w:lvl>
    <w:lvl w:ilvl="1" w:tplc="2180967A">
      <w:numFmt w:val="decimal"/>
      <w:lvlText w:val=""/>
      <w:lvlJc w:val="left"/>
    </w:lvl>
    <w:lvl w:ilvl="2" w:tplc="3C4C8D30">
      <w:numFmt w:val="decimal"/>
      <w:lvlText w:val=""/>
      <w:lvlJc w:val="left"/>
    </w:lvl>
    <w:lvl w:ilvl="3" w:tplc="EC4228F0">
      <w:numFmt w:val="decimal"/>
      <w:lvlText w:val=""/>
      <w:lvlJc w:val="left"/>
    </w:lvl>
    <w:lvl w:ilvl="4" w:tplc="0DB0562A">
      <w:numFmt w:val="decimal"/>
      <w:lvlText w:val=""/>
      <w:lvlJc w:val="left"/>
    </w:lvl>
    <w:lvl w:ilvl="5" w:tplc="24482FDC">
      <w:numFmt w:val="decimal"/>
      <w:lvlText w:val=""/>
      <w:lvlJc w:val="left"/>
    </w:lvl>
    <w:lvl w:ilvl="6" w:tplc="81089AE4">
      <w:numFmt w:val="decimal"/>
      <w:lvlText w:val=""/>
      <w:lvlJc w:val="left"/>
    </w:lvl>
    <w:lvl w:ilvl="7" w:tplc="82C679CE">
      <w:numFmt w:val="decimal"/>
      <w:lvlText w:val=""/>
      <w:lvlJc w:val="left"/>
    </w:lvl>
    <w:lvl w:ilvl="8" w:tplc="6A7202D6">
      <w:numFmt w:val="decimal"/>
      <w:lvlText w:val=""/>
      <w:lvlJc w:val="left"/>
    </w:lvl>
  </w:abstractNum>
  <w:abstractNum w:abstractNumId="1" w15:restartNumberingAfterBreak="0">
    <w:nsid w:val="49237F44"/>
    <w:multiLevelType w:val="hybridMultilevel"/>
    <w:tmpl w:val="74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63C55"/>
    <w:multiLevelType w:val="hybridMultilevel"/>
    <w:tmpl w:val="7D4AF08A"/>
    <w:lvl w:ilvl="0" w:tplc="7AEC4344">
      <w:start w:val="1"/>
      <w:numFmt w:val="bullet"/>
      <w:lvlText w:val="•"/>
      <w:lvlJc w:val="left"/>
      <w:pPr>
        <w:ind w:left="680" w:hanging="340"/>
      </w:pPr>
    </w:lvl>
    <w:lvl w:ilvl="1" w:tplc="03205BE2">
      <w:start w:val="1"/>
      <w:numFmt w:val="bullet"/>
      <w:lvlText w:val="–"/>
      <w:lvlJc w:val="left"/>
      <w:pPr>
        <w:ind w:left="1020" w:hanging="340"/>
      </w:pPr>
    </w:lvl>
    <w:lvl w:ilvl="2" w:tplc="6DAA9808">
      <w:numFmt w:val="decimal"/>
      <w:lvlText w:val=""/>
      <w:lvlJc w:val="left"/>
    </w:lvl>
    <w:lvl w:ilvl="3" w:tplc="DDA251F8">
      <w:numFmt w:val="decimal"/>
      <w:lvlText w:val=""/>
      <w:lvlJc w:val="left"/>
    </w:lvl>
    <w:lvl w:ilvl="4" w:tplc="E926FBD8">
      <w:numFmt w:val="decimal"/>
      <w:lvlText w:val=""/>
      <w:lvlJc w:val="left"/>
    </w:lvl>
    <w:lvl w:ilvl="5" w:tplc="4A48FB1A">
      <w:numFmt w:val="decimal"/>
      <w:lvlText w:val=""/>
      <w:lvlJc w:val="left"/>
    </w:lvl>
    <w:lvl w:ilvl="6" w:tplc="CE4261FC">
      <w:numFmt w:val="decimal"/>
      <w:lvlText w:val=""/>
      <w:lvlJc w:val="left"/>
    </w:lvl>
    <w:lvl w:ilvl="7" w:tplc="664A8398">
      <w:numFmt w:val="decimal"/>
      <w:lvlText w:val=""/>
      <w:lvlJc w:val="left"/>
    </w:lvl>
    <w:lvl w:ilvl="8" w:tplc="F0BE56CE">
      <w:numFmt w:val="decimal"/>
      <w:lvlText w:val=""/>
      <w:lvlJc w:val="left"/>
    </w:lvl>
  </w:abstractNum>
  <w:num w:numId="1">
    <w:abstractNumId w:val="2"/>
    <w:lvlOverride w:ilvl="0">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0F"/>
    <w:rsid w:val="004A0245"/>
    <w:rsid w:val="00725249"/>
    <w:rsid w:val="0080371F"/>
    <w:rsid w:val="00BA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B408"/>
  <w15:chartTrackingRefBased/>
  <w15:docId w15:val="{4F33A612-3598-494E-A6D6-480951C8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4D0F"/>
    <w:pPr>
      <w:spacing w:after="200" w:line="288" w:lineRule="auto"/>
    </w:pPr>
    <w:rPr>
      <w:sz w:val="21"/>
      <w:szCs w:val="21"/>
    </w:rPr>
  </w:style>
  <w:style w:type="paragraph" w:styleId="Heading1">
    <w:name w:val="heading 1"/>
    <w:link w:val="Heading1Char"/>
    <w:uiPriority w:val="9"/>
    <w:qFormat/>
    <w:rsid w:val="00BA4D0F"/>
    <w:pPr>
      <w:spacing w:before="280" w:after="100" w:line="240" w:lineRule="auto"/>
      <w:outlineLvl w:val="0"/>
    </w:pPr>
    <w:rPr>
      <w:rFonts w:ascii="Arial" w:eastAsia="Arial" w:hAnsi="Arial" w:cs="Arial"/>
      <w:b/>
      <w:bCs/>
      <w:color w:val="1F3864"/>
      <w:sz w:val="26"/>
      <w:szCs w:val="26"/>
    </w:rPr>
  </w:style>
  <w:style w:type="paragraph" w:styleId="Heading2">
    <w:name w:val="heading 2"/>
    <w:link w:val="Heading2Char"/>
    <w:uiPriority w:val="9"/>
    <w:unhideWhenUsed/>
    <w:qFormat/>
    <w:rsid w:val="00BA4D0F"/>
    <w:pPr>
      <w:spacing w:before="200" w:after="80" w:line="240" w:lineRule="auto"/>
      <w:outlineLvl w:val="1"/>
    </w:pPr>
    <w:rPr>
      <w:rFonts w:ascii="Arial" w:eastAsia="Arial" w:hAnsi="Arial" w:cs="Arial"/>
      <w:b/>
      <w:bCs/>
      <w:color w:val="2E74B5"/>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F"/>
    <w:rPr>
      <w:rFonts w:ascii="Arial" w:eastAsia="Arial" w:hAnsi="Arial" w:cs="Arial"/>
      <w:b/>
      <w:bCs/>
      <w:color w:val="1F3864"/>
      <w:sz w:val="26"/>
      <w:szCs w:val="26"/>
    </w:rPr>
  </w:style>
  <w:style w:type="character" w:customStyle="1" w:styleId="Heading2Char">
    <w:name w:val="Heading 2 Char"/>
    <w:basedOn w:val="DefaultParagraphFont"/>
    <w:link w:val="Heading2"/>
    <w:uiPriority w:val="9"/>
    <w:rsid w:val="00BA4D0F"/>
    <w:rPr>
      <w:rFonts w:ascii="Arial" w:eastAsia="Arial" w:hAnsi="Arial" w:cs="Arial"/>
      <w:b/>
      <w:bCs/>
      <w:color w:val="2E74B5"/>
      <w:sz w:val="23"/>
      <w:szCs w:val="23"/>
    </w:rPr>
  </w:style>
  <w:style w:type="paragraph" w:styleId="ListParagraph">
    <w:name w:val="List Paragraph"/>
    <w:basedOn w:val="Normal"/>
    <w:qFormat/>
    <w:rsid w:val="00BA4D0F"/>
    <w:pPr>
      <w:ind w:left="720"/>
      <w:contextualSpacing/>
    </w:pPr>
  </w:style>
  <w:style w:type="table" w:styleId="TableGrid">
    <w:name w:val="Table Grid"/>
    <w:basedOn w:val="TableNormal"/>
    <w:uiPriority w:val="39"/>
    <w:rsid w:val="00BA4D0F"/>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71F"/>
    <w:rPr>
      <w:sz w:val="21"/>
      <w:szCs w:val="21"/>
    </w:rPr>
  </w:style>
  <w:style w:type="paragraph" w:styleId="Footer">
    <w:name w:val="footer"/>
    <w:basedOn w:val="Normal"/>
    <w:link w:val="FooterChar"/>
    <w:uiPriority w:val="99"/>
    <w:unhideWhenUsed/>
    <w:rsid w:val="0080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71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2</cp:revision>
  <dcterms:created xsi:type="dcterms:W3CDTF">2026-06-02T03:51:00Z</dcterms:created>
  <dcterms:modified xsi:type="dcterms:W3CDTF">2026-06-02T03:55:00Z</dcterms:modified>
</cp:coreProperties>
</file>