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0D6A">
      <w:pPr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u w:val="single"/>
          <w:lang w:val="mn-MN"/>
        </w:rPr>
      </w:pPr>
      <w:r>
        <w:rPr>
          <w:rFonts w:ascii="Arial" w:hAnsi="Arial" w:eastAsia="Times New Roman" w:cs="Arial"/>
          <w:sz w:val="24"/>
          <w:szCs w:val="24"/>
          <w:u w:val="single"/>
          <w:lang w:val="mn-MN"/>
        </w:rPr>
        <w:t>Төсөл</w:t>
      </w:r>
    </w:p>
    <w:p w14:paraId="1D7FBF88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4"/>
          <w:szCs w:val="24"/>
          <w:lang w:val="mn-MN"/>
        </w:rPr>
      </w:pPr>
    </w:p>
    <w:p w14:paraId="5D2CA039">
      <w:pPr>
        <w:spacing w:after="0" w:line="240" w:lineRule="auto"/>
        <w:jc w:val="right"/>
        <w:rPr>
          <w:rFonts w:ascii="Arial" w:hAnsi="Arial" w:eastAsia="Times New Roman" w:cs="Arial"/>
          <w:b/>
          <w:bCs/>
          <w:sz w:val="24"/>
          <w:szCs w:val="24"/>
          <w:lang w:val="mn-MN"/>
        </w:rPr>
      </w:pPr>
    </w:p>
    <w:p w14:paraId="1717CC38">
      <w:pPr>
        <w:spacing w:after="0" w:line="240" w:lineRule="auto"/>
        <w:jc w:val="center"/>
        <w:rPr>
          <w:rFonts w:ascii="Arial" w:hAnsi="Arial" w:eastAsia="Times New Roman" w:cs="Arial"/>
          <w:color w:val="000000"/>
          <w:sz w:val="24"/>
          <w:szCs w:val="24"/>
          <w:lang w:val="mn-MN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mn-MN"/>
        </w:rPr>
        <w:t>МОНГОЛ УЛСЫН ХУУЛЬ</w:t>
      </w:r>
    </w:p>
    <w:p w14:paraId="07024F52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  <w:lang w:val="mn-MN"/>
        </w:rPr>
      </w:pPr>
    </w:p>
    <w:p w14:paraId="7EA9C17F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val="mn-MN"/>
        </w:rPr>
      </w:pP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 xml:space="preserve">2025 оны  ... дүгээр  </w:t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 xml:space="preserve">          Улаанбаатар</w:t>
      </w:r>
    </w:p>
    <w:p w14:paraId="517114A1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  <w:lang w:val="mn-MN"/>
        </w:rPr>
      </w:pP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 xml:space="preserve"> сарын  ... -ны өдөр </w:t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ab/>
      </w:r>
      <w:r>
        <w:rPr>
          <w:rFonts w:ascii="Arial" w:hAnsi="Arial" w:eastAsia="Times New Roman" w:cs="Arial"/>
          <w:color w:val="000000"/>
          <w:sz w:val="24"/>
          <w:szCs w:val="24"/>
          <w:lang w:val="mn-MN"/>
        </w:rPr>
        <w:t xml:space="preserve">        хот</w:t>
      </w:r>
    </w:p>
    <w:p w14:paraId="612BE994">
      <w:pPr>
        <w:spacing w:after="0" w:line="240" w:lineRule="auto"/>
        <w:rPr>
          <w:rFonts w:ascii="Arial" w:hAnsi="Arial" w:eastAsia="Times New Roman" w:cs="Arial"/>
          <w:sz w:val="24"/>
          <w:szCs w:val="24"/>
          <w:lang w:val="mn-MN"/>
        </w:rPr>
      </w:pPr>
    </w:p>
    <w:p w14:paraId="6CACC69A">
      <w:pPr>
        <w:spacing w:after="0" w:line="240" w:lineRule="auto"/>
        <w:rPr>
          <w:rFonts w:ascii="Arial" w:hAnsi="Arial" w:eastAsia="Times New Roman" w:cs="Arial"/>
          <w:sz w:val="24"/>
          <w:szCs w:val="24"/>
          <w:lang w:val="mn-MN"/>
        </w:rPr>
      </w:pPr>
    </w:p>
    <w:p w14:paraId="7CFC5916">
      <w:pPr>
        <w:spacing w:after="0" w:line="240" w:lineRule="auto"/>
        <w:ind w:left="284"/>
        <w:jc w:val="center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val="mn-M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val="mn-MN"/>
          <w14:textFill>
            <w14:solidFill>
              <w14:schemeClr w14:val="tx1"/>
            </w14:solidFill>
          </w14:textFill>
        </w:rPr>
        <w:t xml:space="preserve">БАНКНЫ ТУХАЙ ХУУЛЬД НЭМЭЛТ </w:t>
      </w:r>
    </w:p>
    <w:p w14:paraId="3B4BFB1B">
      <w:pPr>
        <w:spacing w:after="0" w:line="240" w:lineRule="auto"/>
        <w:ind w:left="284"/>
        <w:jc w:val="center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val="mn-MN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val="mn-MN"/>
          <w14:textFill>
            <w14:solidFill>
              <w14:schemeClr w14:val="tx1"/>
            </w14:solidFill>
          </w14:textFill>
        </w:rPr>
        <w:t>ОРУУЛАХ ТУХАЙ</w:t>
      </w:r>
    </w:p>
    <w:p w14:paraId="6CED09B5">
      <w:pPr>
        <w:spacing w:after="0" w:line="240" w:lineRule="auto"/>
        <w:ind w:left="284"/>
        <w:jc w:val="center"/>
        <w:rPr>
          <w:rFonts w:ascii="Arial" w:hAnsi="Arial" w:eastAsia="Times New Roman" w:cs="Arial"/>
          <w:b/>
          <w:bCs/>
          <w:color w:val="000000" w:themeColor="text1"/>
          <w:sz w:val="24"/>
          <w:szCs w:val="24"/>
          <w:lang w:val="mn-MN"/>
          <w14:textFill>
            <w14:solidFill>
              <w14:schemeClr w14:val="tx1"/>
            </w14:solidFill>
          </w14:textFill>
        </w:rPr>
      </w:pPr>
    </w:p>
    <w:p w14:paraId="5C9A48DB">
      <w:pPr>
        <w:spacing w:after="0" w:line="240" w:lineRule="auto"/>
        <w:rPr>
          <w:rFonts w:ascii="Arial" w:hAnsi="Arial" w:eastAsia="Times New Roman" w:cs="Arial"/>
          <w:b/>
          <w:sz w:val="24"/>
          <w:szCs w:val="24"/>
          <w:lang w:val="mn-MN"/>
        </w:rPr>
      </w:pPr>
    </w:p>
    <w:p w14:paraId="0F481750">
      <w:pPr>
        <w:spacing w:after="0" w:line="240" w:lineRule="auto"/>
        <w:ind w:firstLine="720"/>
        <w:jc w:val="both"/>
        <w:rPr>
          <w:rFonts w:ascii="Arial" w:hAnsi="Arial" w:eastAsia="Times New Roman" w:cs="Arial"/>
          <w:sz w:val="24"/>
          <w:szCs w:val="24"/>
          <w:lang w:val="mn-MN"/>
        </w:rPr>
      </w:pPr>
      <w:r>
        <w:rPr>
          <w:rFonts w:ascii="Arial" w:hAnsi="Arial" w:eastAsia="Times New Roman" w:cs="Arial"/>
          <w:b/>
          <w:sz w:val="24"/>
          <w:szCs w:val="24"/>
          <w:lang w:val="mn-MN"/>
        </w:rPr>
        <w:t>1 дүгээр зүйл.</w:t>
      </w:r>
      <w:r>
        <w:rPr>
          <w:rFonts w:ascii="Arial" w:hAnsi="Arial" w:eastAsia="Times New Roman" w:cs="Arial"/>
          <w:sz w:val="24"/>
          <w:szCs w:val="24"/>
          <w:lang w:val="mn-MN"/>
        </w:rPr>
        <w:t>Банкны тухай хуулийн 10 дугаар зүйлд доор дурдсан агуулгатай дараах 10.4, 10.5 дахь хэсэг</w:t>
      </w:r>
      <w:r>
        <w:rPr>
          <w:rFonts w:hint="default" w:ascii="Arial" w:hAnsi="Arial" w:eastAsia="Times New Roman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eastAsia="Times New Roman" w:cs="Arial"/>
          <w:sz w:val="24"/>
          <w:szCs w:val="24"/>
          <w:cs/>
          <w:lang w:val="mn-MN"/>
        </w:rPr>
        <w:t xml:space="preserve">тус тус </w:t>
      </w:r>
      <w:r>
        <w:rPr>
          <w:rFonts w:ascii="Arial" w:hAnsi="Arial" w:eastAsia="Times New Roman" w:cs="Arial"/>
          <w:sz w:val="24"/>
          <w:szCs w:val="24"/>
          <w:lang w:val="mn-MN"/>
        </w:rPr>
        <w:t xml:space="preserve"> нэмсүгэй: </w:t>
      </w:r>
    </w:p>
    <w:p w14:paraId="12CE2D69">
      <w:pPr>
        <w:spacing w:after="0" w:line="240" w:lineRule="auto"/>
        <w:ind w:firstLine="720"/>
        <w:jc w:val="both"/>
        <w:rPr>
          <w:rFonts w:ascii="Arial" w:hAnsi="Arial" w:eastAsia="Times New Roman" w:cs="Arial"/>
          <w:sz w:val="24"/>
          <w:szCs w:val="24"/>
          <w:lang w:val="mn-MN"/>
        </w:rPr>
      </w:pPr>
    </w:p>
    <w:p w14:paraId="08EDE3A9">
      <w:pPr>
        <w:spacing w:after="0" w:line="240" w:lineRule="auto"/>
        <w:ind w:firstLine="720"/>
        <w:jc w:val="both"/>
        <w:rPr>
          <w:rFonts w:ascii="Arial" w:hAnsi="Arial" w:eastAsia="Times New Roman" w:cs="Arial"/>
          <w:sz w:val="24"/>
          <w:szCs w:val="24"/>
          <w:lang w:val="mn-MN"/>
        </w:rPr>
      </w:pPr>
      <w:r>
        <w:rPr>
          <w:rFonts w:ascii="Arial" w:hAnsi="Arial" w:eastAsia="Times New Roman" w:cs="Arial"/>
          <w:sz w:val="24"/>
          <w:szCs w:val="24"/>
          <w:lang w:val="mn-MN"/>
        </w:rPr>
        <w:t>“10.4.Банк иргэнд олгох тэтгэврийн зээлийн хүүг тогтооход  энэ хуулийн 10.1 дэх заалт хамаарахгүй.</w:t>
      </w:r>
    </w:p>
    <w:p w14:paraId="7E50ADD4">
      <w:pPr>
        <w:spacing w:after="0" w:line="240" w:lineRule="auto"/>
        <w:ind w:firstLine="720"/>
        <w:jc w:val="both"/>
        <w:rPr>
          <w:rFonts w:ascii="Arial" w:hAnsi="Arial" w:eastAsia="Times New Roman" w:cs="Arial"/>
          <w:sz w:val="24"/>
          <w:szCs w:val="24"/>
          <w:lang w:val="mn-MN"/>
        </w:rPr>
      </w:pPr>
    </w:p>
    <w:p w14:paraId="3483D258">
      <w:pPr>
        <w:spacing w:after="0" w:line="240" w:lineRule="auto"/>
        <w:ind w:firstLine="840" w:firstLineChars="350"/>
        <w:jc w:val="both"/>
        <w:rPr>
          <w:rFonts w:ascii="Arial" w:hAnsi="Arial" w:eastAsia="Times New Roman" w:cs="Arial"/>
          <w:sz w:val="24"/>
          <w:szCs w:val="24"/>
          <w:lang w:val="mn-MN"/>
        </w:rPr>
      </w:pPr>
      <w:r>
        <w:rPr>
          <w:rFonts w:ascii="Arial" w:hAnsi="Arial" w:eastAsia="Times New Roman" w:cs="Arial"/>
          <w:sz w:val="24"/>
          <w:szCs w:val="24"/>
          <w:lang w:val="mn-MN"/>
        </w:rPr>
        <w:t>10.5.Энэ хуулийн 10.4-т заасан тэтгэврийн зээлийн хүүг тогтоох журмыг Засгийн газар батална.”</w:t>
      </w:r>
    </w:p>
    <w:p w14:paraId="402955E8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eastAsia="Times New Roman" w:cs="Arial"/>
          <w:color w:val="000000" w:themeColor="text1"/>
          <w:sz w:val="24"/>
          <w:szCs w:val="24"/>
          <w:lang w:val="mn-MN"/>
          <w14:textFill>
            <w14:solidFill>
              <w14:schemeClr w14:val="tx1"/>
            </w14:solidFill>
          </w14:textFill>
        </w:rPr>
      </w:pPr>
    </w:p>
    <w:p w14:paraId="5B4BC257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eastAsia="Times New Roman" w:cs="Arial"/>
          <w:color w:val="000000" w:themeColor="text1"/>
          <w:sz w:val="24"/>
          <w:szCs w:val="24"/>
          <w:lang w:val="mn-MN"/>
          <w14:textFill>
            <w14:solidFill>
              <w14:schemeClr w14:val="tx1"/>
            </w14:solidFill>
          </w14:textFill>
        </w:rPr>
      </w:pPr>
    </w:p>
    <w:p w14:paraId="4DF2415B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eastAsia="Times New Roman" w:cs="Arial"/>
          <w:color w:val="000000" w:themeColor="text1"/>
          <w:sz w:val="24"/>
          <w:szCs w:val="24"/>
          <w:lang w:val="mn-MN"/>
          <w14:textFill>
            <w14:solidFill>
              <w14:schemeClr w14:val="tx1"/>
            </w14:solidFill>
          </w14:textFill>
        </w:rPr>
      </w:pPr>
    </w:p>
    <w:p w14:paraId="25C19207">
      <w:pPr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val="mn-MN"/>
        </w:rPr>
      </w:pPr>
      <w:r>
        <w:rPr>
          <w:rFonts w:ascii="Arial" w:hAnsi="Arial" w:eastAsia="Times New Roman" w:cs="Arial"/>
          <w:sz w:val="24"/>
          <w:szCs w:val="24"/>
          <w:lang w:val="mn-MN"/>
        </w:rPr>
        <w:t>Гарын үсэг</w:t>
      </w:r>
    </w:p>
    <w:p w14:paraId="0E0BE10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eastAsia="Times New Roman" w:cs="Arial"/>
          <w:color w:val="000000" w:themeColor="text1"/>
          <w:sz w:val="24"/>
          <w:szCs w:val="24"/>
          <w:lang w:val="mn-MN"/>
          <w14:textFill>
            <w14:solidFill>
              <w14:schemeClr w14:val="tx1"/>
            </w14:solidFill>
          </w14:textFill>
        </w:rPr>
      </w:pPr>
    </w:p>
    <w:p w14:paraId="78C46BC8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eastAsia="Times New Roman" w:cs="Arial"/>
          <w:color w:val="000000" w:themeColor="text1"/>
          <w:sz w:val="24"/>
          <w:szCs w:val="24"/>
          <w:lang w:val="mn-MN"/>
          <w14:textFill>
            <w14:solidFill>
              <w14:schemeClr w14:val="tx1"/>
            </w14:solidFill>
          </w14:textFill>
        </w:rPr>
      </w:pPr>
    </w:p>
    <w:p w14:paraId="2267D83C">
      <w:pPr>
        <w:tabs>
          <w:tab w:val="left" w:pos="5265"/>
        </w:tabs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14:paraId="04DF43F3">
      <w:pPr>
        <w:rPr>
          <w:rFonts w:ascii="Arial" w:hAnsi="Arial" w:cs="Arial"/>
          <w:sz w:val="24"/>
          <w:szCs w:val="24"/>
        </w:rPr>
      </w:pPr>
    </w:p>
    <w:p w14:paraId="283002E9">
      <w:pPr>
        <w:rPr>
          <w:rFonts w:ascii="Arial" w:hAnsi="Arial" w:cs="Arial"/>
          <w:sz w:val="24"/>
          <w:szCs w:val="24"/>
        </w:rPr>
      </w:pPr>
    </w:p>
    <w:p w14:paraId="0D19AB1D">
      <w:pPr>
        <w:rPr>
          <w:rFonts w:ascii="Arial" w:hAnsi="Arial" w:cs="Arial"/>
          <w:sz w:val="24"/>
          <w:szCs w:val="24"/>
        </w:rPr>
      </w:pPr>
    </w:p>
    <w:p w14:paraId="4AC2F45F">
      <w:pPr>
        <w:rPr>
          <w:rFonts w:ascii="Arial" w:hAnsi="Arial" w:cs="Arial"/>
          <w:sz w:val="24"/>
          <w:szCs w:val="24"/>
        </w:rPr>
      </w:pPr>
    </w:p>
    <w:p w14:paraId="2798B2CA">
      <w:pPr>
        <w:rPr>
          <w:rFonts w:ascii="Arial" w:hAnsi="Arial" w:cs="Arial"/>
          <w:sz w:val="24"/>
          <w:szCs w:val="24"/>
        </w:rPr>
      </w:pPr>
    </w:p>
    <w:p w14:paraId="7EFB14A5">
      <w:pPr>
        <w:rPr>
          <w:rFonts w:ascii="Arial" w:hAnsi="Arial" w:cs="Arial"/>
          <w:sz w:val="24"/>
          <w:szCs w:val="24"/>
        </w:rPr>
      </w:pPr>
    </w:p>
    <w:p w14:paraId="0E410381">
      <w:pPr>
        <w:rPr>
          <w:rFonts w:ascii="Arial" w:hAnsi="Arial" w:cs="Arial"/>
          <w:sz w:val="24"/>
          <w:szCs w:val="24"/>
        </w:rPr>
      </w:pPr>
    </w:p>
    <w:p w14:paraId="25F83538">
      <w:pPr>
        <w:rPr>
          <w:rFonts w:ascii="Arial" w:hAnsi="Arial" w:cs="Arial"/>
          <w:sz w:val="24"/>
          <w:szCs w:val="24"/>
        </w:rPr>
      </w:pPr>
    </w:p>
    <w:p w14:paraId="2EEBAED2">
      <w:pPr>
        <w:rPr>
          <w:rFonts w:ascii="Arial" w:hAnsi="Arial" w:cs="Arial"/>
          <w:sz w:val="24"/>
          <w:szCs w:val="24"/>
        </w:rPr>
      </w:pPr>
    </w:p>
    <w:p w14:paraId="375D65B6">
      <w:pPr>
        <w:rPr>
          <w:rFonts w:ascii="Arial" w:hAnsi="Arial" w:cs="Arial"/>
          <w:sz w:val="24"/>
          <w:szCs w:val="24"/>
        </w:rPr>
      </w:pPr>
    </w:p>
    <w:p w14:paraId="4705699B">
      <w:pPr>
        <w:rPr>
          <w:rFonts w:ascii="Arial" w:hAnsi="Arial" w:cs="Arial"/>
          <w:sz w:val="24"/>
          <w:szCs w:val="24"/>
        </w:rPr>
      </w:pPr>
    </w:p>
    <w:p w14:paraId="24FC9D80">
      <w:pPr>
        <w:rPr>
          <w:rFonts w:ascii="Arial" w:hAnsi="Arial" w:cs="Arial"/>
          <w:sz w:val="24"/>
          <w:szCs w:val="24"/>
        </w:rPr>
      </w:pPr>
    </w:p>
    <w:p w14:paraId="6B6D32DA">
      <w:pPr>
        <w:contextualSpacing/>
        <w:rPr>
          <w:rFonts w:ascii="Arial" w:hAnsi="Arial" w:cs="Arial"/>
          <w:sz w:val="24"/>
          <w:szCs w:val="24"/>
        </w:rPr>
      </w:pPr>
    </w:p>
    <w:p w14:paraId="1FAA8A52">
      <w:pPr>
        <w:contextualSpacing/>
        <w:rPr>
          <w:rFonts w:ascii="Arial" w:hAnsi="Arial" w:cs="Arial"/>
          <w:sz w:val="24"/>
          <w:szCs w:val="24"/>
        </w:rPr>
      </w:pPr>
    </w:p>
    <w:p w14:paraId="6804D162">
      <w:pPr>
        <w:contextualSpacing/>
        <w:rPr>
          <w:rFonts w:ascii="Arial" w:hAnsi="Arial" w:cs="Arial"/>
          <w:sz w:val="24"/>
          <w:szCs w:val="24"/>
          <w:u w:val="single"/>
          <w:lang w:val="mn-MN"/>
        </w:rPr>
      </w:pPr>
    </w:p>
    <w:p w14:paraId="29A26C92">
      <w:pPr>
        <w:contextualSpacing/>
        <w:jc w:val="right"/>
        <w:rPr>
          <w:rFonts w:ascii="Arial" w:hAnsi="Arial" w:cs="Arial"/>
          <w:sz w:val="24"/>
          <w:szCs w:val="24"/>
          <w:u w:val="single"/>
          <w:lang w:val="mn-MN"/>
        </w:rPr>
      </w:pPr>
      <w:r>
        <w:rPr>
          <w:rFonts w:ascii="Arial" w:hAnsi="Arial" w:cs="Arial"/>
          <w:sz w:val="24"/>
          <w:szCs w:val="24"/>
          <w:u w:val="single"/>
          <w:lang w:val="mn-MN"/>
        </w:rPr>
        <w:t>Төсөл</w:t>
      </w:r>
    </w:p>
    <w:p w14:paraId="572BE83B">
      <w:pPr>
        <w:contextualSpacing/>
        <w:jc w:val="center"/>
        <w:rPr>
          <w:rFonts w:ascii="Arial" w:hAnsi="Arial" w:cs="Arial" w:eastAsiaTheme="minorEastAsia"/>
          <w:sz w:val="24"/>
          <w:szCs w:val="24"/>
          <w:lang w:val="mn-MN"/>
        </w:rPr>
      </w:pPr>
    </w:p>
    <w:p w14:paraId="4A78F0B1">
      <w:pPr>
        <w:contextualSpacing/>
        <w:jc w:val="center"/>
        <w:rPr>
          <w:rFonts w:ascii="Arial" w:hAnsi="Arial" w:cs="Arial" w:eastAsiaTheme="minorEastAsia"/>
          <w:b/>
          <w:bCs/>
          <w:sz w:val="24"/>
          <w:szCs w:val="24"/>
          <w:lang w:val="mn-MN"/>
        </w:rPr>
      </w:pPr>
    </w:p>
    <w:p w14:paraId="1CB6A2F3">
      <w:pPr>
        <w:contextualSpacing/>
        <w:jc w:val="center"/>
        <w:rPr>
          <w:rFonts w:ascii="Arial" w:hAnsi="Arial" w:cs="Arial" w:eastAsiaTheme="minorEastAsia"/>
          <w:b/>
          <w:bCs/>
          <w:sz w:val="24"/>
          <w:szCs w:val="24"/>
          <w:lang w:val="mn-MN"/>
        </w:rPr>
      </w:pPr>
      <w:r>
        <w:rPr>
          <w:rFonts w:ascii="Arial" w:hAnsi="Arial" w:cs="Arial" w:eastAsiaTheme="minorEastAsia"/>
          <w:b/>
          <w:bCs/>
          <w:sz w:val="24"/>
          <w:szCs w:val="24"/>
          <w:lang w:val="mn-MN"/>
        </w:rPr>
        <w:t>МОНГОЛ УЛСЫН ИХ ХУРЛЫН ТОГТООЛ</w:t>
      </w:r>
    </w:p>
    <w:p w14:paraId="2596064B">
      <w:pPr>
        <w:contextualSpacing/>
        <w:jc w:val="both"/>
        <w:rPr>
          <w:rFonts w:ascii="Arial" w:hAnsi="Arial" w:cs="Arial" w:eastAsiaTheme="minorEastAsia"/>
          <w:sz w:val="24"/>
          <w:szCs w:val="24"/>
          <w:lang w:val="mn-MN"/>
        </w:rPr>
      </w:pPr>
    </w:p>
    <w:p w14:paraId="077C1FB3">
      <w:pPr>
        <w:contextualSpacing/>
        <w:jc w:val="both"/>
        <w:rPr>
          <w:rFonts w:ascii="Arial" w:hAnsi="Arial" w:cs="Arial" w:eastAsiaTheme="minorEastAsia"/>
          <w:sz w:val="24"/>
          <w:szCs w:val="24"/>
          <w:lang w:val="mn-MN"/>
        </w:rPr>
      </w:pPr>
    </w:p>
    <w:p w14:paraId="3FD8CF33">
      <w:pPr>
        <w:contextualSpacing/>
        <w:jc w:val="both"/>
        <w:rPr>
          <w:rFonts w:ascii="Arial" w:hAnsi="Arial" w:cs="Arial" w:eastAsiaTheme="minorEastAsia"/>
          <w:sz w:val="24"/>
          <w:szCs w:val="24"/>
          <w:lang w:val="mn-MN"/>
        </w:rPr>
      </w:pPr>
      <w:r>
        <w:rPr>
          <w:rFonts w:ascii="Arial" w:hAnsi="Arial" w:cs="Arial" w:eastAsiaTheme="minorEastAsia"/>
          <w:sz w:val="24"/>
          <w:szCs w:val="24"/>
          <w:lang w:val="mn-MN"/>
        </w:rPr>
        <w:t>202</w:t>
      </w:r>
      <w:r>
        <w:rPr>
          <w:rFonts w:hint="default" w:ascii="Arial" w:hAnsi="Arial" w:cs="Arial" w:eastAsiaTheme="minorEastAsia"/>
          <w:sz w:val="24"/>
          <w:szCs w:val="24"/>
          <w:cs/>
          <w:lang w:val="mn-MN"/>
        </w:rPr>
        <w:t>6</w:t>
      </w:r>
      <w:r>
        <w:rPr>
          <w:rFonts w:ascii="Arial" w:hAnsi="Arial" w:cs="Arial" w:eastAsiaTheme="minorEastAsia"/>
          <w:sz w:val="24"/>
          <w:szCs w:val="24"/>
          <w:lang w:val="mn-MN"/>
        </w:rPr>
        <w:t xml:space="preserve"> оны ... дугаар </w:t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 xml:space="preserve">          Улаанбаатар</w:t>
      </w:r>
    </w:p>
    <w:p w14:paraId="7B91A1B4">
      <w:pPr>
        <w:contextualSpacing/>
        <w:jc w:val="both"/>
        <w:rPr>
          <w:rFonts w:ascii="Arial" w:hAnsi="Arial" w:cs="Arial" w:eastAsiaTheme="minorEastAsia"/>
          <w:sz w:val="24"/>
          <w:szCs w:val="24"/>
          <w:lang w:val="mn-MN"/>
        </w:rPr>
      </w:pPr>
      <w:r>
        <w:rPr>
          <w:rFonts w:ascii="Arial" w:hAnsi="Arial" w:cs="Arial" w:eastAsiaTheme="minorEastAsia"/>
          <w:sz w:val="24"/>
          <w:szCs w:val="24"/>
          <w:lang w:val="mn-MN"/>
        </w:rPr>
        <w:t>сарын ... өдөр</w:t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 xml:space="preserve">          Дугаар...</w:t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ab/>
      </w:r>
      <w:r>
        <w:rPr>
          <w:rFonts w:ascii="Arial" w:hAnsi="Arial" w:cs="Arial" w:eastAsiaTheme="minorEastAsia"/>
          <w:sz w:val="24"/>
          <w:szCs w:val="24"/>
          <w:lang w:val="mn-MN"/>
        </w:rPr>
        <w:t xml:space="preserve">                              хот</w:t>
      </w:r>
    </w:p>
    <w:p w14:paraId="1CF56FDA">
      <w:pPr>
        <w:contextualSpacing/>
        <w:jc w:val="both"/>
        <w:rPr>
          <w:rFonts w:ascii="Arial" w:hAnsi="Arial" w:cs="Arial" w:eastAsiaTheme="minorEastAsia"/>
          <w:sz w:val="24"/>
          <w:szCs w:val="24"/>
          <w:lang w:val="mn-MN"/>
        </w:rPr>
      </w:pPr>
    </w:p>
    <w:p w14:paraId="5B058E4E">
      <w:pPr>
        <w:pStyle w:val="5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Х</w:t>
      </w:r>
      <w:r>
        <w:rPr>
          <w:rFonts w:ascii="Arial" w:hAnsi="Arial" w:cs="Arial"/>
          <w:b/>
          <w:bCs/>
          <w:caps/>
          <w:cs/>
          <w:lang w:val="mn-MN"/>
        </w:rPr>
        <w:t>ууль</w:t>
      </w:r>
      <w:r>
        <w:rPr>
          <w:rFonts w:ascii="Arial" w:hAnsi="Arial" w:cs="Arial"/>
          <w:b/>
          <w:bCs/>
          <w:caps/>
        </w:rPr>
        <w:t xml:space="preserve"> </w:t>
      </w:r>
      <w:r>
        <w:rPr>
          <w:rFonts w:ascii="Arial" w:hAnsi="Arial" w:cs="Arial"/>
          <w:b/>
          <w:bCs/>
          <w:caps/>
          <w:cs/>
          <w:lang w:val="mn-MN"/>
        </w:rPr>
        <w:t>баталсантай</w:t>
      </w:r>
      <w:r>
        <w:rPr>
          <w:rFonts w:ascii="Arial" w:hAnsi="Arial" w:cs="Arial"/>
          <w:b/>
          <w:bCs/>
          <w:caps/>
        </w:rPr>
        <w:t xml:space="preserve"> </w:t>
      </w:r>
      <w:r>
        <w:rPr>
          <w:rFonts w:ascii="Arial" w:hAnsi="Arial" w:cs="Arial"/>
          <w:b/>
          <w:bCs/>
          <w:caps/>
          <w:cs/>
          <w:lang w:val="mn-MN"/>
        </w:rPr>
        <w:t>холбогдуулан</w:t>
      </w:r>
      <w:r>
        <w:rPr>
          <w:rFonts w:ascii="Arial" w:hAnsi="Arial" w:cs="Arial"/>
          <w:b/>
          <w:bCs/>
          <w:caps/>
        </w:rPr>
        <w:t xml:space="preserve"> </w:t>
      </w:r>
      <w:r>
        <w:rPr>
          <w:rFonts w:ascii="Arial" w:hAnsi="Arial" w:cs="Arial"/>
          <w:b/>
          <w:bCs/>
          <w:caps/>
          <w:cs/>
          <w:lang w:val="mn-MN"/>
        </w:rPr>
        <w:t>авах</w:t>
      </w:r>
      <w:r>
        <w:rPr>
          <w:rFonts w:ascii="Arial" w:hAnsi="Arial" w:cs="Arial"/>
          <w:b/>
          <w:bCs/>
          <w:caps/>
        </w:rPr>
        <w:t xml:space="preserve"> </w:t>
      </w:r>
    </w:p>
    <w:p w14:paraId="79C687ED">
      <w:pPr>
        <w:pStyle w:val="5"/>
        <w:spacing w:before="0" w:beforeAutospacing="0" w:after="0" w:afterAutospacing="0"/>
        <w:contextualSpacing/>
        <w:jc w:val="center"/>
        <w:rPr>
          <w:rFonts w:hint="default" w:ascii="Arial" w:hAnsi="Arial" w:cs="Arial"/>
          <w:b/>
          <w:bCs/>
          <w:caps/>
          <w:lang w:val="mn-MN"/>
        </w:rPr>
      </w:pPr>
      <w:r>
        <w:rPr>
          <w:rFonts w:ascii="Arial" w:hAnsi="Arial" w:cs="Arial"/>
          <w:b/>
          <w:bCs/>
          <w:caps/>
          <w:cs/>
          <w:lang w:val="mn-MN"/>
        </w:rPr>
        <w:t>арга</w:t>
      </w:r>
      <w:r>
        <w:rPr>
          <w:rFonts w:ascii="Arial" w:hAnsi="Arial" w:cs="Arial"/>
          <w:b/>
          <w:bCs/>
          <w:caps/>
        </w:rPr>
        <w:t xml:space="preserve"> </w:t>
      </w:r>
      <w:r>
        <w:rPr>
          <w:rFonts w:ascii="Arial" w:hAnsi="Arial" w:cs="Arial"/>
          <w:b/>
          <w:bCs/>
          <w:caps/>
          <w:cs/>
          <w:lang w:val="mn-MN"/>
        </w:rPr>
        <w:t>хэмжээний</w:t>
      </w:r>
      <w:r>
        <w:rPr>
          <w:rFonts w:ascii="Arial" w:hAnsi="Arial" w:cs="Arial"/>
          <w:b/>
          <w:bCs/>
          <w:caps/>
        </w:rPr>
        <w:t xml:space="preserve"> </w:t>
      </w:r>
      <w:r>
        <w:rPr>
          <w:rFonts w:ascii="Arial" w:hAnsi="Arial" w:cs="Arial"/>
          <w:b/>
          <w:bCs/>
          <w:caps/>
          <w:cs/>
          <w:lang w:val="mn-MN"/>
        </w:rPr>
        <w:t>тухай</w:t>
      </w:r>
    </w:p>
    <w:p w14:paraId="50598436">
      <w:pPr>
        <w:pStyle w:val="5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aps/>
        </w:rPr>
      </w:pPr>
    </w:p>
    <w:p w14:paraId="1531E1DD">
      <w:pPr>
        <w:pStyle w:val="5"/>
        <w:spacing w:before="300" w:beforeAutospacing="0" w:after="300" w:afterAutospacing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35B29162">
      <w:pPr>
        <w:pStyle w:val="5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1E803BFD">
      <w:pPr>
        <w:pStyle w:val="5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 w:eastAsiaTheme="minorEastAsia"/>
          <w:lang w:val="mn-MN"/>
        </w:rPr>
        <w:t xml:space="preserve">Энэ хуулийг баталсантай холбогдуулан иргэнд олгох </w:t>
      </w:r>
      <w:r>
        <w:rPr>
          <w:rFonts w:ascii="Arial" w:hAnsi="Arial" w:cs="Arial"/>
          <w:lang w:val="mn-MN"/>
        </w:rPr>
        <w:t>тэтгэврийн зээлийн хүүг тогтоох жу</w:t>
      </w:r>
      <w:r>
        <w:rPr>
          <w:rFonts w:ascii="Arial" w:hAnsi="Arial" w:cs="Arial"/>
        </w:rPr>
        <w:t>рмыг баталж, хэрэгжүүлэхийг Монгол Улсын Засгийн газар /</w:t>
      </w:r>
      <w:r>
        <w:rPr>
          <w:rFonts w:ascii="Arial" w:hAnsi="Arial" w:cs="Arial"/>
          <w:cs/>
          <w:lang w:val="mn-MN"/>
        </w:rPr>
        <w:t>Н</w:t>
      </w:r>
      <w:r>
        <w:rPr>
          <w:rFonts w:hint="default" w:ascii="Arial" w:hAnsi="Arial" w:cs="Arial"/>
          <w:cs/>
          <w:lang w:val="mn-MN"/>
        </w:rPr>
        <w:t>.Учрал</w:t>
      </w:r>
      <w:r>
        <w:rPr>
          <w:rFonts w:ascii="Arial" w:hAnsi="Arial" w:cs="Arial"/>
        </w:rPr>
        <w:t xml:space="preserve">/-д даалгаусгай.  </w:t>
      </w:r>
    </w:p>
    <w:p w14:paraId="388A1527">
      <w:pPr>
        <w:pStyle w:val="5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245A5482">
      <w:pPr>
        <w:pStyle w:val="5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2.Энэ тогтоолыг Банкны тухай хуульд нэмэлт оруулах тухай</w:t>
      </w:r>
      <w:r>
        <w:rPr>
          <w:rFonts w:hint="default" w:ascii="Arial" w:hAnsi="Arial" w:cs="Arial"/>
          <w:cs/>
          <w:lang w:val="mn-MN"/>
        </w:rPr>
        <w:t xml:space="preserve"> 2026 оны </w:t>
      </w:r>
      <w:bookmarkStart w:id="0" w:name="_GoBack"/>
      <w:bookmarkEnd w:id="0"/>
      <w:r>
        <w:rPr>
          <w:rFonts w:hint="default" w:ascii="Arial" w:hAnsi="Arial" w:cs="Arial"/>
          <w:cs/>
          <w:lang w:val="mn-MN"/>
        </w:rPr>
        <w:t>..... дугаар сарын ....... өдрийн</w:t>
      </w:r>
      <w:r>
        <w:rPr>
          <w:rFonts w:ascii="Arial" w:hAnsi="Arial" w:cs="Arial"/>
        </w:rPr>
        <w:t xml:space="preserve"> хууль хүчин төгөлдөр болсон өдрөөс эхлэн дагаж мөрдөнө.</w:t>
      </w:r>
    </w:p>
    <w:p w14:paraId="3868C2D0">
      <w:pPr>
        <w:contextualSpacing/>
        <w:jc w:val="both"/>
        <w:rPr>
          <w:rFonts w:ascii="Arial" w:hAnsi="Arial" w:cs="Arial" w:eastAsiaTheme="minorEastAsia"/>
          <w:sz w:val="24"/>
          <w:szCs w:val="24"/>
          <w:lang w:val="mn-MN"/>
        </w:rPr>
      </w:pPr>
    </w:p>
    <w:p w14:paraId="71BFC687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1166B43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5301D1B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1D97C97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0F8D4FED">
      <w:pPr>
        <w:contextualSpacing/>
        <w:rPr>
          <w:rFonts w:ascii="Arial" w:hAnsi="Arial" w:cs="Arial" w:eastAsiaTheme="minorEastAsia"/>
          <w:sz w:val="24"/>
          <w:szCs w:val="24"/>
          <w:lang w:val="mn-MN"/>
        </w:rPr>
      </w:pPr>
    </w:p>
    <w:p w14:paraId="3B3FEAE0">
      <w:pPr>
        <w:contextualSpacing/>
        <w:rPr>
          <w:rFonts w:ascii="Arial" w:hAnsi="Arial" w:cs="Arial" w:eastAsiaTheme="minorEastAsia"/>
          <w:sz w:val="24"/>
          <w:szCs w:val="24"/>
          <w:lang w:val="mn-MN"/>
        </w:rPr>
      </w:pPr>
    </w:p>
    <w:p w14:paraId="34D9FBEC">
      <w:pPr>
        <w:rPr>
          <w:rFonts w:ascii="Arial" w:hAnsi="Arial" w:cs="Arial"/>
          <w:sz w:val="24"/>
          <w:szCs w:val="24"/>
        </w:rPr>
      </w:pPr>
    </w:p>
    <w:sectPr>
      <w:headerReference r:id="rId5" w:type="default"/>
      <w:pgSz w:w="11907" w:h="16839"/>
      <w:pgMar w:top="1134" w:right="851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070BC">
    <w:pPr>
      <w:jc w:val="right"/>
      <w:rPr>
        <w:rFonts w:ascii="Arial" w:hAnsi="Arial" w:cs="Arial"/>
        <w:lang w:val="mn-MN"/>
      </w:rPr>
    </w:pPr>
  </w:p>
  <w:p w14:paraId="0C01B16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DD"/>
    <w:rsid w:val="00093D7B"/>
    <w:rsid w:val="000B79FC"/>
    <w:rsid w:val="000E6F73"/>
    <w:rsid w:val="0011765A"/>
    <w:rsid w:val="001643E1"/>
    <w:rsid w:val="00174C58"/>
    <w:rsid w:val="002D6354"/>
    <w:rsid w:val="002F2C56"/>
    <w:rsid w:val="00343251"/>
    <w:rsid w:val="004E1DAF"/>
    <w:rsid w:val="006B4895"/>
    <w:rsid w:val="006F7FDF"/>
    <w:rsid w:val="0072779E"/>
    <w:rsid w:val="00791AF0"/>
    <w:rsid w:val="008442FC"/>
    <w:rsid w:val="00851BDD"/>
    <w:rsid w:val="00882077"/>
    <w:rsid w:val="00940300"/>
    <w:rsid w:val="0099603A"/>
    <w:rsid w:val="009F60EA"/>
    <w:rsid w:val="00B2535A"/>
    <w:rsid w:val="00BE5E08"/>
    <w:rsid w:val="00C25028"/>
    <w:rsid w:val="00DA066B"/>
    <w:rsid w:val="00E36EE7"/>
    <w:rsid w:val="00E64EDD"/>
    <w:rsid w:val="2A65535C"/>
    <w:rsid w:val="538F5633"/>
    <w:rsid w:val="554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 w:bidi="mn-Mong-CN"/>
    </w:rPr>
  </w:style>
  <w:style w:type="character" w:customStyle="1" w:styleId="6">
    <w:name w:val="Header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861</Characters>
  <Lines>8</Lines>
  <Paragraphs>2</Paragraphs>
  <TotalTime>7</TotalTime>
  <ScaleCrop>false</ScaleCrop>
  <LinksUpToDate>false</LinksUpToDate>
  <CharactersWithSpaces>1087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2025-12-12T03:06:00Z</dcterms:created>
  <dc:creator>Owner</dc:creator>
  <cp:lastModifiedBy>Hishgee</cp:lastModifiedBy>
  <cp:lastPrinted>2025-12-08T08:20:00Z</cp:lastPrinted>
  <dcterms:modified xsi:type="dcterms:W3CDTF">2026-04-22T06:46:15Z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BD5F3DE5531C486B94A42C0DFA365997_13</vt:lpwstr>
  </property>
  <property fmtid="{D5CDD505-2E9C-101B-9397-08002B2CF9AE}" pid="4" name="KSOTemplateDocerSaveRecord">
    <vt:lpwstr>eyJoZGlkIjoiZTU0Zjk0YTkyNmI2NWY2YTg0ODFkZGE4NGIwYWQ3OTMiLCJ1c2VySWQiOiI4ODEzOTE5NjcxMjEyIn0=</vt:lpwstr>
  </property>
</Properties>
</file>