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68B81" w14:textId="77777777" w:rsidR="003F53F9" w:rsidRPr="00863C12" w:rsidRDefault="003F53F9" w:rsidP="00354CC3">
      <w:pPr>
        <w:autoSpaceDE w:val="0"/>
        <w:autoSpaceDN w:val="0"/>
        <w:adjustRightInd w:val="0"/>
        <w:spacing w:after="0" w:line="240" w:lineRule="auto"/>
        <w:jc w:val="center"/>
        <w:rPr>
          <w:rFonts w:ascii="Arial" w:hAnsi="Arial" w:cs="Arial"/>
          <w:b/>
          <w:bCs/>
          <w:sz w:val="24"/>
          <w:szCs w:val="24"/>
          <w:lang w:val="mn-MN"/>
        </w:rPr>
      </w:pPr>
    </w:p>
    <w:p w14:paraId="5F0D6C11" w14:textId="706B3ED6" w:rsidR="00354CC3" w:rsidRPr="00863C12" w:rsidRDefault="002E133C" w:rsidP="00354CC3">
      <w:pPr>
        <w:autoSpaceDE w:val="0"/>
        <w:autoSpaceDN w:val="0"/>
        <w:adjustRightInd w:val="0"/>
        <w:spacing w:after="0" w:line="240" w:lineRule="auto"/>
        <w:jc w:val="center"/>
        <w:rPr>
          <w:rFonts w:ascii="Arial" w:hAnsi="Arial" w:cs="Arial"/>
          <w:b/>
          <w:bCs/>
          <w:sz w:val="24"/>
          <w:szCs w:val="24"/>
          <w:lang w:val="mn-MN"/>
        </w:rPr>
      </w:pPr>
      <w:r w:rsidRPr="00863C12">
        <w:rPr>
          <w:rFonts w:ascii="Arial" w:hAnsi="Arial" w:cs="Arial"/>
          <w:b/>
          <w:bCs/>
          <w:sz w:val="24"/>
          <w:szCs w:val="24"/>
          <w:lang w:val="mn-MN"/>
        </w:rPr>
        <w:t xml:space="preserve">НИЙГМИЙН ДААТГАЛЫН ЕРӨНХИЙ ХУУЛЬД НЭМЭЛТ, ӨӨРЧЛӨЛТ ОРУУЛАХ ТУХАЙ ХУУЛИЙН </w:t>
      </w:r>
      <w:r w:rsidR="00354CC3" w:rsidRPr="00863C12">
        <w:rPr>
          <w:rFonts w:ascii="Arial" w:hAnsi="Arial" w:cs="Arial"/>
          <w:b/>
          <w:bCs/>
          <w:sz w:val="24"/>
          <w:szCs w:val="24"/>
          <w:lang w:val="mn-MN"/>
        </w:rPr>
        <w:t>ТӨСӨЛД ХИЙСЭН ЗАРДЛЫН ТООЦООНЫ ТАЙЛАН</w:t>
      </w:r>
    </w:p>
    <w:p w14:paraId="20F7B0DA" w14:textId="77777777" w:rsidR="00354CC3" w:rsidRPr="00863C12" w:rsidRDefault="00354CC3" w:rsidP="00354CC3">
      <w:pPr>
        <w:autoSpaceDE w:val="0"/>
        <w:autoSpaceDN w:val="0"/>
        <w:adjustRightInd w:val="0"/>
        <w:spacing w:after="0" w:line="240" w:lineRule="auto"/>
        <w:rPr>
          <w:rFonts w:ascii="Arial" w:hAnsi="Arial" w:cs="Arial"/>
          <w:b/>
          <w:bCs/>
          <w:sz w:val="24"/>
          <w:szCs w:val="24"/>
          <w:lang w:val="mn-MN"/>
        </w:rPr>
      </w:pPr>
    </w:p>
    <w:p w14:paraId="59486B84" w14:textId="447721F8" w:rsidR="00354CC3" w:rsidRPr="00863C12" w:rsidRDefault="005D7A34" w:rsidP="005D7A34">
      <w:pPr>
        <w:autoSpaceDE w:val="0"/>
        <w:autoSpaceDN w:val="0"/>
        <w:adjustRightInd w:val="0"/>
        <w:spacing w:after="0" w:line="240" w:lineRule="auto"/>
        <w:rPr>
          <w:rFonts w:ascii="Arial" w:hAnsi="Arial" w:cs="Arial"/>
          <w:b/>
          <w:bCs/>
          <w:sz w:val="24"/>
          <w:szCs w:val="24"/>
          <w:lang w:val="mn-MN"/>
        </w:rPr>
      </w:pPr>
      <w:r w:rsidRPr="00863C12">
        <w:rPr>
          <w:rFonts w:ascii="Arial" w:hAnsi="Arial" w:cs="Arial"/>
          <w:b/>
          <w:bCs/>
          <w:sz w:val="24"/>
          <w:szCs w:val="24"/>
          <w:lang w:val="mn-MN"/>
        </w:rPr>
        <w:t>Нэг.</w:t>
      </w:r>
      <w:r w:rsidR="00EA5917" w:rsidRPr="00863C12">
        <w:rPr>
          <w:rFonts w:ascii="Arial" w:hAnsi="Arial" w:cs="Arial"/>
          <w:b/>
          <w:bCs/>
          <w:sz w:val="24"/>
          <w:szCs w:val="24"/>
          <w:lang w:val="mn-MN"/>
        </w:rPr>
        <w:t xml:space="preserve"> </w:t>
      </w:r>
      <w:r w:rsidRPr="00863C12">
        <w:rPr>
          <w:rFonts w:ascii="Arial" w:hAnsi="Arial" w:cs="Arial"/>
          <w:b/>
          <w:bCs/>
          <w:sz w:val="24"/>
          <w:szCs w:val="24"/>
          <w:lang w:val="mn-MN"/>
        </w:rPr>
        <w:t>Ерөнхий мэдээлэл</w:t>
      </w:r>
    </w:p>
    <w:p w14:paraId="4A519C5E" w14:textId="77777777" w:rsidR="0012641A" w:rsidRPr="00863C12" w:rsidRDefault="0012641A" w:rsidP="0012641A">
      <w:pPr>
        <w:autoSpaceDE w:val="0"/>
        <w:autoSpaceDN w:val="0"/>
        <w:adjustRightInd w:val="0"/>
        <w:spacing w:after="0" w:line="240" w:lineRule="auto"/>
        <w:ind w:firstLine="720"/>
        <w:jc w:val="both"/>
        <w:rPr>
          <w:rFonts w:ascii="Arial" w:hAnsi="Arial" w:cs="Arial"/>
          <w:sz w:val="24"/>
          <w:szCs w:val="24"/>
          <w:lang w:val="mn-MN"/>
        </w:rPr>
      </w:pPr>
    </w:p>
    <w:p w14:paraId="37E88DD4" w14:textId="1929097E" w:rsidR="00A72705" w:rsidRPr="00863C12" w:rsidRDefault="00ED060E" w:rsidP="00A72705">
      <w:pPr>
        <w:autoSpaceDE w:val="0"/>
        <w:autoSpaceDN w:val="0"/>
        <w:adjustRightInd w:val="0"/>
        <w:spacing w:after="0" w:line="240" w:lineRule="auto"/>
        <w:ind w:firstLine="720"/>
        <w:jc w:val="both"/>
        <w:rPr>
          <w:rFonts w:ascii="Arial" w:hAnsi="Arial" w:cs="Arial"/>
          <w:sz w:val="24"/>
          <w:szCs w:val="24"/>
          <w:lang w:val="mn-MN"/>
        </w:rPr>
      </w:pPr>
      <w:r w:rsidRPr="00863C12">
        <w:rPr>
          <w:rFonts w:ascii="Arial" w:hAnsi="Arial" w:cs="Arial"/>
          <w:sz w:val="24"/>
          <w:szCs w:val="24"/>
          <w:lang w:val="mn-MN"/>
        </w:rPr>
        <w:t>Хууль тогтоомжийн тухай хуул</w:t>
      </w:r>
      <w:r w:rsidR="00404F97" w:rsidRPr="00863C12">
        <w:rPr>
          <w:rFonts w:ascii="Arial" w:hAnsi="Arial" w:cs="Arial"/>
          <w:sz w:val="24"/>
          <w:szCs w:val="24"/>
          <w:lang w:val="mn-MN"/>
        </w:rPr>
        <w:t>ь</w:t>
      </w:r>
      <w:r w:rsidR="00404F97" w:rsidRPr="00863C12">
        <w:rPr>
          <w:rStyle w:val="FootnoteReference"/>
          <w:rFonts w:ascii="Arial" w:hAnsi="Arial" w:cs="Arial"/>
          <w:sz w:val="24"/>
          <w:szCs w:val="24"/>
          <w:lang w:val="mn-MN"/>
        </w:rPr>
        <w:footnoteReference w:id="2"/>
      </w:r>
      <w:r w:rsidR="00404F97" w:rsidRPr="00863C12">
        <w:rPr>
          <w:rFonts w:ascii="Arial" w:hAnsi="Arial" w:cs="Arial"/>
          <w:sz w:val="24"/>
          <w:szCs w:val="24"/>
          <w:lang w:val="mn-MN"/>
        </w:rPr>
        <w:t>-</w:t>
      </w:r>
      <w:r w:rsidRPr="00863C12">
        <w:rPr>
          <w:rFonts w:ascii="Arial" w:hAnsi="Arial" w:cs="Arial"/>
          <w:sz w:val="24"/>
          <w:szCs w:val="24"/>
          <w:lang w:val="mn-MN"/>
        </w:rPr>
        <w:t>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w:t>
      </w:r>
      <w:r w:rsidR="00A72705" w:rsidRPr="00863C12">
        <w:rPr>
          <w:rFonts w:ascii="Arial" w:hAnsi="Arial" w:cs="Arial"/>
          <w:sz w:val="24"/>
          <w:szCs w:val="24"/>
          <w:lang w:val="mn-MN"/>
        </w:rPr>
        <w:t xml:space="preserve"> </w:t>
      </w:r>
      <w:r w:rsidR="002E133C" w:rsidRPr="00863C12">
        <w:rPr>
          <w:rFonts w:ascii="Arial" w:hAnsi="Arial" w:cs="Arial"/>
          <w:sz w:val="24"/>
          <w:szCs w:val="24"/>
          <w:lang w:val="mn-MN"/>
        </w:rPr>
        <w:t>Нийгмийн даатгалын ерөнхий хууль</w:t>
      </w:r>
      <w:r w:rsidR="00EA5917" w:rsidRPr="00863C12">
        <w:rPr>
          <w:rFonts w:ascii="Arial" w:hAnsi="Arial" w:cs="Arial"/>
          <w:sz w:val="24"/>
          <w:szCs w:val="24"/>
          <w:lang w:val="mn-MN"/>
        </w:rPr>
        <w:t xml:space="preserve"> </w:t>
      </w:r>
      <w:r w:rsidR="00E816D9" w:rsidRPr="00863C12">
        <w:rPr>
          <w:rStyle w:val="FootnoteReference"/>
          <w:rFonts w:ascii="Arial" w:hAnsi="Arial" w:cs="Arial"/>
          <w:sz w:val="24"/>
          <w:szCs w:val="24"/>
          <w:lang w:val="mn-MN"/>
        </w:rPr>
        <w:footnoteReference w:id="3"/>
      </w:r>
      <w:r w:rsidR="009E49DA" w:rsidRPr="00863C12">
        <w:rPr>
          <w:rFonts w:ascii="Arial" w:hAnsi="Arial" w:cs="Arial"/>
          <w:sz w:val="24"/>
          <w:szCs w:val="24"/>
          <w:lang w:val="mn-MN"/>
        </w:rPr>
        <w:t>-</w:t>
      </w:r>
      <w:r w:rsidR="002E133C" w:rsidRPr="00863C12">
        <w:rPr>
          <w:rFonts w:ascii="Arial" w:hAnsi="Arial" w:cs="Arial"/>
          <w:sz w:val="24"/>
          <w:szCs w:val="24"/>
          <w:lang w:val="mn-MN"/>
        </w:rPr>
        <w:t>д нэмэлт, өөрчлөлт оруулах тухай хуулийн төсөл</w:t>
      </w:r>
      <w:r w:rsidR="00A72705" w:rsidRPr="00863C12">
        <w:rPr>
          <w:rFonts w:ascii="Arial" w:hAnsi="Arial" w:cs="Arial"/>
          <w:sz w:val="24"/>
          <w:szCs w:val="24"/>
          <w:lang w:val="mn-MN"/>
        </w:rPr>
        <w:t xml:space="preserve"> /цаашид “хуулийн төсөл” гэх/ батлагдсан нөхцөлд түүнийг 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6F95C306" w14:textId="77777777" w:rsidR="00ED060E" w:rsidRPr="00863C12" w:rsidRDefault="00ED060E" w:rsidP="00ED060E">
      <w:pPr>
        <w:autoSpaceDE w:val="0"/>
        <w:autoSpaceDN w:val="0"/>
        <w:adjustRightInd w:val="0"/>
        <w:spacing w:after="0" w:line="240" w:lineRule="auto"/>
        <w:rPr>
          <w:rFonts w:ascii="Arial" w:hAnsi="Arial" w:cs="Arial"/>
          <w:sz w:val="24"/>
          <w:szCs w:val="24"/>
          <w:lang w:val="mn-MN"/>
        </w:rPr>
      </w:pPr>
    </w:p>
    <w:p w14:paraId="5F67A22E" w14:textId="77777777" w:rsidR="002E133C" w:rsidRPr="00863C12" w:rsidRDefault="002E133C" w:rsidP="002E133C">
      <w:pPr>
        <w:autoSpaceDE w:val="0"/>
        <w:autoSpaceDN w:val="0"/>
        <w:adjustRightInd w:val="0"/>
        <w:spacing w:after="0" w:line="26" w:lineRule="atLeast"/>
        <w:ind w:firstLine="720"/>
        <w:jc w:val="both"/>
        <w:rPr>
          <w:rFonts w:ascii="Arial" w:hAnsi="Arial" w:cs="Arial"/>
          <w:sz w:val="24"/>
          <w:szCs w:val="24"/>
          <w:lang w:val="mn-MN"/>
        </w:rPr>
      </w:pPr>
      <w:r w:rsidRPr="00863C12">
        <w:rPr>
          <w:rFonts w:ascii="Arial" w:hAnsi="Arial" w:cs="Arial"/>
          <w:sz w:val="24"/>
          <w:szCs w:val="24"/>
          <w:lang w:val="mn-MN"/>
        </w:rPr>
        <w:t xml:space="preserve">Хууль тогтоомжийг хэрэгжүүлэхтэй холбогдон гарах зардлын тооцоог хуулийн төслийн үр нөлөөг урьдчилан тандан судлах явцад гүйцэтгэх нь тухайн эрх зүйн зохицуулалтын үр нөлөөгөөр хүрэхийг хүссэн үр дүн, түүнийг хэрэгжүүлэх тогтолцоог бий болгоход зарцуулах зардлын харьцааг тогтооход чухал үүрэг гүйцэтгэдэг. Энэхүү үнэлгээний зорилго нь хуулийн төсөл батлагдсанаар иргэн, хуулийн этгээд, төрийн байгууллагад шинээр үүсэх зардлын ачааллыг урьдчилан тооцож, цаашид гарах зардлыг багасгах санал боловсруулахад оршино. </w:t>
      </w:r>
    </w:p>
    <w:p w14:paraId="25C5B938" w14:textId="77777777" w:rsidR="002E133C" w:rsidRPr="00863C12" w:rsidRDefault="002E133C" w:rsidP="002E133C">
      <w:pPr>
        <w:autoSpaceDE w:val="0"/>
        <w:autoSpaceDN w:val="0"/>
        <w:adjustRightInd w:val="0"/>
        <w:spacing w:after="0" w:line="26" w:lineRule="atLeast"/>
        <w:ind w:firstLine="720"/>
        <w:jc w:val="both"/>
        <w:rPr>
          <w:rFonts w:ascii="Arial" w:hAnsi="Arial" w:cs="Arial"/>
          <w:sz w:val="24"/>
          <w:szCs w:val="24"/>
          <w:lang w:val="mn-MN"/>
        </w:rPr>
      </w:pPr>
    </w:p>
    <w:p w14:paraId="2D5F7283" w14:textId="77777777" w:rsidR="002E133C" w:rsidRPr="00863C12" w:rsidRDefault="002E133C" w:rsidP="002E133C">
      <w:pPr>
        <w:autoSpaceDE w:val="0"/>
        <w:autoSpaceDN w:val="0"/>
        <w:adjustRightInd w:val="0"/>
        <w:spacing w:after="0" w:line="26" w:lineRule="atLeast"/>
        <w:ind w:firstLine="720"/>
        <w:jc w:val="both"/>
        <w:rPr>
          <w:rFonts w:ascii="Arial" w:hAnsi="Arial" w:cs="Arial"/>
          <w:sz w:val="24"/>
          <w:szCs w:val="24"/>
          <w:lang w:val="mn-MN"/>
        </w:rPr>
      </w:pPr>
      <w:r w:rsidRPr="00863C12">
        <w:rPr>
          <w:rFonts w:ascii="Arial" w:hAnsi="Arial" w:cs="Arial"/>
          <w:sz w:val="24"/>
          <w:szCs w:val="24"/>
          <w:lang w:val="mn-MN"/>
        </w:rPr>
        <w:t>Хуулийн төслийг хэрэгжүүлэхтэй холбогдон гарах зардлыг тооцоход доор дурдсан нийтлэг зарчмыг баримтлан ажилласан:</w:t>
      </w:r>
    </w:p>
    <w:p w14:paraId="41B8C4E9" w14:textId="77777777" w:rsidR="002E133C" w:rsidRPr="00863C12" w:rsidRDefault="002E133C" w:rsidP="002E133C">
      <w:pPr>
        <w:autoSpaceDE w:val="0"/>
        <w:autoSpaceDN w:val="0"/>
        <w:adjustRightInd w:val="0"/>
        <w:spacing w:after="0" w:line="26" w:lineRule="atLeast"/>
        <w:ind w:firstLine="720"/>
        <w:jc w:val="both"/>
        <w:rPr>
          <w:rFonts w:ascii="Arial" w:hAnsi="Arial" w:cs="Arial"/>
          <w:sz w:val="24"/>
          <w:szCs w:val="24"/>
          <w:lang w:val="mn-MN"/>
        </w:rPr>
      </w:pPr>
    </w:p>
    <w:p w14:paraId="6866F6C2" w14:textId="55C213F7" w:rsidR="002E133C" w:rsidRPr="00863C12"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863C12">
        <w:rPr>
          <w:rFonts w:ascii="Arial" w:hAnsi="Arial" w:cs="Arial"/>
          <w:sz w:val="24"/>
          <w:szCs w:val="24"/>
          <w:lang w:val="mn-MN"/>
        </w:rPr>
        <w:t>и</w:t>
      </w:r>
      <w:r w:rsidR="002E133C" w:rsidRPr="00863C12">
        <w:rPr>
          <w:rFonts w:ascii="Arial" w:hAnsi="Arial" w:cs="Arial"/>
          <w:sz w:val="24"/>
          <w:szCs w:val="24"/>
          <w:lang w:val="mn-MN"/>
        </w:rPr>
        <w:t>ргэн,</w:t>
      </w:r>
      <w:r w:rsidRPr="00863C12">
        <w:rPr>
          <w:rFonts w:ascii="Arial" w:hAnsi="Arial" w:cs="Arial"/>
          <w:sz w:val="24"/>
          <w:szCs w:val="24"/>
          <w:lang w:val="mn-MN"/>
        </w:rPr>
        <w:t xml:space="preserve"> </w:t>
      </w:r>
      <w:r w:rsidR="002E133C" w:rsidRPr="00863C12">
        <w:rPr>
          <w:rFonts w:ascii="Arial" w:hAnsi="Arial" w:cs="Arial"/>
          <w:sz w:val="24"/>
          <w:szCs w:val="24"/>
          <w:lang w:val="mn-MN"/>
        </w:rPr>
        <w:t>төрийн байгууллагын гүйцэтгэх үүрэг нэг бүрийг оновчтой тодорхойлох;</w:t>
      </w:r>
      <w:r w:rsidR="002E133C" w:rsidRPr="00863C12">
        <w:rPr>
          <w:rStyle w:val="FootnoteReference"/>
          <w:rFonts w:ascii="Arial" w:hAnsi="Arial" w:cs="Arial"/>
          <w:sz w:val="24"/>
          <w:szCs w:val="24"/>
          <w:lang w:val="mn-MN"/>
        </w:rPr>
        <w:footnoteReference w:id="4"/>
      </w:r>
    </w:p>
    <w:p w14:paraId="511561B1" w14:textId="196D47BA" w:rsidR="002E133C" w:rsidRPr="00863C12"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863C12">
        <w:rPr>
          <w:rFonts w:ascii="Arial" w:hAnsi="Arial" w:cs="Arial"/>
          <w:sz w:val="24"/>
          <w:szCs w:val="24"/>
          <w:lang w:val="mn-MN"/>
        </w:rPr>
        <w:t>ү</w:t>
      </w:r>
      <w:r w:rsidR="002E133C" w:rsidRPr="00863C12">
        <w:rPr>
          <w:rFonts w:ascii="Arial" w:hAnsi="Arial" w:cs="Arial"/>
          <w:sz w:val="24"/>
          <w:szCs w:val="24"/>
          <w:lang w:val="mn-MN"/>
        </w:rPr>
        <w:t>үрэг гүйцэтгэхэд зарцуулах хугацааг тогтооход бодитой хандах;</w:t>
      </w:r>
      <w:r w:rsidR="002E133C" w:rsidRPr="00863C12">
        <w:rPr>
          <w:rStyle w:val="FootnoteReference"/>
          <w:rFonts w:ascii="Arial" w:hAnsi="Arial" w:cs="Arial"/>
          <w:sz w:val="24"/>
          <w:szCs w:val="24"/>
          <w:lang w:val="mn-MN"/>
        </w:rPr>
        <w:footnoteReference w:id="5"/>
      </w:r>
    </w:p>
    <w:p w14:paraId="3C51AEC0" w14:textId="1D3FF3BD" w:rsidR="002E133C" w:rsidRPr="00863C12"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863C12">
        <w:rPr>
          <w:rFonts w:ascii="Arial" w:hAnsi="Arial" w:cs="Arial"/>
          <w:sz w:val="24"/>
          <w:szCs w:val="24"/>
          <w:lang w:val="mn-MN"/>
        </w:rPr>
        <w:t>б</w:t>
      </w:r>
      <w:r w:rsidR="002E133C" w:rsidRPr="00863C12">
        <w:rPr>
          <w:rFonts w:ascii="Arial" w:hAnsi="Arial" w:cs="Arial"/>
          <w:sz w:val="24"/>
          <w:szCs w:val="24"/>
          <w:lang w:val="mn-MN"/>
        </w:rPr>
        <w:t>одит тоо баримт, мэдээлэлд тулгуурлах;</w:t>
      </w:r>
      <w:r w:rsidR="002E133C" w:rsidRPr="00863C12">
        <w:rPr>
          <w:rStyle w:val="FootnoteReference"/>
          <w:rFonts w:ascii="Arial" w:hAnsi="Arial" w:cs="Arial"/>
          <w:sz w:val="24"/>
          <w:szCs w:val="24"/>
          <w:lang w:val="mn-MN"/>
        </w:rPr>
        <w:footnoteReference w:id="6"/>
      </w:r>
    </w:p>
    <w:p w14:paraId="24A9C15C" w14:textId="0D14EB63" w:rsidR="002E133C" w:rsidRPr="00863C12"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863C12">
        <w:rPr>
          <w:rFonts w:ascii="Arial" w:hAnsi="Arial" w:cs="Arial"/>
          <w:sz w:val="24"/>
          <w:szCs w:val="24"/>
          <w:lang w:val="mn-MN"/>
        </w:rPr>
        <w:t>а</w:t>
      </w:r>
      <w:r w:rsidR="002E133C" w:rsidRPr="00863C12">
        <w:rPr>
          <w:rFonts w:ascii="Arial" w:hAnsi="Arial" w:cs="Arial"/>
          <w:sz w:val="24"/>
          <w:szCs w:val="24"/>
          <w:lang w:val="mn-MN"/>
        </w:rPr>
        <w:t>ргачлалд заасан тооцоо хийх үе шатыг баримтлах.</w:t>
      </w:r>
      <w:r w:rsidR="002E133C" w:rsidRPr="00863C12">
        <w:rPr>
          <w:rStyle w:val="FootnoteReference"/>
          <w:rFonts w:ascii="Arial" w:hAnsi="Arial" w:cs="Arial"/>
          <w:sz w:val="24"/>
          <w:szCs w:val="24"/>
          <w:lang w:val="mn-MN"/>
        </w:rPr>
        <w:footnoteReference w:id="7"/>
      </w:r>
    </w:p>
    <w:p w14:paraId="1F6BB673" w14:textId="77777777" w:rsidR="002E133C" w:rsidRPr="00863C12" w:rsidRDefault="002E133C" w:rsidP="002E133C">
      <w:pPr>
        <w:autoSpaceDE w:val="0"/>
        <w:autoSpaceDN w:val="0"/>
        <w:adjustRightInd w:val="0"/>
        <w:spacing w:after="0" w:line="26" w:lineRule="atLeast"/>
        <w:rPr>
          <w:rFonts w:ascii="Arial" w:hAnsi="Arial" w:cs="Arial"/>
          <w:sz w:val="24"/>
          <w:szCs w:val="24"/>
          <w:lang w:val="mn-MN"/>
        </w:rPr>
      </w:pPr>
    </w:p>
    <w:p w14:paraId="02430CF5" w14:textId="02E9BD35" w:rsidR="002E133C" w:rsidRPr="00863C12" w:rsidRDefault="002E133C" w:rsidP="002E133C">
      <w:pPr>
        <w:spacing w:after="0" w:line="26" w:lineRule="atLeast"/>
        <w:ind w:firstLine="720"/>
        <w:jc w:val="both"/>
        <w:rPr>
          <w:rFonts w:ascii="Arial" w:hAnsi="Arial" w:cs="Arial"/>
          <w:sz w:val="24"/>
          <w:szCs w:val="24"/>
          <w:lang w:val="mn-MN"/>
        </w:rPr>
      </w:pPr>
      <w:r w:rsidRPr="00863C12">
        <w:rPr>
          <w:rFonts w:ascii="Arial" w:hAnsi="Arial" w:cs="Arial"/>
          <w:sz w:val="24"/>
          <w:szCs w:val="24"/>
          <w:lang w:val="mn-MN"/>
        </w:rPr>
        <w:t>Аргачлалын Ерөнхий зүйлийн 1.5-д заасан журмын дагуу зардлыг</w:t>
      </w:r>
      <w:r w:rsidR="00E96667" w:rsidRPr="00863C12">
        <w:rPr>
          <w:rFonts w:ascii="Arial" w:hAnsi="Arial" w:cs="Arial"/>
          <w:sz w:val="24"/>
          <w:szCs w:val="24"/>
          <w:lang w:val="mn-MN"/>
        </w:rPr>
        <w:t xml:space="preserve"> (1)</w:t>
      </w:r>
      <w:r w:rsidRPr="00863C12">
        <w:rPr>
          <w:rFonts w:ascii="Arial" w:hAnsi="Arial" w:cs="Arial"/>
          <w:sz w:val="24"/>
          <w:szCs w:val="24"/>
          <w:lang w:val="mn-MN"/>
        </w:rPr>
        <w:t xml:space="preserve"> төрийн байгууллагын зардал</w:t>
      </w:r>
      <w:r w:rsidR="00E96667" w:rsidRPr="00863C12">
        <w:rPr>
          <w:rFonts w:ascii="Arial" w:hAnsi="Arial" w:cs="Arial"/>
          <w:sz w:val="24"/>
          <w:szCs w:val="24"/>
          <w:lang w:val="mn-MN"/>
        </w:rPr>
        <w:t>,</w:t>
      </w:r>
      <w:r w:rsidRPr="00863C12">
        <w:rPr>
          <w:rFonts w:ascii="Arial" w:hAnsi="Arial" w:cs="Arial"/>
          <w:sz w:val="24"/>
          <w:szCs w:val="24"/>
          <w:lang w:val="mn-MN"/>
        </w:rPr>
        <w:t xml:space="preserve"> </w:t>
      </w:r>
      <w:r w:rsidR="00E96667" w:rsidRPr="00863C12">
        <w:rPr>
          <w:rFonts w:ascii="Arial" w:hAnsi="Arial" w:cs="Arial"/>
          <w:sz w:val="24"/>
          <w:szCs w:val="24"/>
          <w:lang w:val="mn-MN"/>
        </w:rPr>
        <w:t xml:space="preserve">(2) </w:t>
      </w:r>
      <w:r w:rsidRPr="00863C12">
        <w:rPr>
          <w:rFonts w:ascii="Arial" w:hAnsi="Arial" w:cs="Arial"/>
          <w:sz w:val="24"/>
          <w:szCs w:val="24"/>
          <w:lang w:val="mn-MN"/>
        </w:rPr>
        <w:t>хуулийн этгээдийн зардал</w:t>
      </w:r>
      <w:r w:rsidR="00E96667" w:rsidRPr="00863C12">
        <w:rPr>
          <w:rFonts w:ascii="Arial" w:hAnsi="Arial" w:cs="Arial"/>
          <w:sz w:val="24"/>
          <w:szCs w:val="24"/>
          <w:lang w:val="mn-MN"/>
        </w:rPr>
        <w:t>, (3)</w:t>
      </w:r>
      <w:r w:rsidRPr="00863C12">
        <w:rPr>
          <w:rFonts w:ascii="Arial" w:hAnsi="Arial" w:cs="Arial"/>
          <w:sz w:val="24"/>
          <w:szCs w:val="24"/>
          <w:lang w:val="mn-MN"/>
        </w:rPr>
        <w:t xml:space="preserve"> иргэнд үүсэх зардал  гэсэн гурван төрлөөр тооцдог. Харин тус хуулийн төс</w:t>
      </w:r>
      <w:r w:rsidR="00A578D1" w:rsidRPr="00863C12">
        <w:rPr>
          <w:rFonts w:ascii="Arial" w:hAnsi="Arial" w:cs="Arial"/>
          <w:sz w:val="24"/>
          <w:szCs w:val="24"/>
          <w:lang w:val="mn-MN"/>
        </w:rPr>
        <w:t xml:space="preserve">өл батлагдсанаар </w:t>
      </w:r>
      <w:r w:rsidRPr="00863C12">
        <w:rPr>
          <w:rFonts w:ascii="Arial" w:hAnsi="Arial" w:cs="Arial"/>
          <w:sz w:val="24"/>
          <w:szCs w:val="24"/>
          <w:lang w:val="mn-MN"/>
        </w:rPr>
        <w:t>иргэн</w:t>
      </w:r>
      <w:r w:rsidR="00A578D1" w:rsidRPr="00863C12">
        <w:rPr>
          <w:rFonts w:ascii="Arial" w:hAnsi="Arial" w:cs="Arial"/>
          <w:sz w:val="24"/>
          <w:szCs w:val="24"/>
          <w:lang w:val="mn-MN"/>
        </w:rPr>
        <w:t>,</w:t>
      </w:r>
      <w:r w:rsidRPr="00863C12">
        <w:rPr>
          <w:rFonts w:ascii="Arial" w:hAnsi="Arial" w:cs="Arial"/>
          <w:sz w:val="24"/>
          <w:szCs w:val="24"/>
          <w:lang w:val="mn-MN"/>
        </w:rPr>
        <w:t xml:space="preserve"> хуулийн этгээд</w:t>
      </w:r>
      <w:r w:rsidR="00A578D1" w:rsidRPr="00863C12">
        <w:rPr>
          <w:rFonts w:ascii="Arial" w:hAnsi="Arial" w:cs="Arial"/>
          <w:sz w:val="24"/>
          <w:szCs w:val="24"/>
          <w:lang w:val="mn-MN"/>
        </w:rPr>
        <w:t>,</w:t>
      </w:r>
      <w:r w:rsidRPr="00863C12">
        <w:rPr>
          <w:rFonts w:ascii="Arial" w:hAnsi="Arial" w:cs="Arial"/>
          <w:sz w:val="24"/>
          <w:szCs w:val="24"/>
          <w:lang w:val="mn-MN"/>
        </w:rPr>
        <w:t xml:space="preserve"> </w:t>
      </w:r>
      <w:r w:rsidR="00A578D1" w:rsidRPr="00863C12">
        <w:rPr>
          <w:rFonts w:ascii="Arial" w:hAnsi="Arial" w:cs="Arial"/>
          <w:sz w:val="24"/>
          <w:szCs w:val="24"/>
          <w:lang w:val="mn-MN"/>
        </w:rPr>
        <w:t xml:space="preserve">төрийн байгууллагад </w:t>
      </w:r>
      <w:r w:rsidRPr="00863C12">
        <w:rPr>
          <w:rFonts w:ascii="Arial" w:hAnsi="Arial" w:cs="Arial"/>
          <w:sz w:val="24"/>
          <w:szCs w:val="24"/>
          <w:lang w:val="mn-MN"/>
        </w:rPr>
        <w:t>зардал үүсгэх зохицуулалт тусгагдаагүй</w:t>
      </w:r>
      <w:r w:rsidR="00A578D1" w:rsidRPr="00863C12">
        <w:rPr>
          <w:rFonts w:ascii="Arial" w:hAnsi="Arial" w:cs="Arial"/>
          <w:sz w:val="24"/>
          <w:szCs w:val="24"/>
          <w:lang w:val="mn-MN"/>
        </w:rPr>
        <w:t xml:space="preserve"> тул аливаа нэмэлт болон шинэ зардал гарахааргүй байна</w:t>
      </w:r>
      <w:r w:rsidRPr="00863C12">
        <w:rPr>
          <w:rFonts w:ascii="Arial" w:hAnsi="Arial" w:cs="Arial"/>
          <w:sz w:val="24"/>
          <w:szCs w:val="24"/>
          <w:lang w:val="mn-MN"/>
        </w:rPr>
        <w:t xml:space="preserve">. </w:t>
      </w:r>
    </w:p>
    <w:p w14:paraId="6154C8CD" w14:textId="77777777" w:rsidR="002E133C" w:rsidRPr="00863C12" w:rsidRDefault="002E133C" w:rsidP="002E133C">
      <w:pPr>
        <w:spacing w:after="0" w:line="26" w:lineRule="atLeast"/>
        <w:ind w:firstLine="720"/>
        <w:jc w:val="both"/>
        <w:rPr>
          <w:rFonts w:ascii="Arial" w:hAnsi="Arial" w:cs="Arial"/>
          <w:sz w:val="24"/>
          <w:szCs w:val="24"/>
          <w:lang w:val="mn-MN"/>
        </w:rPr>
      </w:pPr>
    </w:p>
    <w:p w14:paraId="0CA84A5A" w14:textId="3C92B371" w:rsidR="002E133C" w:rsidRPr="00863C12" w:rsidRDefault="002E133C" w:rsidP="002E133C">
      <w:pPr>
        <w:pStyle w:val="Heading1"/>
        <w:spacing w:before="0" w:line="26" w:lineRule="atLeast"/>
        <w:rPr>
          <w:rFonts w:cs="Arial"/>
          <w:b w:val="0"/>
          <w:szCs w:val="24"/>
          <w:lang w:val="mn-MN"/>
        </w:rPr>
      </w:pPr>
      <w:bookmarkStart w:id="0" w:name="_Toc117697202"/>
      <w:bookmarkStart w:id="1" w:name="_Toc117698325"/>
      <w:bookmarkStart w:id="2" w:name="_Toc117753392"/>
      <w:r w:rsidRPr="00863C12">
        <w:rPr>
          <w:rFonts w:cs="Arial"/>
          <w:szCs w:val="24"/>
          <w:lang w:val="mn-MN"/>
        </w:rPr>
        <w:t>Хоёр.</w:t>
      </w:r>
      <w:r w:rsidR="00EA5917" w:rsidRPr="00863C12">
        <w:rPr>
          <w:rFonts w:cs="Arial"/>
          <w:szCs w:val="24"/>
          <w:lang w:val="mn-MN"/>
        </w:rPr>
        <w:t xml:space="preserve"> </w:t>
      </w:r>
      <w:r w:rsidR="00D777EF" w:rsidRPr="00863C12">
        <w:rPr>
          <w:rFonts w:cs="Arial"/>
          <w:szCs w:val="24"/>
          <w:lang w:val="mn-MN"/>
        </w:rPr>
        <w:t xml:space="preserve">Нийгмийн даатгалын ерөнхий хуульд нэмэлт, өөрчлөлт оруулах тухай хуулийн төсөл </w:t>
      </w:r>
      <w:r w:rsidRPr="00863C12">
        <w:rPr>
          <w:rFonts w:cs="Arial"/>
          <w:szCs w:val="24"/>
          <w:lang w:val="mn-MN"/>
        </w:rPr>
        <w:t>батлагд</w:t>
      </w:r>
      <w:r w:rsidR="00061516" w:rsidRPr="00863C12">
        <w:rPr>
          <w:rFonts w:cs="Arial"/>
          <w:szCs w:val="24"/>
          <w:lang w:val="mn-MN"/>
        </w:rPr>
        <w:t>санаар</w:t>
      </w:r>
      <w:r w:rsidRPr="00863C12">
        <w:rPr>
          <w:rFonts w:cs="Arial"/>
          <w:szCs w:val="24"/>
          <w:lang w:val="mn-MN"/>
        </w:rPr>
        <w:t xml:space="preserve"> хуулийн этгээдэд үүсэх зардлын тооцоо</w:t>
      </w:r>
      <w:bookmarkEnd w:id="0"/>
      <w:bookmarkEnd w:id="1"/>
      <w:bookmarkEnd w:id="2"/>
    </w:p>
    <w:p w14:paraId="2F391C10" w14:textId="77777777" w:rsidR="002E133C" w:rsidRPr="00863C12" w:rsidRDefault="002E133C" w:rsidP="002E133C">
      <w:pPr>
        <w:spacing w:after="0" w:line="26" w:lineRule="atLeast"/>
        <w:ind w:firstLine="720"/>
        <w:jc w:val="both"/>
        <w:rPr>
          <w:rFonts w:ascii="Arial" w:hAnsi="Arial" w:cs="Arial"/>
          <w:b/>
          <w:sz w:val="24"/>
          <w:szCs w:val="24"/>
          <w:lang w:val="mn-MN"/>
        </w:rPr>
      </w:pPr>
    </w:p>
    <w:p w14:paraId="3CF66296" w14:textId="1AEED963" w:rsidR="002E133C" w:rsidRPr="00863C12" w:rsidRDefault="002E133C" w:rsidP="002E133C">
      <w:pPr>
        <w:spacing w:after="0" w:line="26" w:lineRule="atLeast"/>
        <w:ind w:firstLine="720"/>
        <w:jc w:val="both"/>
        <w:rPr>
          <w:rFonts w:ascii="Arial" w:hAnsi="Arial" w:cs="Arial"/>
          <w:bCs/>
          <w:sz w:val="24"/>
          <w:szCs w:val="24"/>
          <w:lang w:val="mn-MN"/>
        </w:rPr>
      </w:pPr>
      <w:r w:rsidRPr="00863C12">
        <w:rPr>
          <w:rFonts w:ascii="Arial" w:hAnsi="Arial" w:cs="Arial"/>
          <w:bCs/>
          <w:sz w:val="24"/>
          <w:szCs w:val="24"/>
          <w:lang w:val="mn-MN"/>
        </w:rPr>
        <w:lastRenderedPageBreak/>
        <w:t>Энэ хэсэгт хуулийн төсөл батлагдсанаар хуулийн этгээдийн эрхлэх үйл ажиллагаатай холбоотой гүйцэтгэх үүргийн улмаас үүсэх зардлыг мөнгөн дүнгээр тооцоол</w:t>
      </w:r>
      <w:r w:rsidR="00614549" w:rsidRPr="00863C12">
        <w:rPr>
          <w:rFonts w:ascii="Arial" w:hAnsi="Arial" w:cs="Arial"/>
          <w:bCs/>
          <w:sz w:val="24"/>
          <w:szCs w:val="24"/>
          <w:lang w:val="mn-MN"/>
        </w:rPr>
        <w:t>но</w:t>
      </w:r>
      <w:r w:rsidRPr="00863C12">
        <w:rPr>
          <w:rFonts w:ascii="Arial" w:hAnsi="Arial" w:cs="Arial"/>
          <w:bCs/>
          <w:sz w:val="24"/>
          <w:szCs w:val="24"/>
          <w:lang w:val="mn-MN"/>
        </w:rPr>
        <w:t xml:space="preserve">. Ийнхүү үүсэх зардлыг </w:t>
      </w:r>
      <w:r w:rsidR="00F467E9" w:rsidRPr="00863C12">
        <w:rPr>
          <w:rFonts w:ascii="Arial" w:hAnsi="Arial" w:cs="Arial"/>
          <w:bCs/>
          <w:sz w:val="24"/>
          <w:szCs w:val="24"/>
          <w:lang w:val="mn-MN"/>
        </w:rPr>
        <w:t xml:space="preserve">аргачлалын </w:t>
      </w:r>
      <w:r w:rsidRPr="00863C12">
        <w:rPr>
          <w:rFonts w:ascii="Arial" w:hAnsi="Arial" w:cs="Arial"/>
          <w:bCs/>
          <w:sz w:val="24"/>
          <w:szCs w:val="24"/>
          <w:lang w:val="mn-MN"/>
        </w:rPr>
        <w:t>2 дугаар зүйлийн 2.1 дэх хэсэгт заасны дагуу дараах үе шаттайгаар тооцоолдог. Үүнд:</w:t>
      </w:r>
    </w:p>
    <w:p w14:paraId="5330E6FD" w14:textId="77777777" w:rsidR="002E133C" w:rsidRPr="00863C12" w:rsidRDefault="002E133C" w:rsidP="002E133C">
      <w:pPr>
        <w:spacing w:after="0" w:line="26" w:lineRule="atLeast"/>
        <w:ind w:firstLine="720"/>
        <w:jc w:val="both"/>
        <w:rPr>
          <w:rFonts w:ascii="Arial" w:hAnsi="Arial" w:cs="Arial"/>
          <w:bCs/>
          <w:sz w:val="24"/>
          <w:szCs w:val="24"/>
          <w:lang w:val="mn-MN"/>
        </w:rPr>
      </w:pPr>
    </w:p>
    <w:p w14:paraId="161A513A" w14:textId="5816621C" w:rsidR="002E133C" w:rsidRPr="00863C12" w:rsidRDefault="002E133C" w:rsidP="002E133C">
      <w:pPr>
        <w:pStyle w:val="Heading3"/>
        <w:spacing w:line="26" w:lineRule="atLeast"/>
        <w:ind w:firstLine="720"/>
        <w:rPr>
          <w:rFonts w:cs="Arial"/>
          <w:lang w:val="mn-MN"/>
        </w:rPr>
      </w:pPr>
      <w:bookmarkStart w:id="3" w:name="_Toc117698326"/>
      <w:bookmarkStart w:id="4" w:name="_Toc117753393"/>
      <w:r w:rsidRPr="00863C12">
        <w:rPr>
          <w:rFonts w:cs="Arial"/>
          <w:lang w:val="mn-MN"/>
        </w:rPr>
        <w:t>2.1.</w:t>
      </w:r>
      <w:r w:rsidR="008408C2" w:rsidRPr="00863C12">
        <w:rPr>
          <w:rFonts w:cs="Arial"/>
          <w:lang w:val="mn-MN"/>
        </w:rPr>
        <w:t>х</w:t>
      </w:r>
      <w:r w:rsidRPr="00863C12">
        <w:rPr>
          <w:rFonts w:cs="Arial"/>
          <w:lang w:val="mn-MN"/>
        </w:rPr>
        <w:t>уулийн этгээдийн гүйцэтгэх үүргийг тогтоох;</w:t>
      </w:r>
      <w:bookmarkEnd w:id="3"/>
      <w:bookmarkEnd w:id="4"/>
    </w:p>
    <w:p w14:paraId="0AAAE555" w14:textId="6E001908" w:rsidR="002E133C" w:rsidRPr="00863C12" w:rsidRDefault="002E133C" w:rsidP="002E133C">
      <w:pPr>
        <w:pStyle w:val="Heading3"/>
        <w:spacing w:line="26" w:lineRule="atLeast"/>
        <w:ind w:firstLine="720"/>
        <w:rPr>
          <w:rFonts w:cs="Arial"/>
          <w:lang w:val="mn-MN"/>
        </w:rPr>
      </w:pPr>
      <w:bookmarkStart w:id="5" w:name="_Toc117698327"/>
      <w:bookmarkStart w:id="6" w:name="_Toc117753394"/>
      <w:r w:rsidRPr="00863C12">
        <w:rPr>
          <w:rFonts w:cs="Arial"/>
          <w:lang w:val="mn-MN"/>
        </w:rPr>
        <w:t>2.2.</w:t>
      </w:r>
      <w:r w:rsidR="008408C2" w:rsidRPr="00863C12">
        <w:rPr>
          <w:rFonts w:cs="Arial"/>
          <w:lang w:val="mn-MN"/>
        </w:rPr>
        <w:t>н</w:t>
      </w:r>
      <w:r w:rsidRPr="00863C12">
        <w:rPr>
          <w:rFonts w:cs="Arial"/>
          <w:lang w:val="mn-MN"/>
        </w:rPr>
        <w:t>эг бүрийн зардлыг тооцох;</w:t>
      </w:r>
      <w:bookmarkEnd w:id="5"/>
      <w:bookmarkEnd w:id="6"/>
    </w:p>
    <w:p w14:paraId="592C9763" w14:textId="5022E779" w:rsidR="002E133C" w:rsidRPr="00863C12" w:rsidRDefault="002E133C" w:rsidP="002E133C">
      <w:pPr>
        <w:pStyle w:val="Heading3"/>
        <w:spacing w:line="26" w:lineRule="atLeast"/>
        <w:ind w:firstLine="720"/>
        <w:rPr>
          <w:rFonts w:cs="Arial"/>
          <w:lang w:val="mn-MN"/>
        </w:rPr>
      </w:pPr>
      <w:bookmarkStart w:id="7" w:name="_Toc117698328"/>
      <w:bookmarkStart w:id="8" w:name="_Toc117753395"/>
      <w:r w:rsidRPr="00863C12">
        <w:rPr>
          <w:rFonts w:cs="Arial"/>
          <w:lang w:val="mn-MN"/>
        </w:rPr>
        <w:t>2.3.</w:t>
      </w:r>
      <w:r w:rsidR="008408C2" w:rsidRPr="00863C12">
        <w:rPr>
          <w:rFonts w:cs="Arial"/>
          <w:lang w:val="mn-MN"/>
        </w:rPr>
        <w:t>т</w:t>
      </w:r>
      <w:r w:rsidRPr="00863C12">
        <w:rPr>
          <w:rFonts w:cs="Arial"/>
          <w:lang w:val="mn-MN"/>
        </w:rPr>
        <w:t>оон үзүүлэлтийг тооцох;</w:t>
      </w:r>
      <w:bookmarkEnd w:id="7"/>
      <w:bookmarkEnd w:id="8"/>
    </w:p>
    <w:p w14:paraId="1EB8A2EF" w14:textId="63CD6A9E" w:rsidR="002E133C" w:rsidRPr="00863C12" w:rsidRDefault="002E133C" w:rsidP="002E133C">
      <w:pPr>
        <w:pStyle w:val="Heading3"/>
        <w:spacing w:line="26" w:lineRule="atLeast"/>
        <w:ind w:firstLine="720"/>
        <w:rPr>
          <w:rFonts w:cs="Arial"/>
          <w:lang w:val="mn-MN"/>
        </w:rPr>
      </w:pPr>
      <w:bookmarkStart w:id="9" w:name="_Toc117698329"/>
      <w:bookmarkStart w:id="10" w:name="_Toc117753396"/>
      <w:r w:rsidRPr="00863C12">
        <w:rPr>
          <w:rFonts w:cs="Arial"/>
          <w:lang w:val="mn-MN"/>
        </w:rPr>
        <w:t>2.4.</w:t>
      </w:r>
      <w:r w:rsidR="008408C2" w:rsidRPr="00863C12">
        <w:rPr>
          <w:rFonts w:cs="Arial"/>
          <w:lang w:val="mn-MN"/>
        </w:rPr>
        <w:t>н</w:t>
      </w:r>
      <w:r w:rsidRPr="00863C12">
        <w:rPr>
          <w:rFonts w:cs="Arial"/>
          <w:lang w:val="mn-MN"/>
        </w:rPr>
        <w:t>ийт зардлын дүнг тооцож гаргах;</w:t>
      </w:r>
      <w:bookmarkEnd w:id="9"/>
      <w:bookmarkEnd w:id="10"/>
    </w:p>
    <w:p w14:paraId="2C4F68DE" w14:textId="1E7861FF" w:rsidR="002E133C" w:rsidRPr="00863C12" w:rsidRDefault="002E133C" w:rsidP="002E133C">
      <w:pPr>
        <w:pStyle w:val="Heading3"/>
        <w:spacing w:line="26" w:lineRule="atLeast"/>
        <w:ind w:firstLine="720"/>
        <w:rPr>
          <w:rFonts w:cs="Arial"/>
          <w:lang w:val="mn-MN"/>
        </w:rPr>
      </w:pPr>
      <w:bookmarkStart w:id="11" w:name="_Toc117698330"/>
      <w:bookmarkStart w:id="12" w:name="_Toc117753397"/>
      <w:r w:rsidRPr="00863C12">
        <w:rPr>
          <w:rFonts w:cs="Arial"/>
          <w:lang w:val="mn-MN"/>
        </w:rPr>
        <w:t>2.5.</w:t>
      </w:r>
      <w:r w:rsidR="008408C2" w:rsidRPr="00863C12">
        <w:rPr>
          <w:rFonts w:cs="Arial"/>
          <w:lang w:val="mn-MN"/>
        </w:rPr>
        <w:t>х</w:t>
      </w:r>
      <w:r w:rsidRPr="00863C12">
        <w:rPr>
          <w:rFonts w:cs="Arial"/>
          <w:lang w:val="mn-MN"/>
        </w:rPr>
        <w:t>ялбарчлах боломжийг шалгах;</w:t>
      </w:r>
      <w:bookmarkEnd w:id="11"/>
      <w:bookmarkEnd w:id="12"/>
    </w:p>
    <w:p w14:paraId="7D76CF68" w14:textId="7B26BF88" w:rsidR="002E133C" w:rsidRPr="00863C12" w:rsidRDefault="002E133C" w:rsidP="002E133C">
      <w:pPr>
        <w:pStyle w:val="Heading3"/>
        <w:spacing w:line="26" w:lineRule="atLeast"/>
        <w:ind w:firstLine="720"/>
        <w:rPr>
          <w:rFonts w:cs="Arial"/>
          <w:lang w:val="mn-MN"/>
        </w:rPr>
      </w:pPr>
      <w:bookmarkStart w:id="13" w:name="_Toc117698331"/>
      <w:bookmarkStart w:id="14" w:name="_Toc117753398"/>
      <w:r w:rsidRPr="00863C12">
        <w:rPr>
          <w:rFonts w:cs="Arial"/>
          <w:lang w:val="mn-MN"/>
        </w:rPr>
        <w:t>2.6.</w:t>
      </w:r>
      <w:r w:rsidR="008408C2" w:rsidRPr="00863C12">
        <w:rPr>
          <w:rFonts w:cs="Arial"/>
          <w:lang w:val="mn-MN"/>
        </w:rPr>
        <w:t>н</w:t>
      </w:r>
      <w:r w:rsidRPr="00863C12">
        <w:rPr>
          <w:rFonts w:cs="Arial"/>
          <w:lang w:val="mn-MN"/>
        </w:rPr>
        <w:t>эмэлт зардлыг тооцох.</w:t>
      </w:r>
      <w:bookmarkEnd w:id="13"/>
      <w:bookmarkEnd w:id="14"/>
    </w:p>
    <w:p w14:paraId="29C2CBF4" w14:textId="77777777" w:rsidR="00A40E19" w:rsidRPr="00863C12" w:rsidRDefault="00A40E19" w:rsidP="00A40E19">
      <w:pPr>
        <w:spacing w:after="0" w:line="26" w:lineRule="atLeast"/>
        <w:ind w:firstLine="720"/>
        <w:jc w:val="both"/>
        <w:rPr>
          <w:rFonts w:ascii="Arial" w:hAnsi="Arial" w:cs="Arial"/>
          <w:sz w:val="24"/>
          <w:szCs w:val="24"/>
          <w:lang w:val="mn-MN"/>
        </w:rPr>
      </w:pPr>
    </w:p>
    <w:p w14:paraId="212D48A5" w14:textId="77777777" w:rsidR="00863C12" w:rsidRPr="007E31E0" w:rsidRDefault="00863C12" w:rsidP="00863C12">
      <w:pPr>
        <w:spacing w:after="0" w:line="240" w:lineRule="auto"/>
        <w:ind w:firstLine="567"/>
        <w:jc w:val="both"/>
        <w:rPr>
          <w:rFonts w:ascii="Arial" w:hAnsi="Arial" w:cs="Arial"/>
          <w:bCs/>
          <w:sz w:val="24"/>
          <w:szCs w:val="24"/>
          <w:lang w:val="mn-MN"/>
        </w:rPr>
      </w:pPr>
      <w:r w:rsidRPr="007E31E0">
        <w:rPr>
          <w:rFonts w:ascii="Arial" w:hAnsi="Arial" w:cs="Arial"/>
          <w:b/>
          <w:bCs/>
          <w:sz w:val="24"/>
          <w:szCs w:val="24"/>
          <w:lang w:val="mn-MN"/>
        </w:rPr>
        <w:t xml:space="preserve">1. Хуулийн этгээдийн зардлын тооцоо: </w:t>
      </w:r>
    </w:p>
    <w:p w14:paraId="61489B56" w14:textId="77777777" w:rsidR="00863C12" w:rsidRPr="007E31E0" w:rsidRDefault="00863C12" w:rsidP="00863C12">
      <w:pPr>
        <w:spacing w:after="0" w:line="240" w:lineRule="auto"/>
        <w:ind w:firstLine="567"/>
        <w:jc w:val="both"/>
        <w:rPr>
          <w:rFonts w:ascii="Arial" w:hAnsi="Arial" w:cs="Arial"/>
          <w:bCs/>
          <w:sz w:val="24"/>
          <w:szCs w:val="24"/>
          <w:lang w:val="mn-MN"/>
        </w:rPr>
      </w:pPr>
      <w:r w:rsidRPr="007E31E0">
        <w:rPr>
          <w:rFonts w:ascii="Arial" w:hAnsi="Arial" w:cs="Arial"/>
          <w:bCs/>
          <w:sz w:val="24"/>
          <w:szCs w:val="24"/>
          <w:lang w:val="mn-MN"/>
        </w:rPr>
        <w:t xml:space="preserve">Ажил хөдөлмөр эрхэлж байгаа өндөр насны тэтгэвэр авагчийг нас харгалзахгүйгээр, Цэргийн алба хаагчийн тэтгэвэр, тэтгэмжийн тухай хуулийн 8 дугаар зүйлийн 8.1 дэх хэсэгт заасан тэтгэвэр авагч ажил хөдөлмөр эрхэлж байгаа тохиолдолд өөрөө хүсвэл тэтгэврийн даатгалын шимтгэл төлөхгүй байх зохицуулалтыг тусгасан байна. Эдгээр зохицуулалтын үр дүнд нийгмийн даатгалын шимтгэл 108.8 тэрбум төгрөгөөр буурах бөгөөд үүнээс 56.3 тэрбум төгрөг нь ажил олгогчийн төлөх шимтгэлийн зардлын бууралт байна. </w:t>
      </w:r>
    </w:p>
    <w:p w14:paraId="0ACDA556" w14:textId="77777777" w:rsidR="002E133C" w:rsidRPr="00863C12" w:rsidRDefault="002E133C" w:rsidP="002E133C">
      <w:pPr>
        <w:spacing w:after="0" w:line="26" w:lineRule="atLeast"/>
        <w:ind w:firstLine="720"/>
        <w:jc w:val="both"/>
        <w:rPr>
          <w:rFonts w:ascii="Arial" w:hAnsi="Arial" w:cs="Arial"/>
          <w:sz w:val="24"/>
          <w:szCs w:val="24"/>
          <w:lang w:val="mn-MN"/>
        </w:rPr>
      </w:pPr>
    </w:p>
    <w:p w14:paraId="0E4C7BE2" w14:textId="64B5884C" w:rsidR="002E133C" w:rsidRPr="00863C12" w:rsidRDefault="002E133C" w:rsidP="002E133C">
      <w:pPr>
        <w:pStyle w:val="Heading1"/>
        <w:spacing w:before="0" w:line="26" w:lineRule="atLeast"/>
        <w:rPr>
          <w:rFonts w:cs="Arial"/>
          <w:szCs w:val="24"/>
          <w:lang w:val="mn-MN"/>
        </w:rPr>
      </w:pPr>
      <w:bookmarkStart w:id="15" w:name="_Toc117697201"/>
      <w:bookmarkStart w:id="16" w:name="_Toc117698319"/>
      <w:bookmarkStart w:id="17" w:name="_Toc117753399"/>
      <w:r w:rsidRPr="00863C12">
        <w:rPr>
          <w:rFonts w:cs="Arial"/>
          <w:szCs w:val="24"/>
          <w:lang w:val="mn-MN"/>
        </w:rPr>
        <w:t xml:space="preserve">Гурав. </w:t>
      </w:r>
      <w:r w:rsidR="00D777EF" w:rsidRPr="00863C12">
        <w:rPr>
          <w:rFonts w:cs="Arial"/>
          <w:szCs w:val="24"/>
          <w:lang w:val="mn-MN"/>
        </w:rPr>
        <w:t xml:space="preserve">Нийгмийн даатгалын ерөнхий хуульд нэмэлт, өөрчлөлт оруулах тухай хуулийн төсөл </w:t>
      </w:r>
      <w:r w:rsidRPr="00863C12">
        <w:rPr>
          <w:rFonts w:cs="Arial"/>
          <w:szCs w:val="24"/>
          <w:lang w:val="mn-MN"/>
        </w:rPr>
        <w:t>батлагд</w:t>
      </w:r>
      <w:r w:rsidR="00CE7CEC" w:rsidRPr="00863C12">
        <w:rPr>
          <w:rFonts w:cs="Arial"/>
          <w:szCs w:val="24"/>
          <w:lang w:val="mn-MN"/>
        </w:rPr>
        <w:t>санаар</w:t>
      </w:r>
      <w:r w:rsidRPr="00863C12">
        <w:rPr>
          <w:rFonts w:cs="Arial"/>
          <w:szCs w:val="24"/>
          <w:lang w:val="mn-MN"/>
        </w:rPr>
        <w:t xml:space="preserve"> иргэнд үүсэх зардлын тооцоо</w:t>
      </w:r>
      <w:bookmarkEnd w:id="15"/>
      <w:bookmarkEnd w:id="16"/>
      <w:bookmarkEnd w:id="17"/>
    </w:p>
    <w:p w14:paraId="273943F3" w14:textId="77777777" w:rsidR="002E133C" w:rsidRPr="00863C12" w:rsidRDefault="002E133C" w:rsidP="002E133C">
      <w:pPr>
        <w:spacing w:after="0" w:line="26" w:lineRule="atLeast"/>
        <w:rPr>
          <w:rFonts w:ascii="Arial" w:hAnsi="Arial" w:cs="Arial"/>
          <w:sz w:val="24"/>
          <w:szCs w:val="24"/>
          <w:lang w:val="mn-MN"/>
        </w:rPr>
      </w:pPr>
    </w:p>
    <w:p w14:paraId="5AF0999E" w14:textId="640FC7BB" w:rsidR="002E133C" w:rsidRPr="00863C12" w:rsidRDefault="002E133C" w:rsidP="002E133C">
      <w:pPr>
        <w:spacing w:after="0" w:line="26" w:lineRule="atLeast"/>
        <w:ind w:firstLine="720"/>
        <w:jc w:val="both"/>
        <w:rPr>
          <w:rFonts w:ascii="Arial" w:hAnsi="Arial" w:cs="Arial"/>
          <w:sz w:val="24"/>
          <w:szCs w:val="24"/>
          <w:lang w:val="mn-MN"/>
        </w:rPr>
      </w:pPr>
      <w:r w:rsidRPr="00863C12">
        <w:rPr>
          <w:rFonts w:ascii="Arial" w:hAnsi="Arial" w:cs="Arial"/>
          <w:sz w:val="24"/>
          <w:szCs w:val="24"/>
          <w:lang w:val="mn-MN"/>
        </w:rPr>
        <w:t xml:space="preserve">Хуулийн төсөл батлагдсанаар иргэнд үүсэх зардлыг </w:t>
      </w:r>
      <w:r w:rsidR="00C306D5" w:rsidRPr="00863C12">
        <w:rPr>
          <w:rFonts w:ascii="Arial" w:hAnsi="Arial" w:cs="Arial"/>
          <w:sz w:val="24"/>
          <w:szCs w:val="24"/>
          <w:lang w:val="mn-MN"/>
        </w:rPr>
        <w:t xml:space="preserve">аргачлалын </w:t>
      </w:r>
      <w:r w:rsidRPr="00863C12">
        <w:rPr>
          <w:rFonts w:ascii="Arial" w:hAnsi="Arial" w:cs="Arial"/>
          <w:sz w:val="24"/>
          <w:szCs w:val="24"/>
          <w:lang w:val="mn-MN"/>
        </w:rPr>
        <w:t>3 дугаар зүйлийн 3.1 дэх хэсэгт заасны дагуу дараах дарааллыг баримт</w:t>
      </w:r>
      <w:r w:rsidR="00EA3A1B" w:rsidRPr="00863C12">
        <w:rPr>
          <w:rFonts w:ascii="Arial" w:hAnsi="Arial" w:cs="Arial"/>
          <w:sz w:val="24"/>
          <w:szCs w:val="24"/>
          <w:lang w:val="mn-MN"/>
        </w:rPr>
        <w:t>лан тогтооно</w:t>
      </w:r>
      <w:r w:rsidRPr="00863C12">
        <w:rPr>
          <w:rFonts w:ascii="Arial" w:hAnsi="Arial" w:cs="Arial"/>
          <w:sz w:val="24"/>
          <w:szCs w:val="24"/>
          <w:lang w:val="mn-MN"/>
        </w:rPr>
        <w:t>. Үүнд:</w:t>
      </w:r>
    </w:p>
    <w:p w14:paraId="1325379E" w14:textId="77777777" w:rsidR="002E133C" w:rsidRPr="00863C12" w:rsidRDefault="002E133C" w:rsidP="002E133C">
      <w:pPr>
        <w:pStyle w:val="Heading3"/>
        <w:spacing w:line="26" w:lineRule="atLeast"/>
        <w:ind w:firstLine="720"/>
        <w:rPr>
          <w:rFonts w:cs="Arial"/>
          <w:lang w:val="mn-MN"/>
        </w:rPr>
      </w:pPr>
      <w:bookmarkStart w:id="18" w:name="_Toc117698320"/>
      <w:bookmarkStart w:id="19" w:name="_Toc117753400"/>
      <w:r w:rsidRPr="00863C12">
        <w:rPr>
          <w:rFonts w:cs="Arial"/>
          <w:lang w:val="mn-MN"/>
        </w:rPr>
        <w:t>3.1.иргэний гүйцэтгэх үүргийг тогтоох;</w:t>
      </w:r>
      <w:bookmarkEnd w:id="18"/>
      <w:bookmarkEnd w:id="19"/>
    </w:p>
    <w:p w14:paraId="15D36F22" w14:textId="77777777" w:rsidR="002E133C" w:rsidRPr="00863C12" w:rsidRDefault="002E133C" w:rsidP="002E133C">
      <w:pPr>
        <w:pStyle w:val="Heading3"/>
        <w:spacing w:line="26" w:lineRule="atLeast"/>
        <w:ind w:firstLine="720"/>
        <w:rPr>
          <w:rFonts w:cs="Arial"/>
          <w:lang w:val="mn-MN"/>
        </w:rPr>
      </w:pPr>
      <w:bookmarkStart w:id="20" w:name="_Toc117698321"/>
      <w:bookmarkStart w:id="21" w:name="_Toc117753401"/>
      <w:r w:rsidRPr="00863C12">
        <w:rPr>
          <w:rFonts w:cs="Arial"/>
          <w:lang w:val="mn-MN"/>
        </w:rPr>
        <w:t>3.2.цаг хугацаа болон гарч болох зардлыг тооцох;</w:t>
      </w:r>
      <w:bookmarkEnd w:id="20"/>
      <w:bookmarkEnd w:id="21"/>
    </w:p>
    <w:p w14:paraId="6B5B30CF" w14:textId="77777777" w:rsidR="002E133C" w:rsidRPr="00863C12" w:rsidRDefault="002E133C" w:rsidP="002E133C">
      <w:pPr>
        <w:pStyle w:val="Heading3"/>
        <w:spacing w:line="26" w:lineRule="atLeast"/>
        <w:ind w:firstLine="720"/>
        <w:rPr>
          <w:rFonts w:cs="Arial"/>
          <w:lang w:val="mn-MN"/>
        </w:rPr>
      </w:pPr>
      <w:bookmarkStart w:id="22" w:name="_Toc117698322"/>
      <w:bookmarkStart w:id="23" w:name="_Toc117753402"/>
      <w:r w:rsidRPr="00863C12">
        <w:rPr>
          <w:rFonts w:cs="Arial"/>
          <w:lang w:val="mn-MN"/>
        </w:rPr>
        <w:t>3.3.тоон үзүүлэлтийг тооцох;</w:t>
      </w:r>
      <w:bookmarkEnd w:id="22"/>
      <w:bookmarkEnd w:id="23"/>
    </w:p>
    <w:p w14:paraId="246C5DA7" w14:textId="77777777" w:rsidR="002E133C" w:rsidRPr="00863C12" w:rsidRDefault="002E133C" w:rsidP="002E133C">
      <w:pPr>
        <w:pStyle w:val="Heading3"/>
        <w:spacing w:line="26" w:lineRule="atLeast"/>
        <w:ind w:firstLine="720"/>
        <w:rPr>
          <w:rFonts w:cs="Arial"/>
          <w:lang w:val="mn-MN"/>
        </w:rPr>
      </w:pPr>
      <w:bookmarkStart w:id="24" w:name="_Toc117698323"/>
      <w:bookmarkStart w:id="25" w:name="_Toc117753403"/>
      <w:r w:rsidRPr="00863C12">
        <w:rPr>
          <w:rFonts w:cs="Arial"/>
          <w:lang w:val="mn-MN"/>
        </w:rPr>
        <w:t>3.4.нийт дүнг тооцож гаргах;</w:t>
      </w:r>
      <w:bookmarkEnd w:id="24"/>
      <w:bookmarkEnd w:id="25"/>
    </w:p>
    <w:p w14:paraId="6C518B3C" w14:textId="77777777" w:rsidR="002E133C" w:rsidRPr="00863C12" w:rsidRDefault="002E133C" w:rsidP="002E133C">
      <w:pPr>
        <w:pStyle w:val="Heading3"/>
        <w:spacing w:line="26" w:lineRule="atLeast"/>
        <w:ind w:firstLine="720"/>
        <w:rPr>
          <w:rFonts w:cs="Arial"/>
          <w:lang w:val="mn-MN"/>
        </w:rPr>
      </w:pPr>
      <w:bookmarkStart w:id="26" w:name="_Toc117698324"/>
      <w:bookmarkStart w:id="27" w:name="_Toc117753404"/>
      <w:r w:rsidRPr="00863C12">
        <w:rPr>
          <w:rFonts w:cs="Arial"/>
          <w:lang w:val="mn-MN"/>
        </w:rPr>
        <w:t>3.5.хялбарчлах боломжийг шалгах.</w:t>
      </w:r>
      <w:bookmarkEnd w:id="26"/>
      <w:bookmarkEnd w:id="27"/>
    </w:p>
    <w:p w14:paraId="0F576626" w14:textId="77777777" w:rsidR="002E133C" w:rsidRPr="00863C12" w:rsidRDefault="002E133C" w:rsidP="002E133C">
      <w:pPr>
        <w:spacing w:after="0" w:line="26" w:lineRule="atLeast"/>
        <w:rPr>
          <w:rFonts w:ascii="Arial" w:hAnsi="Arial" w:cs="Arial"/>
          <w:sz w:val="24"/>
          <w:szCs w:val="24"/>
          <w:lang w:val="mn-MN"/>
        </w:rPr>
      </w:pPr>
    </w:p>
    <w:p w14:paraId="749042FE" w14:textId="77777777" w:rsidR="00863C12" w:rsidRPr="007E31E0" w:rsidRDefault="00863C12" w:rsidP="00863C12">
      <w:pPr>
        <w:spacing w:after="0" w:line="240" w:lineRule="auto"/>
        <w:ind w:firstLine="567"/>
        <w:jc w:val="both"/>
        <w:rPr>
          <w:rFonts w:ascii="Arial" w:hAnsi="Arial" w:cs="Arial"/>
          <w:bCs/>
          <w:sz w:val="24"/>
          <w:szCs w:val="24"/>
          <w:lang w:val="mn-MN"/>
        </w:rPr>
      </w:pPr>
      <w:r w:rsidRPr="007E31E0">
        <w:rPr>
          <w:rFonts w:ascii="Arial" w:hAnsi="Arial" w:cs="Arial"/>
          <w:bCs/>
          <w:sz w:val="24"/>
          <w:szCs w:val="24"/>
          <w:lang w:val="mn-MN"/>
        </w:rPr>
        <w:t xml:space="preserve">Нийгмийн даатгалын ерөнхий хуульд нэмэлт, өөрчлөлт оруулах тухай хуулийн төсөлд туссан дээрх заалтын нөлөөгөөр ахмад настанд нийт 52.5 тэрбум төгрөгийн хэмнэлтийг бий болгохоос гадна тэдний хөдөлмөр эрхлэлтийг нэмэгдүүлэхэд эерэг нөлөө үзүүлэхээр байна. </w:t>
      </w:r>
    </w:p>
    <w:p w14:paraId="5D66F81E" w14:textId="77777777" w:rsidR="00863C12" w:rsidRPr="007E31E0" w:rsidRDefault="00863C12" w:rsidP="00863C12">
      <w:pPr>
        <w:spacing w:after="0" w:line="240" w:lineRule="auto"/>
        <w:ind w:firstLine="567"/>
        <w:jc w:val="both"/>
        <w:rPr>
          <w:rFonts w:ascii="Arial" w:hAnsi="Arial" w:cs="Arial"/>
          <w:bCs/>
          <w:sz w:val="24"/>
          <w:szCs w:val="24"/>
          <w:lang w:val="mn-MN"/>
        </w:rPr>
      </w:pPr>
      <w:r w:rsidRPr="007E31E0">
        <w:rPr>
          <w:rFonts w:ascii="Arial" w:hAnsi="Arial" w:cs="Arial"/>
          <w:bCs/>
          <w:sz w:val="24"/>
          <w:szCs w:val="24"/>
          <w:lang w:val="mn-MN"/>
        </w:rPr>
        <w:t xml:space="preserve">Хуулийн төслийн хүрээнд иргэн, даатгуулагчид нэмэлт зардал үүсгэх хуулийн зохицуулалт ороогүй болно. </w:t>
      </w:r>
    </w:p>
    <w:p w14:paraId="59F048F6" w14:textId="77777777" w:rsidR="00D777EF" w:rsidRPr="00863C12" w:rsidRDefault="00D777EF" w:rsidP="002E133C">
      <w:pPr>
        <w:spacing w:after="0" w:line="26" w:lineRule="atLeast"/>
        <w:ind w:firstLine="720"/>
        <w:jc w:val="both"/>
        <w:rPr>
          <w:rFonts w:ascii="Arial" w:hAnsi="Arial" w:cs="Arial"/>
          <w:sz w:val="24"/>
          <w:szCs w:val="24"/>
          <w:lang w:val="mn-MN"/>
        </w:rPr>
      </w:pPr>
    </w:p>
    <w:p w14:paraId="722BF289" w14:textId="39EFF9A7" w:rsidR="002E133C" w:rsidRPr="00863C12" w:rsidRDefault="002E133C" w:rsidP="002E133C">
      <w:pPr>
        <w:pStyle w:val="Heading1"/>
        <w:spacing w:before="0" w:line="26" w:lineRule="atLeast"/>
        <w:rPr>
          <w:rFonts w:cs="Arial"/>
          <w:szCs w:val="24"/>
          <w:lang w:val="mn-MN"/>
        </w:rPr>
      </w:pPr>
      <w:bookmarkStart w:id="28" w:name="_Toc117697203"/>
      <w:bookmarkStart w:id="29" w:name="_Toc117698332"/>
      <w:bookmarkStart w:id="30" w:name="_Toc117753405"/>
      <w:r w:rsidRPr="00863C12">
        <w:rPr>
          <w:rFonts w:cs="Arial"/>
          <w:szCs w:val="24"/>
          <w:lang w:val="mn-MN"/>
        </w:rPr>
        <w:t xml:space="preserve">Дөрөв. </w:t>
      </w:r>
      <w:r w:rsidR="00D777EF" w:rsidRPr="00863C12">
        <w:rPr>
          <w:rFonts w:cs="Arial"/>
          <w:szCs w:val="24"/>
          <w:lang w:val="mn-MN"/>
        </w:rPr>
        <w:t xml:space="preserve">Нийгмийн даатгалын ерөнхий хуульд нэмэлт, өөрчлөлт оруулах тухай хуулийн төсөл </w:t>
      </w:r>
      <w:r w:rsidRPr="00863C12">
        <w:rPr>
          <w:rFonts w:cs="Arial"/>
          <w:szCs w:val="24"/>
          <w:lang w:val="mn-MN"/>
        </w:rPr>
        <w:t>батлагд</w:t>
      </w:r>
      <w:r w:rsidR="004A7D2C" w:rsidRPr="00863C12">
        <w:rPr>
          <w:rFonts w:cs="Arial"/>
          <w:szCs w:val="24"/>
          <w:lang w:val="mn-MN"/>
        </w:rPr>
        <w:t>санаар</w:t>
      </w:r>
      <w:r w:rsidRPr="00863C12">
        <w:rPr>
          <w:rFonts w:cs="Arial"/>
          <w:szCs w:val="24"/>
          <w:lang w:val="mn-MN"/>
        </w:rPr>
        <w:t xml:space="preserve"> улсын төсөвт үүсэх зардлын тооцоо</w:t>
      </w:r>
      <w:bookmarkEnd w:id="28"/>
      <w:bookmarkEnd w:id="29"/>
      <w:bookmarkEnd w:id="30"/>
    </w:p>
    <w:p w14:paraId="1B046490" w14:textId="77777777" w:rsidR="002A264B" w:rsidRPr="00863C12" w:rsidRDefault="002A264B" w:rsidP="002A264B">
      <w:pPr>
        <w:pStyle w:val="NormalWeb"/>
        <w:spacing w:before="0" w:beforeAutospacing="0" w:after="0" w:afterAutospacing="0" w:line="26" w:lineRule="atLeast"/>
        <w:ind w:firstLine="720"/>
        <w:jc w:val="both"/>
        <w:rPr>
          <w:rFonts w:ascii="Arial" w:hAnsi="Arial" w:cs="Arial"/>
          <w:lang w:val="mn-MN"/>
        </w:rPr>
      </w:pPr>
    </w:p>
    <w:p w14:paraId="1292A648" w14:textId="61B6FC01" w:rsidR="002A264B" w:rsidRPr="00863C12" w:rsidRDefault="00C07B08" w:rsidP="002A264B">
      <w:pPr>
        <w:pStyle w:val="NormalWeb"/>
        <w:spacing w:before="0" w:beforeAutospacing="0" w:after="0" w:afterAutospacing="0" w:line="26" w:lineRule="atLeast"/>
        <w:ind w:firstLine="720"/>
        <w:jc w:val="both"/>
        <w:rPr>
          <w:rFonts w:ascii="Arial" w:hAnsi="Arial" w:cs="Arial"/>
          <w:lang w:val="mn-MN"/>
        </w:rPr>
      </w:pPr>
      <w:r w:rsidRPr="00863C12">
        <w:rPr>
          <w:rFonts w:ascii="Arial" w:hAnsi="Arial" w:cs="Arial"/>
          <w:lang w:val="mn-MN"/>
        </w:rPr>
        <w:t xml:space="preserve">Аргачлалын </w:t>
      </w:r>
      <w:r w:rsidR="002A264B" w:rsidRPr="00863C12">
        <w:rPr>
          <w:rFonts w:ascii="Arial" w:hAnsi="Arial" w:cs="Arial"/>
          <w:lang w:val="mn-MN"/>
        </w:rPr>
        <w:t xml:space="preserve">4.1-д </w:t>
      </w:r>
      <w:r w:rsidR="001B515B" w:rsidRPr="00863C12">
        <w:rPr>
          <w:rFonts w:ascii="Arial" w:hAnsi="Arial" w:cs="Arial"/>
          <w:lang w:val="mn-MN"/>
        </w:rPr>
        <w:t xml:space="preserve">зааснаар </w:t>
      </w:r>
      <w:r w:rsidR="002A264B" w:rsidRPr="00863C12">
        <w:rPr>
          <w:rFonts w:ascii="Arial" w:hAnsi="Arial" w:cs="Arial"/>
          <w:lang w:val="mn-MN"/>
        </w:rPr>
        <w:t xml:space="preserve">Төрийн байгууллагын зардал буюу улсын төсөвт үүсэх ачааллыг тооцохын тулд тухайн ажил үйлчилгээг гүйцэтгэхэд шаардагдах хүний нөөцийн хэрэгцээг тодорхойлж, түүнд шаардагдах зардлыг тооцож гаргах бөгөөд уг ажлыг дараах үе шаттайгаар зохион байгуулна: </w:t>
      </w:r>
    </w:p>
    <w:p w14:paraId="1F01D3F4" w14:textId="77777777" w:rsidR="002A264B" w:rsidRPr="00863C12" w:rsidRDefault="002A264B" w:rsidP="002A264B">
      <w:pPr>
        <w:pStyle w:val="NormalWeb"/>
        <w:spacing w:before="0" w:beforeAutospacing="0" w:after="0" w:afterAutospacing="0" w:line="26" w:lineRule="atLeast"/>
        <w:ind w:firstLine="720"/>
        <w:jc w:val="both"/>
        <w:rPr>
          <w:rFonts w:ascii="Arial" w:hAnsi="Arial" w:cs="Arial"/>
          <w:lang w:val="mn-MN"/>
        </w:rPr>
      </w:pPr>
    </w:p>
    <w:p w14:paraId="242CE92C" w14:textId="77777777" w:rsidR="002A264B" w:rsidRPr="00863C12" w:rsidRDefault="002A264B" w:rsidP="002A264B">
      <w:pPr>
        <w:pStyle w:val="NormalWeb"/>
        <w:spacing w:before="0" w:beforeAutospacing="0" w:after="0" w:afterAutospacing="0" w:line="26" w:lineRule="atLeast"/>
        <w:ind w:left="720"/>
        <w:jc w:val="both"/>
        <w:rPr>
          <w:rFonts w:ascii="Arial" w:hAnsi="Arial" w:cs="Arial"/>
          <w:lang w:val="mn-MN"/>
        </w:rPr>
      </w:pPr>
      <w:r w:rsidRPr="00863C12">
        <w:rPr>
          <w:rFonts w:ascii="Arial" w:hAnsi="Arial" w:cs="Arial"/>
          <w:lang w:val="mn-MN"/>
        </w:rPr>
        <w:t>4.1.төрийн байгууллагын гүйцэтгэх үүрэг буюу ажил, үйлчилгээг тодорхойлох;</w:t>
      </w:r>
    </w:p>
    <w:p w14:paraId="69F9F2EE" w14:textId="77777777" w:rsidR="002A264B" w:rsidRPr="00863C12" w:rsidRDefault="002A264B" w:rsidP="002A264B">
      <w:pPr>
        <w:pStyle w:val="NormalWeb"/>
        <w:spacing w:before="0" w:beforeAutospacing="0" w:after="0" w:afterAutospacing="0" w:line="26" w:lineRule="atLeast"/>
        <w:ind w:left="720"/>
        <w:jc w:val="both"/>
        <w:rPr>
          <w:rFonts w:ascii="Arial" w:hAnsi="Arial" w:cs="Arial"/>
          <w:lang w:val="mn-MN"/>
        </w:rPr>
      </w:pPr>
      <w:r w:rsidRPr="00863C12">
        <w:rPr>
          <w:rFonts w:ascii="Arial" w:hAnsi="Arial" w:cs="Arial"/>
          <w:lang w:val="mn-MN"/>
        </w:rPr>
        <w:t>4.2.уг чиг үүргийг гүйцэтгэх хүний нөөцийг тодорхойлох;</w:t>
      </w:r>
    </w:p>
    <w:p w14:paraId="34E98C46" w14:textId="77777777" w:rsidR="002A264B" w:rsidRPr="00863C12" w:rsidRDefault="002A264B" w:rsidP="002A264B">
      <w:pPr>
        <w:pStyle w:val="NormalWeb"/>
        <w:spacing w:before="0" w:beforeAutospacing="0" w:after="0" w:afterAutospacing="0" w:line="26" w:lineRule="atLeast"/>
        <w:ind w:left="720"/>
        <w:jc w:val="both"/>
        <w:rPr>
          <w:rFonts w:ascii="Arial" w:hAnsi="Arial" w:cs="Arial"/>
          <w:lang w:val="mn-MN"/>
        </w:rPr>
      </w:pPr>
      <w:r w:rsidRPr="00863C12">
        <w:rPr>
          <w:rFonts w:ascii="Arial" w:hAnsi="Arial" w:cs="Arial"/>
          <w:lang w:val="mn-MN"/>
        </w:rPr>
        <w:t>4.3.гарах зардлыг урьдчилан тооцох;</w:t>
      </w:r>
    </w:p>
    <w:p w14:paraId="7EB71DE9" w14:textId="77777777" w:rsidR="002A264B" w:rsidRPr="00863C12" w:rsidRDefault="002A264B" w:rsidP="002A264B">
      <w:pPr>
        <w:pStyle w:val="NormalWeb"/>
        <w:spacing w:before="0" w:beforeAutospacing="0" w:after="0" w:afterAutospacing="0" w:line="26" w:lineRule="atLeast"/>
        <w:ind w:left="720"/>
        <w:jc w:val="both"/>
        <w:rPr>
          <w:rFonts w:ascii="Arial" w:hAnsi="Arial" w:cs="Arial"/>
          <w:lang w:val="mn-MN"/>
        </w:rPr>
      </w:pPr>
      <w:r w:rsidRPr="00863C12">
        <w:rPr>
          <w:rFonts w:ascii="Arial" w:hAnsi="Arial" w:cs="Arial"/>
          <w:lang w:val="mn-MN"/>
        </w:rPr>
        <w:lastRenderedPageBreak/>
        <w:t>4.4.зардлыг нэгтгэн тооцох;</w:t>
      </w:r>
    </w:p>
    <w:p w14:paraId="52037498" w14:textId="77777777" w:rsidR="002A264B" w:rsidRPr="00863C12" w:rsidRDefault="002A264B" w:rsidP="002A264B">
      <w:pPr>
        <w:pStyle w:val="NormalWeb"/>
        <w:spacing w:before="0" w:beforeAutospacing="0" w:after="0" w:afterAutospacing="0" w:line="26" w:lineRule="atLeast"/>
        <w:ind w:left="720"/>
        <w:jc w:val="both"/>
        <w:rPr>
          <w:rFonts w:ascii="Arial" w:hAnsi="Arial" w:cs="Arial"/>
          <w:lang w:val="mn-MN"/>
        </w:rPr>
      </w:pPr>
      <w:r w:rsidRPr="00863C12">
        <w:rPr>
          <w:rFonts w:ascii="Arial" w:hAnsi="Arial" w:cs="Arial"/>
          <w:lang w:val="mn-MN"/>
        </w:rPr>
        <w:t xml:space="preserve">4.5.хувилбарыг нягталж, үр дүнг танилцуулахаар тогтоосон. </w:t>
      </w:r>
    </w:p>
    <w:p w14:paraId="699CDC49" w14:textId="77777777" w:rsidR="002A264B" w:rsidRPr="00863C12" w:rsidRDefault="002A264B" w:rsidP="002A264B">
      <w:pPr>
        <w:pStyle w:val="NormalWeb"/>
        <w:spacing w:before="0" w:beforeAutospacing="0" w:after="0" w:afterAutospacing="0" w:line="26" w:lineRule="atLeast"/>
        <w:ind w:firstLine="720"/>
        <w:jc w:val="both"/>
        <w:rPr>
          <w:rFonts w:ascii="Arial" w:hAnsi="Arial" w:cs="Arial"/>
          <w:lang w:val="mn-MN"/>
        </w:rPr>
      </w:pPr>
    </w:p>
    <w:p w14:paraId="6432E657" w14:textId="77777777" w:rsidR="00640003" w:rsidRPr="00863C12" w:rsidRDefault="00640003" w:rsidP="00640003">
      <w:pPr>
        <w:ind w:firstLine="720"/>
        <w:jc w:val="both"/>
        <w:rPr>
          <w:rFonts w:ascii="Arial" w:hAnsi="Arial" w:cs="Arial"/>
          <w:sz w:val="24"/>
          <w:szCs w:val="24"/>
          <w:lang w:val="mn-MN"/>
        </w:rPr>
      </w:pPr>
      <w:r w:rsidRPr="00863C12">
        <w:rPr>
          <w:rFonts w:ascii="Arial" w:hAnsi="Arial" w:cs="Arial"/>
          <w:sz w:val="24"/>
          <w:szCs w:val="24"/>
          <w:lang w:val="mn-MN"/>
        </w:rPr>
        <w:t xml:space="preserve">Нийгмийн даатгалын ерөнхий хуулийн 7 дугаар зүйлийн 7.6 дахь хэсэгт өндөр насны тэтгэврийн нас нь 65 нас (энэ насыг 2018 оноос жил бүр 3 сараар нэмэгдүүлэн 65 нас хүргэнэ)-нд хүрсэн өндөр насны тэтгэвэр авагч нь ажил олгогч, хүнтэй хөдөлмөрийн гэрээ, ажил гүйцэтгэх, хөлсөөр ажиллах болон тэдгээртэй адилтгах гэрээний дагуу ажиллаж байгаа тохиолдолд тэтгэврийн даатгалд даатгуулахгүй байж болохоор зохицуулсан. </w:t>
      </w:r>
    </w:p>
    <w:p w14:paraId="59C33CB1" w14:textId="0D9826D1" w:rsidR="00863C12" w:rsidRPr="007E31E0" w:rsidRDefault="00863C12" w:rsidP="00863C12">
      <w:pPr>
        <w:spacing w:after="0" w:line="240" w:lineRule="auto"/>
        <w:ind w:firstLine="567"/>
        <w:jc w:val="both"/>
        <w:rPr>
          <w:rFonts w:ascii="Arial" w:hAnsi="Arial" w:cs="Arial"/>
          <w:bCs/>
          <w:sz w:val="24"/>
          <w:szCs w:val="24"/>
          <w:lang w:val="mn-MN"/>
        </w:rPr>
      </w:pPr>
      <w:r w:rsidRPr="007E31E0">
        <w:rPr>
          <w:rFonts w:ascii="Arial" w:hAnsi="Arial" w:cs="Arial"/>
          <w:bCs/>
          <w:sz w:val="24"/>
          <w:szCs w:val="24"/>
          <w:lang w:val="mn-MN"/>
        </w:rPr>
        <w:t>Шимтгэл бууруулж буй дээрх зохицуулалтын үр дүнд 2026 онд нийт тэтгэврийн даатгалын сан 95.8 тэрбум төгрөгөөр буурч энэ хэмжээгээр улсын төсвийн санхүүжилтийн хэмжээг мөн хэмжээгээр нэмэгдүүлэх шаардлага бий болгож байна.</w:t>
      </w:r>
    </w:p>
    <w:p w14:paraId="31FC3E0D" w14:textId="77777777" w:rsidR="00863C12" w:rsidRPr="007E31E0" w:rsidRDefault="00863C12" w:rsidP="00863C12">
      <w:pPr>
        <w:spacing w:after="0" w:line="240" w:lineRule="auto"/>
        <w:ind w:firstLine="567"/>
        <w:jc w:val="both"/>
        <w:rPr>
          <w:rFonts w:ascii="Arial" w:hAnsi="Arial" w:cs="Arial"/>
          <w:bCs/>
          <w:sz w:val="24"/>
          <w:szCs w:val="24"/>
          <w:lang w:val="mn-MN"/>
        </w:rPr>
      </w:pPr>
    </w:p>
    <w:p w14:paraId="34E533D8" w14:textId="77777777" w:rsidR="00863C12" w:rsidRPr="007E31E0" w:rsidRDefault="00863C12" w:rsidP="00863C12">
      <w:pPr>
        <w:spacing w:after="0" w:line="240" w:lineRule="auto"/>
        <w:ind w:left="1134" w:right="1274"/>
        <w:jc w:val="center"/>
        <w:rPr>
          <w:rFonts w:ascii="Arial" w:hAnsi="Arial" w:cs="Arial"/>
          <w:bCs/>
          <w:sz w:val="24"/>
          <w:szCs w:val="24"/>
          <w:lang w:val="mn-MN"/>
        </w:rPr>
      </w:pPr>
      <w:r w:rsidRPr="007E31E0">
        <w:rPr>
          <w:rFonts w:ascii="Arial" w:hAnsi="Arial" w:cs="Arial"/>
          <w:bCs/>
          <w:sz w:val="24"/>
          <w:szCs w:val="24"/>
          <w:lang w:val="mn-MN"/>
        </w:rPr>
        <w:t>Нийгмийн даатгалын ерөнхий хуульд нэмэлт, өөрчлөлт оруулах тухай хуулийн төслийн зардлын тооцоолол</w:t>
      </w:r>
    </w:p>
    <w:p w14:paraId="5802A502" w14:textId="77777777" w:rsidR="00863C12" w:rsidRPr="007E31E0" w:rsidRDefault="00863C12" w:rsidP="00863C12">
      <w:pPr>
        <w:spacing w:after="0" w:line="240" w:lineRule="auto"/>
        <w:ind w:firstLine="567"/>
        <w:jc w:val="both"/>
        <w:rPr>
          <w:rFonts w:ascii="Arial" w:hAnsi="Arial" w:cs="Arial"/>
          <w:bCs/>
          <w:sz w:val="24"/>
          <w:szCs w:val="24"/>
          <w:lang w:val="mn-MN"/>
        </w:rPr>
      </w:pPr>
    </w:p>
    <w:tbl>
      <w:tblPr>
        <w:tblW w:w="9312" w:type="dxa"/>
        <w:tblInd w:w="-5" w:type="dxa"/>
        <w:tblLook w:val="04A0" w:firstRow="1" w:lastRow="0" w:firstColumn="1" w:lastColumn="0" w:noHBand="0" w:noVBand="1"/>
      </w:tblPr>
      <w:tblGrid>
        <w:gridCol w:w="555"/>
        <w:gridCol w:w="3510"/>
        <w:gridCol w:w="1134"/>
        <w:gridCol w:w="1322"/>
        <w:gridCol w:w="1417"/>
        <w:gridCol w:w="1374"/>
      </w:tblGrid>
      <w:tr w:rsidR="00863C12" w:rsidRPr="007E31E0" w14:paraId="5C79B67C" w14:textId="77777777" w:rsidTr="00CC7645">
        <w:trPr>
          <w:trHeight w:val="1278"/>
        </w:trPr>
        <w:tc>
          <w:tcPr>
            <w:tcW w:w="555" w:type="dxa"/>
            <w:tcBorders>
              <w:top w:val="single" w:sz="4" w:space="0" w:color="auto"/>
              <w:left w:val="single" w:sz="4" w:space="0" w:color="auto"/>
              <w:bottom w:val="single" w:sz="4" w:space="0" w:color="auto"/>
              <w:right w:val="single" w:sz="4" w:space="0" w:color="auto"/>
            </w:tcBorders>
            <w:noWrap/>
            <w:vAlign w:val="center"/>
            <w:hideMark/>
          </w:tcPr>
          <w:p w14:paraId="788118C3" w14:textId="77777777" w:rsidR="00863C12" w:rsidRPr="007E31E0" w:rsidRDefault="00863C12" w:rsidP="00CC7645">
            <w:pPr>
              <w:spacing w:line="240" w:lineRule="auto"/>
              <w:jc w:val="center"/>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Д/д</w:t>
            </w:r>
          </w:p>
        </w:tc>
        <w:tc>
          <w:tcPr>
            <w:tcW w:w="3510" w:type="dxa"/>
            <w:tcBorders>
              <w:top w:val="single" w:sz="4" w:space="0" w:color="auto"/>
              <w:left w:val="nil"/>
              <w:bottom w:val="single" w:sz="4" w:space="0" w:color="auto"/>
              <w:right w:val="single" w:sz="4" w:space="0" w:color="auto"/>
            </w:tcBorders>
            <w:vAlign w:val="center"/>
            <w:hideMark/>
          </w:tcPr>
          <w:p w14:paraId="0B9FE548" w14:textId="77777777" w:rsidR="00863C12" w:rsidRPr="007E31E0" w:rsidRDefault="00863C12" w:rsidP="00CC7645">
            <w:pPr>
              <w:spacing w:line="240" w:lineRule="auto"/>
              <w:jc w:val="center"/>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Даатгуулагчийн төрөл</w:t>
            </w:r>
          </w:p>
        </w:tc>
        <w:tc>
          <w:tcPr>
            <w:tcW w:w="1134" w:type="dxa"/>
            <w:tcBorders>
              <w:top w:val="single" w:sz="4" w:space="0" w:color="auto"/>
              <w:left w:val="nil"/>
              <w:bottom w:val="single" w:sz="4" w:space="0" w:color="auto"/>
              <w:right w:val="single" w:sz="4" w:space="0" w:color="auto"/>
            </w:tcBorders>
            <w:vAlign w:val="center"/>
            <w:hideMark/>
          </w:tcPr>
          <w:p w14:paraId="102BB920" w14:textId="77777777" w:rsidR="00863C12" w:rsidRPr="007E31E0" w:rsidRDefault="00863C12" w:rsidP="00CC7645">
            <w:pPr>
              <w:spacing w:line="240" w:lineRule="auto"/>
              <w:jc w:val="center"/>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Хүний тоо</w:t>
            </w:r>
          </w:p>
        </w:tc>
        <w:tc>
          <w:tcPr>
            <w:tcW w:w="1322" w:type="dxa"/>
            <w:tcBorders>
              <w:top w:val="single" w:sz="4" w:space="0" w:color="auto"/>
              <w:left w:val="nil"/>
              <w:bottom w:val="single" w:sz="4" w:space="0" w:color="auto"/>
              <w:right w:val="single" w:sz="4" w:space="0" w:color="auto"/>
            </w:tcBorders>
            <w:vAlign w:val="center"/>
            <w:hideMark/>
          </w:tcPr>
          <w:p w14:paraId="7869BC6A" w14:textId="77777777" w:rsidR="00863C12" w:rsidRPr="007E31E0" w:rsidRDefault="00863C12" w:rsidP="00CC7645">
            <w:pPr>
              <w:spacing w:line="240" w:lineRule="auto"/>
              <w:jc w:val="center"/>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Цалингийн сан, тэрбум.төг</w:t>
            </w:r>
          </w:p>
        </w:tc>
        <w:tc>
          <w:tcPr>
            <w:tcW w:w="1417" w:type="dxa"/>
            <w:tcBorders>
              <w:top w:val="single" w:sz="4" w:space="0" w:color="auto"/>
              <w:left w:val="nil"/>
              <w:bottom w:val="single" w:sz="4" w:space="0" w:color="auto"/>
              <w:right w:val="single" w:sz="4" w:space="0" w:color="auto"/>
            </w:tcBorders>
            <w:vAlign w:val="center"/>
            <w:hideMark/>
          </w:tcPr>
          <w:p w14:paraId="0B6E2CC4" w14:textId="77777777" w:rsidR="00863C12" w:rsidRPr="007E31E0" w:rsidRDefault="00863C12" w:rsidP="00CC7645">
            <w:pPr>
              <w:spacing w:line="240" w:lineRule="auto"/>
              <w:jc w:val="center"/>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Нийгмийн даатгалын шимтгэл, тэрбум.төг</w:t>
            </w:r>
          </w:p>
        </w:tc>
        <w:tc>
          <w:tcPr>
            <w:tcW w:w="1374" w:type="dxa"/>
            <w:tcBorders>
              <w:top w:val="single" w:sz="4" w:space="0" w:color="auto"/>
              <w:left w:val="nil"/>
              <w:bottom w:val="single" w:sz="4" w:space="0" w:color="auto"/>
              <w:right w:val="single" w:sz="4" w:space="0" w:color="auto"/>
            </w:tcBorders>
            <w:vAlign w:val="center"/>
            <w:hideMark/>
          </w:tcPr>
          <w:p w14:paraId="1CB8113B" w14:textId="77777777" w:rsidR="00863C12" w:rsidRPr="007E31E0" w:rsidRDefault="00863C12" w:rsidP="00CC7645">
            <w:pPr>
              <w:spacing w:line="240" w:lineRule="auto"/>
              <w:jc w:val="center"/>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Үүнээс: Тэтгэврийн даатгалын шимтгэл, тэрбум.төг</w:t>
            </w:r>
          </w:p>
        </w:tc>
      </w:tr>
      <w:tr w:rsidR="00863C12" w:rsidRPr="007E31E0" w14:paraId="62CA1BE4" w14:textId="77777777" w:rsidTr="00CC7645">
        <w:trPr>
          <w:trHeight w:val="488"/>
        </w:trPr>
        <w:tc>
          <w:tcPr>
            <w:tcW w:w="9312" w:type="dxa"/>
            <w:gridSpan w:val="6"/>
            <w:tcBorders>
              <w:top w:val="single" w:sz="4" w:space="0" w:color="auto"/>
              <w:left w:val="single" w:sz="4" w:space="0" w:color="auto"/>
              <w:bottom w:val="single" w:sz="4" w:space="0" w:color="auto"/>
              <w:right w:val="single" w:sz="4" w:space="0" w:color="000000"/>
            </w:tcBorders>
            <w:vAlign w:val="center"/>
            <w:hideMark/>
          </w:tcPr>
          <w:p w14:paraId="445A99C6" w14:textId="77777777" w:rsidR="00863C12" w:rsidRPr="007E31E0" w:rsidRDefault="00863C12" w:rsidP="00CC7645">
            <w:pPr>
              <w:spacing w:line="240" w:lineRule="auto"/>
              <w:jc w:val="center"/>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НДЕХ-ийн 7 дугаар зүйлийн 7.6-д заасан болзлыг хангаагүй өндөр насны тэтгэвэр авагч</w:t>
            </w:r>
          </w:p>
        </w:tc>
      </w:tr>
      <w:tr w:rsidR="00863C12" w:rsidRPr="007E31E0" w14:paraId="28324C6A" w14:textId="77777777" w:rsidTr="00CC7645">
        <w:trPr>
          <w:trHeight w:val="621"/>
        </w:trPr>
        <w:tc>
          <w:tcPr>
            <w:tcW w:w="555" w:type="dxa"/>
            <w:tcBorders>
              <w:top w:val="nil"/>
              <w:left w:val="single" w:sz="4" w:space="0" w:color="auto"/>
              <w:bottom w:val="single" w:sz="4" w:space="0" w:color="auto"/>
              <w:right w:val="single" w:sz="4" w:space="0" w:color="auto"/>
            </w:tcBorders>
            <w:noWrap/>
            <w:vAlign w:val="center"/>
            <w:hideMark/>
          </w:tcPr>
          <w:p w14:paraId="7E9CE74B" w14:textId="77777777" w:rsidR="00863C12" w:rsidRPr="007E31E0" w:rsidRDefault="00863C12" w:rsidP="00CC7645">
            <w:pPr>
              <w:spacing w:line="240" w:lineRule="auto"/>
              <w:jc w:val="center"/>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1</w:t>
            </w:r>
          </w:p>
        </w:tc>
        <w:tc>
          <w:tcPr>
            <w:tcW w:w="3510" w:type="dxa"/>
            <w:tcBorders>
              <w:top w:val="nil"/>
              <w:left w:val="nil"/>
              <w:bottom w:val="single" w:sz="4" w:space="0" w:color="auto"/>
              <w:right w:val="single" w:sz="4" w:space="0" w:color="auto"/>
            </w:tcBorders>
            <w:vAlign w:val="center"/>
            <w:hideMark/>
          </w:tcPr>
          <w:p w14:paraId="646236E8" w14:textId="77777777" w:rsidR="00863C12" w:rsidRPr="007E31E0" w:rsidRDefault="00863C12" w:rsidP="00CC7645">
            <w:pPr>
              <w:spacing w:line="240" w:lineRule="auto"/>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Өндөр насны тэтгэвэр тогтоолгосон ажилтан</w:t>
            </w:r>
          </w:p>
        </w:tc>
        <w:tc>
          <w:tcPr>
            <w:tcW w:w="1134" w:type="dxa"/>
            <w:tcBorders>
              <w:top w:val="nil"/>
              <w:left w:val="nil"/>
              <w:bottom w:val="single" w:sz="4" w:space="0" w:color="auto"/>
              <w:right w:val="single" w:sz="4" w:space="0" w:color="auto"/>
            </w:tcBorders>
            <w:vAlign w:val="center"/>
            <w:hideMark/>
          </w:tcPr>
          <w:p w14:paraId="26E15C7E" w14:textId="77777777" w:rsidR="00863C12" w:rsidRPr="007E31E0" w:rsidRDefault="00863C12" w:rsidP="00CC7645">
            <w:pPr>
              <w:spacing w:line="240" w:lineRule="auto"/>
              <w:jc w:val="both"/>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27,868 </w:t>
            </w:r>
          </w:p>
        </w:tc>
        <w:tc>
          <w:tcPr>
            <w:tcW w:w="1322" w:type="dxa"/>
            <w:tcBorders>
              <w:top w:val="nil"/>
              <w:left w:val="nil"/>
              <w:bottom w:val="single" w:sz="4" w:space="0" w:color="auto"/>
              <w:right w:val="single" w:sz="4" w:space="0" w:color="auto"/>
            </w:tcBorders>
            <w:vAlign w:val="center"/>
            <w:hideMark/>
          </w:tcPr>
          <w:p w14:paraId="2EA60B11" w14:textId="77777777" w:rsidR="00863C12" w:rsidRPr="007E31E0" w:rsidRDefault="00863C12" w:rsidP="00CC7645">
            <w:pPr>
              <w:spacing w:line="240" w:lineRule="auto"/>
              <w:jc w:val="both"/>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536.8 </w:t>
            </w:r>
          </w:p>
        </w:tc>
        <w:tc>
          <w:tcPr>
            <w:tcW w:w="1417" w:type="dxa"/>
            <w:tcBorders>
              <w:top w:val="nil"/>
              <w:left w:val="nil"/>
              <w:bottom w:val="single" w:sz="4" w:space="0" w:color="auto"/>
              <w:right w:val="single" w:sz="4" w:space="0" w:color="auto"/>
            </w:tcBorders>
            <w:vAlign w:val="center"/>
            <w:hideMark/>
          </w:tcPr>
          <w:p w14:paraId="330354FB" w14:textId="77777777" w:rsidR="00863C12" w:rsidRPr="007E31E0" w:rsidRDefault="00863C12" w:rsidP="00CC7645">
            <w:pPr>
              <w:spacing w:line="240" w:lineRule="auto"/>
              <w:jc w:val="both"/>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103.6 </w:t>
            </w:r>
          </w:p>
        </w:tc>
        <w:tc>
          <w:tcPr>
            <w:tcW w:w="1374" w:type="dxa"/>
            <w:tcBorders>
              <w:top w:val="nil"/>
              <w:left w:val="nil"/>
              <w:bottom w:val="single" w:sz="4" w:space="0" w:color="auto"/>
              <w:right w:val="single" w:sz="4" w:space="0" w:color="auto"/>
            </w:tcBorders>
            <w:vAlign w:val="center"/>
            <w:hideMark/>
          </w:tcPr>
          <w:p w14:paraId="21DFF7CE" w14:textId="77777777" w:rsidR="00863C12" w:rsidRPr="007E31E0" w:rsidRDefault="00863C12" w:rsidP="00CC7645">
            <w:pPr>
              <w:spacing w:line="240" w:lineRule="auto"/>
              <w:jc w:val="both"/>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91.3 </w:t>
            </w:r>
          </w:p>
        </w:tc>
      </w:tr>
      <w:tr w:rsidR="00863C12" w:rsidRPr="007E31E0" w14:paraId="1F3019F8" w14:textId="77777777" w:rsidTr="00CC7645">
        <w:trPr>
          <w:trHeight w:val="558"/>
        </w:trPr>
        <w:tc>
          <w:tcPr>
            <w:tcW w:w="555" w:type="dxa"/>
            <w:tcBorders>
              <w:top w:val="nil"/>
              <w:left w:val="single" w:sz="4" w:space="0" w:color="auto"/>
              <w:bottom w:val="single" w:sz="4" w:space="0" w:color="auto"/>
              <w:right w:val="single" w:sz="4" w:space="0" w:color="auto"/>
            </w:tcBorders>
            <w:noWrap/>
            <w:vAlign w:val="center"/>
            <w:hideMark/>
          </w:tcPr>
          <w:p w14:paraId="2CAA494A" w14:textId="77777777" w:rsidR="00863C12" w:rsidRPr="007E31E0" w:rsidRDefault="00863C12" w:rsidP="00CC7645">
            <w:pPr>
              <w:spacing w:line="240" w:lineRule="auto"/>
              <w:jc w:val="center"/>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2</w:t>
            </w:r>
          </w:p>
        </w:tc>
        <w:tc>
          <w:tcPr>
            <w:tcW w:w="3510" w:type="dxa"/>
            <w:tcBorders>
              <w:top w:val="nil"/>
              <w:left w:val="nil"/>
              <w:bottom w:val="single" w:sz="4" w:space="0" w:color="auto"/>
              <w:right w:val="single" w:sz="4" w:space="0" w:color="auto"/>
            </w:tcBorders>
            <w:vAlign w:val="center"/>
            <w:hideMark/>
          </w:tcPr>
          <w:p w14:paraId="1BCA5A00" w14:textId="77777777" w:rsidR="00863C12" w:rsidRPr="007E31E0" w:rsidRDefault="00863C12" w:rsidP="00CC7645">
            <w:pPr>
              <w:spacing w:line="240" w:lineRule="auto"/>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Цэргийн алба хаасны тэтгэвэр тогтоолгосон ажилтан</w:t>
            </w:r>
          </w:p>
        </w:tc>
        <w:tc>
          <w:tcPr>
            <w:tcW w:w="1134" w:type="dxa"/>
            <w:tcBorders>
              <w:top w:val="nil"/>
              <w:left w:val="nil"/>
              <w:bottom w:val="single" w:sz="4" w:space="0" w:color="auto"/>
              <w:right w:val="single" w:sz="4" w:space="0" w:color="auto"/>
            </w:tcBorders>
            <w:vAlign w:val="center"/>
            <w:hideMark/>
          </w:tcPr>
          <w:p w14:paraId="3CEB7BBB" w14:textId="77777777" w:rsidR="00863C12" w:rsidRPr="007E31E0" w:rsidRDefault="00863C12" w:rsidP="00CC7645">
            <w:pPr>
              <w:spacing w:line="240" w:lineRule="auto"/>
              <w:jc w:val="both"/>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1,223 </w:t>
            </w:r>
          </w:p>
        </w:tc>
        <w:tc>
          <w:tcPr>
            <w:tcW w:w="1322" w:type="dxa"/>
            <w:tcBorders>
              <w:top w:val="nil"/>
              <w:left w:val="nil"/>
              <w:bottom w:val="single" w:sz="4" w:space="0" w:color="auto"/>
              <w:right w:val="single" w:sz="4" w:space="0" w:color="auto"/>
            </w:tcBorders>
            <w:vAlign w:val="center"/>
            <w:hideMark/>
          </w:tcPr>
          <w:p w14:paraId="30F68495" w14:textId="77777777" w:rsidR="00863C12" w:rsidRPr="007E31E0" w:rsidRDefault="00863C12" w:rsidP="00CC7645">
            <w:pPr>
              <w:spacing w:line="240" w:lineRule="auto"/>
              <w:jc w:val="both"/>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26.7 </w:t>
            </w:r>
          </w:p>
        </w:tc>
        <w:tc>
          <w:tcPr>
            <w:tcW w:w="1417" w:type="dxa"/>
            <w:tcBorders>
              <w:top w:val="nil"/>
              <w:left w:val="nil"/>
              <w:bottom w:val="single" w:sz="4" w:space="0" w:color="auto"/>
              <w:right w:val="single" w:sz="4" w:space="0" w:color="auto"/>
            </w:tcBorders>
            <w:vAlign w:val="center"/>
            <w:hideMark/>
          </w:tcPr>
          <w:p w14:paraId="7C492530" w14:textId="77777777" w:rsidR="00863C12" w:rsidRPr="007E31E0" w:rsidRDefault="00863C12" w:rsidP="00CC7645">
            <w:pPr>
              <w:spacing w:line="240" w:lineRule="auto"/>
              <w:jc w:val="both"/>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5.2 </w:t>
            </w:r>
          </w:p>
        </w:tc>
        <w:tc>
          <w:tcPr>
            <w:tcW w:w="1374" w:type="dxa"/>
            <w:tcBorders>
              <w:top w:val="nil"/>
              <w:left w:val="nil"/>
              <w:bottom w:val="single" w:sz="4" w:space="0" w:color="auto"/>
              <w:right w:val="single" w:sz="4" w:space="0" w:color="auto"/>
            </w:tcBorders>
            <w:vAlign w:val="center"/>
            <w:hideMark/>
          </w:tcPr>
          <w:p w14:paraId="1D249335" w14:textId="77777777" w:rsidR="00863C12" w:rsidRPr="007E31E0" w:rsidRDefault="00863C12" w:rsidP="00CC7645">
            <w:pPr>
              <w:spacing w:line="240" w:lineRule="auto"/>
              <w:jc w:val="both"/>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4.5 </w:t>
            </w:r>
          </w:p>
        </w:tc>
      </w:tr>
      <w:tr w:rsidR="00863C12" w:rsidRPr="007E31E0" w14:paraId="3699BADB" w14:textId="77777777" w:rsidTr="00CC7645">
        <w:trPr>
          <w:trHeight w:val="283"/>
        </w:trPr>
        <w:tc>
          <w:tcPr>
            <w:tcW w:w="4065" w:type="dxa"/>
            <w:gridSpan w:val="2"/>
            <w:tcBorders>
              <w:top w:val="single" w:sz="4" w:space="0" w:color="auto"/>
              <w:left w:val="single" w:sz="4" w:space="0" w:color="auto"/>
              <w:bottom w:val="single" w:sz="4" w:space="0" w:color="auto"/>
              <w:right w:val="single" w:sz="4" w:space="0" w:color="000000"/>
            </w:tcBorders>
            <w:vAlign w:val="center"/>
            <w:hideMark/>
          </w:tcPr>
          <w:p w14:paraId="1360FE09" w14:textId="77777777" w:rsidR="00863C12" w:rsidRPr="007E31E0" w:rsidRDefault="00863C12" w:rsidP="00CC7645">
            <w:pPr>
              <w:spacing w:line="240" w:lineRule="auto"/>
              <w:jc w:val="center"/>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Дүн</w:t>
            </w:r>
          </w:p>
        </w:tc>
        <w:tc>
          <w:tcPr>
            <w:tcW w:w="1134" w:type="dxa"/>
            <w:tcBorders>
              <w:top w:val="nil"/>
              <w:left w:val="nil"/>
              <w:bottom w:val="single" w:sz="4" w:space="0" w:color="auto"/>
              <w:right w:val="single" w:sz="4" w:space="0" w:color="auto"/>
            </w:tcBorders>
            <w:vAlign w:val="center"/>
            <w:hideMark/>
          </w:tcPr>
          <w:p w14:paraId="0AFE68ED" w14:textId="77777777" w:rsidR="00863C12" w:rsidRPr="007E31E0" w:rsidRDefault="00863C12" w:rsidP="00CC7645">
            <w:pPr>
              <w:spacing w:line="240" w:lineRule="auto"/>
              <w:jc w:val="both"/>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29,091 </w:t>
            </w:r>
          </w:p>
        </w:tc>
        <w:tc>
          <w:tcPr>
            <w:tcW w:w="1322" w:type="dxa"/>
            <w:tcBorders>
              <w:top w:val="nil"/>
              <w:left w:val="nil"/>
              <w:bottom w:val="single" w:sz="4" w:space="0" w:color="auto"/>
              <w:right w:val="single" w:sz="4" w:space="0" w:color="auto"/>
            </w:tcBorders>
            <w:vAlign w:val="center"/>
            <w:hideMark/>
          </w:tcPr>
          <w:p w14:paraId="5D0C14C7" w14:textId="77777777" w:rsidR="00863C12" w:rsidRPr="007E31E0" w:rsidRDefault="00863C12" w:rsidP="00CC7645">
            <w:pPr>
              <w:spacing w:line="240" w:lineRule="auto"/>
              <w:jc w:val="both"/>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563.5 </w:t>
            </w:r>
          </w:p>
        </w:tc>
        <w:tc>
          <w:tcPr>
            <w:tcW w:w="1417" w:type="dxa"/>
            <w:tcBorders>
              <w:top w:val="nil"/>
              <w:left w:val="nil"/>
              <w:bottom w:val="single" w:sz="4" w:space="0" w:color="auto"/>
              <w:right w:val="single" w:sz="4" w:space="0" w:color="auto"/>
            </w:tcBorders>
            <w:vAlign w:val="center"/>
            <w:hideMark/>
          </w:tcPr>
          <w:p w14:paraId="3385F77A" w14:textId="77777777" w:rsidR="00863C12" w:rsidRPr="007E31E0" w:rsidRDefault="00863C12" w:rsidP="00CC7645">
            <w:pPr>
              <w:spacing w:line="240" w:lineRule="auto"/>
              <w:jc w:val="both"/>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108.8 </w:t>
            </w:r>
          </w:p>
        </w:tc>
        <w:tc>
          <w:tcPr>
            <w:tcW w:w="1374" w:type="dxa"/>
            <w:tcBorders>
              <w:top w:val="nil"/>
              <w:left w:val="nil"/>
              <w:bottom w:val="single" w:sz="4" w:space="0" w:color="auto"/>
              <w:right w:val="single" w:sz="4" w:space="0" w:color="auto"/>
            </w:tcBorders>
            <w:vAlign w:val="center"/>
            <w:hideMark/>
          </w:tcPr>
          <w:p w14:paraId="3573CD5A" w14:textId="77777777" w:rsidR="00863C12" w:rsidRPr="007E31E0" w:rsidRDefault="00863C12" w:rsidP="00CC7645">
            <w:pPr>
              <w:spacing w:line="240" w:lineRule="auto"/>
              <w:jc w:val="both"/>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95.8 </w:t>
            </w:r>
          </w:p>
        </w:tc>
      </w:tr>
      <w:tr w:rsidR="00863C12" w:rsidRPr="007E31E0" w14:paraId="631D7A9E" w14:textId="77777777" w:rsidTr="00CC7645">
        <w:trPr>
          <w:trHeight w:val="531"/>
        </w:trPr>
        <w:tc>
          <w:tcPr>
            <w:tcW w:w="9312" w:type="dxa"/>
            <w:gridSpan w:val="6"/>
            <w:tcBorders>
              <w:top w:val="single" w:sz="4" w:space="0" w:color="auto"/>
              <w:left w:val="single" w:sz="4" w:space="0" w:color="auto"/>
              <w:bottom w:val="single" w:sz="4" w:space="0" w:color="auto"/>
              <w:right w:val="single" w:sz="4" w:space="0" w:color="000000"/>
            </w:tcBorders>
            <w:vAlign w:val="center"/>
            <w:hideMark/>
          </w:tcPr>
          <w:p w14:paraId="42A23023" w14:textId="77777777" w:rsidR="00863C12" w:rsidRPr="007E31E0" w:rsidRDefault="00863C12" w:rsidP="00CC7645">
            <w:pPr>
              <w:spacing w:line="240" w:lineRule="auto"/>
              <w:jc w:val="center"/>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НДЕХ-ийн 7 дугаар зүйлийн 7.6-д заасан болзлыг хангасан өндөр насны тэтгэвэр авагч</w:t>
            </w:r>
          </w:p>
        </w:tc>
      </w:tr>
      <w:tr w:rsidR="00863C12" w:rsidRPr="007E31E0" w14:paraId="1E09B6EF" w14:textId="77777777" w:rsidTr="00CC7645">
        <w:trPr>
          <w:trHeight w:val="539"/>
        </w:trPr>
        <w:tc>
          <w:tcPr>
            <w:tcW w:w="555" w:type="dxa"/>
            <w:tcBorders>
              <w:top w:val="nil"/>
              <w:left w:val="single" w:sz="4" w:space="0" w:color="auto"/>
              <w:bottom w:val="single" w:sz="4" w:space="0" w:color="auto"/>
              <w:right w:val="single" w:sz="4" w:space="0" w:color="auto"/>
            </w:tcBorders>
            <w:noWrap/>
            <w:vAlign w:val="center"/>
            <w:hideMark/>
          </w:tcPr>
          <w:p w14:paraId="7CF5D94F" w14:textId="77777777" w:rsidR="00863C12" w:rsidRPr="007E31E0" w:rsidRDefault="00863C12" w:rsidP="00CC7645">
            <w:pPr>
              <w:spacing w:line="240" w:lineRule="auto"/>
              <w:jc w:val="center"/>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1</w:t>
            </w:r>
          </w:p>
        </w:tc>
        <w:tc>
          <w:tcPr>
            <w:tcW w:w="3510" w:type="dxa"/>
            <w:tcBorders>
              <w:top w:val="nil"/>
              <w:left w:val="nil"/>
              <w:bottom w:val="single" w:sz="4" w:space="0" w:color="auto"/>
              <w:right w:val="single" w:sz="4" w:space="0" w:color="auto"/>
            </w:tcBorders>
            <w:vAlign w:val="center"/>
            <w:hideMark/>
          </w:tcPr>
          <w:p w14:paraId="7E9EAAB3" w14:textId="77777777" w:rsidR="00863C12" w:rsidRPr="007E31E0" w:rsidRDefault="00863C12" w:rsidP="00CC7645">
            <w:pPr>
              <w:spacing w:line="240" w:lineRule="auto"/>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Өндөр насны тэтгэвэр тогтоолгосон ажилтан</w:t>
            </w:r>
          </w:p>
        </w:tc>
        <w:tc>
          <w:tcPr>
            <w:tcW w:w="1134" w:type="dxa"/>
            <w:tcBorders>
              <w:top w:val="nil"/>
              <w:left w:val="nil"/>
              <w:bottom w:val="single" w:sz="4" w:space="0" w:color="auto"/>
              <w:right w:val="single" w:sz="4" w:space="0" w:color="auto"/>
            </w:tcBorders>
            <w:vAlign w:val="center"/>
            <w:hideMark/>
          </w:tcPr>
          <w:p w14:paraId="280790BC" w14:textId="77777777" w:rsidR="00863C12" w:rsidRPr="007E31E0" w:rsidRDefault="00863C12" w:rsidP="00CC7645">
            <w:pPr>
              <w:spacing w:line="240" w:lineRule="auto"/>
              <w:jc w:val="both"/>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30,247 </w:t>
            </w:r>
          </w:p>
        </w:tc>
        <w:tc>
          <w:tcPr>
            <w:tcW w:w="1322" w:type="dxa"/>
            <w:tcBorders>
              <w:top w:val="nil"/>
              <w:left w:val="nil"/>
              <w:bottom w:val="single" w:sz="4" w:space="0" w:color="auto"/>
              <w:right w:val="single" w:sz="4" w:space="0" w:color="auto"/>
            </w:tcBorders>
            <w:vAlign w:val="center"/>
            <w:hideMark/>
          </w:tcPr>
          <w:p w14:paraId="454851F1" w14:textId="77777777" w:rsidR="00863C12" w:rsidRPr="007E31E0" w:rsidRDefault="00863C12" w:rsidP="00CC7645">
            <w:pPr>
              <w:spacing w:line="240" w:lineRule="auto"/>
              <w:jc w:val="both"/>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522.7 </w:t>
            </w:r>
          </w:p>
        </w:tc>
        <w:tc>
          <w:tcPr>
            <w:tcW w:w="1417" w:type="dxa"/>
            <w:tcBorders>
              <w:top w:val="nil"/>
              <w:left w:val="nil"/>
              <w:bottom w:val="single" w:sz="4" w:space="0" w:color="auto"/>
              <w:right w:val="single" w:sz="4" w:space="0" w:color="auto"/>
            </w:tcBorders>
            <w:vAlign w:val="center"/>
            <w:hideMark/>
          </w:tcPr>
          <w:p w14:paraId="027C55A2" w14:textId="77777777" w:rsidR="00863C12" w:rsidRPr="007E31E0" w:rsidRDefault="00863C12" w:rsidP="00CC7645">
            <w:pPr>
              <w:spacing w:line="240" w:lineRule="auto"/>
              <w:jc w:val="both"/>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12.0 </w:t>
            </w:r>
          </w:p>
        </w:tc>
        <w:tc>
          <w:tcPr>
            <w:tcW w:w="1374" w:type="dxa"/>
            <w:tcBorders>
              <w:top w:val="nil"/>
              <w:left w:val="nil"/>
              <w:bottom w:val="single" w:sz="4" w:space="0" w:color="auto"/>
              <w:right w:val="single" w:sz="4" w:space="0" w:color="auto"/>
            </w:tcBorders>
            <w:vAlign w:val="center"/>
            <w:hideMark/>
          </w:tcPr>
          <w:p w14:paraId="76EDDB79" w14:textId="77777777" w:rsidR="00863C12" w:rsidRPr="007E31E0" w:rsidRDefault="00863C12" w:rsidP="00CC7645">
            <w:pPr>
              <w:spacing w:line="240" w:lineRule="auto"/>
              <w:jc w:val="both"/>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   </w:t>
            </w:r>
          </w:p>
        </w:tc>
      </w:tr>
      <w:tr w:rsidR="00863C12" w:rsidRPr="007E31E0" w14:paraId="29D73E29" w14:textId="77777777" w:rsidTr="00CC7645">
        <w:trPr>
          <w:trHeight w:val="561"/>
        </w:trPr>
        <w:tc>
          <w:tcPr>
            <w:tcW w:w="555" w:type="dxa"/>
            <w:tcBorders>
              <w:top w:val="single" w:sz="4" w:space="0" w:color="auto"/>
              <w:left w:val="single" w:sz="4" w:space="0" w:color="auto"/>
              <w:bottom w:val="single" w:sz="4" w:space="0" w:color="auto"/>
              <w:right w:val="single" w:sz="4" w:space="0" w:color="auto"/>
            </w:tcBorders>
            <w:noWrap/>
            <w:vAlign w:val="center"/>
            <w:hideMark/>
          </w:tcPr>
          <w:p w14:paraId="75BBB0AF" w14:textId="77777777" w:rsidR="00863C12" w:rsidRPr="007E31E0" w:rsidRDefault="00863C12" w:rsidP="00CC7645">
            <w:pPr>
              <w:spacing w:line="240" w:lineRule="auto"/>
              <w:jc w:val="center"/>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2</w:t>
            </w:r>
          </w:p>
        </w:tc>
        <w:tc>
          <w:tcPr>
            <w:tcW w:w="3510" w:type="dxa"/>
            <w:tcBorders>
              <w:top w:val="single" w:sz="4" w:space="0" w:color="auto"/>
              <w:left w:val="nil"/>
              <w:bottom w:val="single" w:sz="4" w:space="0" w:color="auto"/>
              <w:right w:val="single" w:sz="4" w:space="0" w:color="auto"/>
            </w:tcBorders>
            <w:vAlign w:val="center"/>
            <w:hideMark/>
          </w:tcPr>
          <w:p w14:paraId="3C761CD1" w14:textId="77777777" w:rsidR="00863C12" w:rsidRPr="007E31E0" w:rsidRDefault="00863C12" w:rsidP="00CC7645">
            <w:pPr>
              <w:spacing w:line="240" w:lineRule="auto"/>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Цэргийн алба хаасны тэтгэвэр тогтоолгосон ажилтан</w:t>
            </w:r>
          </w:p>
        </w:tc>
        <w:tc>
          <w:tcPr>
            <w:tcW w:w="1134" w:type="dxa"/>
            <w:tcBorders>
              <w:top w:val="single" w:sz="4" w:space="0" w:color="auto"/>
              <w:left w:val="nil"/>
              <w:bottom w:val="single" w:sz="4" w:space="0" w:color="auto"/>
              <w:right w:val="single" w:sz="4" w:space="0" w:color="auto"/>
            </w:tcBorders>
            <w:noWrap/>
            <w:vAlign w:val="center"/>
            <w:hideMark/>
          </w:tcPr>
          <w:p w14:paraId="1A3C3F7E" w14:textId="77777777" w:rsidR="00863C12" w:rsidRPr="007E31E0" w:rsidRDefault="00863C12" w:rsidP="00CC7645">
            <w:pPr>
              <w:spacing w:line="240" w:lineRule="auto"/>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2,886 </w:t>
            </w:r>
          </w:p>
        </w:tc>
        <w:tc>
          <w:tcPr>
            <w:tcW w:w="1322" w:type="dxa"/>
            <w:tcBorders>
              <w:top w:val="single" w:sz="4" w:space="0" w:color="auto"/>
              <w:left w:val="nil"/>
              <w:bottom w:val="single" w:sz="4" w:space="0" w:color="auto"/>
              <w:right w:val="single" w:sz="4" w:space="0" w:color="auto"/>
            </w:tcBorders>
            <w:noWrap/>
            <w:vAlign w:val="center"/>
            <w:hideMark/>
          </w:tcPr>
          <w:p w14:paraId="145C75C8" w14:textId="77777777" w:rsidR="00863C12" w:rsidRPr="007E31E0" w:rsidRDefault="00863C12" w:rsidP="00CC7645">
            <w:pPr>
              <w:spacing w:line="240" w:lineRule="auto"/>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66.3 </w:t>
            </w:r>
          </w:p>
        </w:tc>
        <w:tc>
          <w:tcPr>
            <w:tcW w:w="1417" w:type="dxa"/>
            <w:tcBorders>
              <w:top w:val="single" w:sz="4" w:space="0" w:color="auto"/>
              <w:left w:val="nil"/>
              <w:bottom w:val="single" w:sz="4" w:space="0" w:color="auto"/>
              <w:right w:val="single" w:sz="4" w:space="0" w:color="auto"/>
            </w:tcBorders>
            <w:noWrap/>
            <w:vAlign w:val="center"/>
            <w:hideMark/>
          </w:tcPr>
          <w:p w14:paraId="3A1F2531" w14:textId="77777777" w:rsidR="00863C12" w:rsidRPr="007E31E0" w:rsidRDefault="00863C12" w:rsidP="00CC7645">
            <w:pPr>
              <w:spacing w:line="240" w:lineRule="auto"/>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1.5 </w:t>
            </w:r>
          </w:p>
        </w:tc>
        <w:tc>
          <w:tcPr>
            <w:tcW w:w="1374" w:type="dxa"/>
            <w:tcBorders>
              <w:top w:val="single" w:sz="4" w:space="0" w:color="auto"/>
              <w:left w:val="nil"/>
              <w:bottom w:val="single" w:sz="4" w:space="0" w:color="auto"/>
              <w:right w:val="single" w:sz="4" w:space="0" w:color="auto"/>
            </w:tcBorders>
            <w:noWrap/>
            <w:vAlign w:val="center"/>
            <w:hideMark/>
          </w:tcPr>
          <w:p w14:paraId="57E290BB" w14:textId="77777777" w:rsidR="00863C12" w:rsidRPr="007E31E0" w:rsidRDefault="00863C12" w:rsidP="00CC7645">
            <w:pPr>
              <w:spacing w:line="240" w:lineRule="auto"/>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   </w:t>
            </w:r>
          </w:p>
        </w:tc>
      </w:tr>
      <w:tr w:rsidR="00863C12" w:rsidRPr="007E31E0" w14:paraId="0215B03E" w14:textId="77777777" w:rsidTr="00CC7645">
        <w:trPr>
          <w:trHeight w:val="311"/>
        </w:trPr>
        <w:tc>
          <w:tcPr>
            <w:tcW w:w="4065" w:type="dxa"/>
            <w:gridSpan w:val="2"/>
            <w:tcBorders>
              <w:top w:val="single" w:sz="4" w:space="0" w:color="auto"/>
              <w:left w:val="single" w:sz="4" w:space="0" w:color="auto"/>
              <w:bottom w:val="single" w:sz="4" w:space="0" w:color="auto"/>
              <w:right w:val="single" w:sz="4" w:space="0" w:color="000000"/>
            </w:tcBorders>
            <w:vAlign w:val="center"/>
            <w:hideMark/>
          </w:tcPr>
          <w:p w14:paraId="417877C5" w14:textId="77777777" w:rsidR="00863C12" w:rsidRPr="007E31E0" w:rsidRDefault="00863C12" w:rsidP="00CC7645">
            <w:pPr>
              <w:spacing w:line="240" w:lineRule="auto"/>
              <w:jc w:val="center"/>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Дүн</w:t>
            </w:r>
          </w:p>
        </w:tc>
        <w:tc>
          <w:tcPr>
            <w:tcW w:w="1134" w:type="dxa"/>
            <w:tcBorders>
              <w:top w:val="nil"/>
              <w:left w:val="nil"/>
              <w:bottom w:val="single" w:sz="4" w:space="0" w:color="auto"/>
              <w:right w:val="single" w:sz="4" w:space="0" w:color="auto"/>
            </w:tcBorders>
            <w:noWrap/>
            <w:vAlign w:val="center"/>
            <w:hideMark/>
          </w:tcPr>
          <w:p w14:paraId="4597A858" w14:textId="77777777" w:rsidR="00863C12" w:rsidRPr="007E31E0" w:rsidRDefault="00863C12" w:rsidP="00CC7645">
            <w:pPr>
              <w:spacing w:line="240" w:lineRule="auto"/>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33,133 </w:t>
            </w:r>
          </w:p>
        </w:tc>
        <w:tc>
          <w:tcPr>
            <w:tcW w:w="1322" w:type="dxa"/>
            <w:tcBorders>
              <w:top w:val="nil"/>
              <w:left w:val="nil"/>
              <w:bottom w:val="single" w:sz="4" w:space="0" w:color="auto"/>
              <w:right w:val="single" w:sz="4" w:space="0" w:color="auto"/>
            </w:tcBorders>
            <w:noWrap/>
            <w:vAlign w:val="center"/>
            <w:hideMark/>
          </w:tcPr>
          <w:p w14:paraId="66220165" w14:textId="77777777" w:rsidR="00863C12" w:rsidRPr="007E31E0" w:rsidRDefault="00863C12" w:rsidP="00CC7645">
            <w:pPr>
              <w:spacing w:line="240" w:lineRule="auto"/>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589.0 </w:t>
            </w:r>
          </w:p>
        </w:tc>
        <w:tc>
          <w:tcPr>
            <w:tcW w:w="1417" w:type="dxa"/>
            <w:tcBorders>
              <w:top w:val="nil"/>
              <w:left w:val="nil"/>
              <w:bottom w:val="single" w:sz="4" w:space="0" w:color="auto"/>
              <w:right w:val="single" w:sz="4" w:space="0" w:color="auto"/>
            </w:tcBorders>
            <w:noWrap/>
            <w:vAlign w:val="center"/>
            <w:hideMark/>
          </w:tcPr>
          <w:p w14:paraId="419C8032" w14:textId="77777777" w:rsidR="00863C12" w:rsidRPr="007E31E0" w:rsidRDefault="00863C12" w:rsidP="00CC7645">
            <w:pPr>
              <w:spacing w:line="240" w:lineRule="auto"/>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13.5 </w:t>
            </w:r>
          </w:p>
        </w:tc>
        <w:tc>
          <w:tcPr>
            <w:tcW w:w="1374" w:type="dxa"/>
            <w:tcBorders>
              <w:top w:val="nil"/>
              <w:left w:val="nil"/>
              <w:bottom w:val="single" w:sz="4" w:space="0" w:color="auto"/>
              <w:right w:val="single" w:sz="4" w:space="0" w:color="auto"/>
            </w:tcBorders>
            <w:noWrap/>
            <w:vAlign w:val="center"/>
            <w:hideMark/>
          </w:tcPr>
          <w:p w14:paraId="2BEEC559" w14:textId="77777777" w:rsidR="00863C12" w:rsidRPr="007E31E0" w:rsidRDefault="00863C12" w:rsidP="00CC7645">
            <w:pPr>
              <w:spacing w:line="240" w:lineRule="auto"/>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   </w:t>
            </w:r>
          </w:p>
        </w:tc>
      </w:tr>
      <w:tr w:rsidR="00863C12" w:rsidRPr="007E31E0" w14:paraId="44F530E2" w14:textId="77777777" w:rsidTr="00CC7645">
        <w:trPr>
          <w:trHeight w:val="311"/>
        </w:trPr>
        <w:tc>
          <w:tcPr>
            <w:tcW w:w="4065" w:type="dxa"/>
            <w:gridSpan w:val="2"/>
            <w:tcBorders>
              <w:top w:val="single" w:sz="4" w:space="0" w:color="auto"/>
              <w:left w:val="single" w:sz="4" w:space="0" w:color="auto"/>
              <w:bottom w:val="single" w:sz="4" w:space="0" w:color="auto"/>
              <w:right w:val="single" w:sz="4" w:space="0" w:color="000000"/>
            </w:tcBorders>
            <w:vAlign w:val="center"/>
          </w:tcPr>
          <w:p w14:paraId="1516E3E3" w14:textId="77777777" w:rsidR="00863C12" w:rsidRPr="007E31E0" w:rsidRDefault="00863C12" w:rsidP="00CC7645">
            <w:pPr>
              <w:spacing w:line="240" w:lineRule="auto"/>
              <w:jc w:val="center"/>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Нийт дүн</w:t>
            </w:r>
          </w:p>
        </w:tc>
        <w:tc>
          <w:tcPr>
            <w:tcW w:w="1134" w:type="dxa"/>
            <w:tcBorders>
              <w:top w:val="single" w:sz="4" w:space="0" w:color="auto"/>
              <w:left w:val="nil"/>
              <w:bottom w:val="single" w:sz="4" w:space="0" w:color="auto"/>
              <w:right w:val="single" w:sz="4" w:space="0" w:color="auto"/>
            </w:tcBorders>
            <w:noWrap/>
            <w:vAlign w:val="center"/>
          </w:tcPr>
          <w:p w14:paraId="2A313923" w14:textId="77777777" w:rsidR="00863C12" w:rsidRPr="007E31E0" w:rsidRDefault="00863C12" w:rsidP="00CC7645">
            <w:pPr>
              <w:spacing w:line="240" w:lineRule="auto"/>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62,224</w:t>
            </w:r>
          </w:p>
        </w:tc>
        <w:tc>
          <w:tcPr>
            <w:tcW w:w="1322" w:type="dxa"/>
            <w:tcBorders>
              <w:top w:val="single" w:sz="4" w:space="0" w:color="auto"/>
              <w:left w:val="nil"/>
              <w:bottom w:val="single" w:sz="4" w:space="0" w:color="auto"/>
              <w:right w:val="single" w:sz="4" w:space="0" w:color="auto"/>
            </w:tcBorders>
            <w:noWrap/>
            <w:vAlign w:val="center"/>
          </w:tcPr>
          <w:p w14:paraId="3D69AAA3" w14:textId="77777777" w:rsidR="00863C12" w:rsidRPr="007E31E0" w:rsidRDefault="00863C12" w:rsidP="00CC7645">
            <w:pPr>
              <w:spacing w:line="240" w:lineRule="auto"/>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1,152.5</w:t>
            </w:r>
          </w:p>
        </w:tc>
        <w:tc>
          <w:tcPr>
            <w:tcW w:w="1417" w:type="dxa"/>
            <w:tcBorders>
              <w:top w:val="single" w:sz="4" w:space="0" w:color="auto"/>
              <w:left w:val="nil"/>
              <w:bottom w:val="single" w:sz="4" w:space="0" w:color="auto"/>
              <w:right w:val="single" w:sz="4" w:space="0" w:color="auto"/>
            </w:tcBorders>
            <w:noWrap/>
            <w:vAlign w:val="center"/>
          </w:tcPr>
          <w:p w14:paraId="19C40E87" w14:textId="77777777" w:rsidR="00863C12" w:rsidRPr="007E31E0" w:rsidRDefault="00863C12" w:rsidP="00CC7645">
            <w:pPr>
              <w:spacing w:line="240" w:lineRule="auto"/>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122.3</w:t>
            </w:r>
          </w:p>
        </w:tc>
        <w:tc>
          <w:tcPr>
            <w:tcW w:w="1374" w:type="dxa"/>
            <w:tcBorders>
              <w:top w:val="single" w:sz="4" w:space="0" w:color="auto"/>
              <w:left w:val="nil"/>
              <w:bottom w:val="single" w:sz="4" w:space="0" w:color="auto"/>
              <w:right w:val="single" w:sz="4" w:space="0" w:color="auto"/>
            </w:tcBorders>
            <w:noWrap/>
            <w:vAlign w:val="center"/>
          </w:tcPr>
          <w:p w14:paraId="116E0652" w14:textId="77777777" w:rsidR="00863C12" w:rsidRPr="007E31E0" w:rsidRDefault="00863C12" w:rsidP="00CC7645">
            <w:pPr>
              <w:spacing w:line="240" w:lineRule="auto"/>
              <w:rPr>
                <w:rFonts w:ascii="Arial" w:eastAsia="Times New Roman" w:hAnsi="Arial" w:cs="Arial"/>
                <w:color w:val="000000"/>
                <w:lang w:val="mn-MN" w:eastAsia="ko-KR" w:bidi="mn-Mong-MN"/>
              </w:rPr>
            </w:pPr>
            <w:r w:rsidRPr="007E31E0">
              <w:rPr>
                <w:rFonts w:ascii="Arial" w:eastAsia="Times New Roman" w:hAnsi="Arial" w:cs="Arial"/>
                <w:color w:val="000000"/>
                <w:lang w:val="mn-MN" w:eastAsia="ko-KR" w:bidi="mn-Mong-MN"/>
              </w:rPr>
              <w:t xml:space="preserve">           95.8</w:t>
            </w:r>
          </w:p>
        </w:tc>
      </w:tr>
    </w:tbl>
    <w:p w14:paraId="0D6137AE" w14:textId="77777777" w:rsidR="00863C12" w:rsidRPr="007E31E0" w:rsidRDefault="00863C12" w:rsidP="00863C12">
      <w:pPr>
        <w:tabs>
          <w:tab w:val="left" w:pos="993"/>
        </w:tabs>
        <w:spacing w:after="0" w:line="240" w:lineRule="auto"/>
        <w:ind w:firstLine="567"/>
        <w:jc w:val="both"/>
        <w:rPr>
          <w:rFonts w:ascii="Arial" w:eastAsia="Times New Roman" w:hAnsi="Arial" w:cs="Arial"/>
          <w:sz w:val="24"/>
          <w:szCs w:val="24"/>
          <w:lang w:val="mn-MN"/>
        </w:rPr>
      </w:pPr>
    </w:p>
    <w:p w14:paraId="65A1BF10" w14:textId="77777777" w:rsidR="00863C12" w:rsidRPr="007E31E0" w:rsidRDefault="00863C12" w:rsidP="00863C12">
      <w:pPr>
        <w:spacing w:after="0" w:line="240" w:lineRule="auto"/>
        <w:ind w:firstLine="567"/>
        <w:jc w:val="both"/>
        <w:rPr>
          <w:rFonts w:ascii="Arial" w:hAnsi="Arial" w:cs="Arial"/>
          <w:sz w:val="24"/>
          <w:szCs w:val="24"/>
          <w:lang w:val="mn-MN"/>
        </w:rPr>
      </w:pPr>
      <w:r w:rsidRPr="007E31E0">
        <w:rPr>
          <w:rFonts w:ascii="Arial" w:hAnsi="Arial" w:cs="Arial"/>
          <w:sz w:val="24"/>
          <w:szCs w:val="24"/>
          <w:lang w:val="mn-MN"/>
        </w:rPr>
        <w:t>Нийгмийн даатгалын ерөнхий хуульд нэмэлт, өөрчлөлт оруулах тухай хуулийн төслийг хэрэгжүүлэхэд хүний нөөц, бусад зардал нэмэгдэхгүй.</w:t>
      </w:r>
    </w:p>
    <w:p w14:paraId="442FD969" w14:textId="77777777" w:rsidR="00863C12" w:rsidRDefault="00863C12" w:rsidP="00640003">
      <w:pPr>
        <w:ind w:firstLine="720"/>
        <w:jc w:val="both"/>
        <w:rPr>
          <w:rFonts w:ascii="Arial" w:hAnsi="Arial" w:cs="Arial"/>
          <w:sz w:val="24"/>
          <w:szCs w:val="24"/>
          <w:lang w:val="mn-MN"/>
        </w:rPr>
      </w:pPr>
    </w:p>
    <w:p w14:paraId="230F3C4B" w14:textId="79FEEF50" w:rsidR="00640003" w:rsidRPr="00863C12" w:rsidRDefault="00640003" w:rsidP="00640003">
      <w:pPr>
        <w:ind w:firstLine="720"/>
        <w:jc w:val="both"/>
        <w:rPr>
          <w:rFonts w:ascii="Arial" w:hAnsi="Arial" w:cs="Arial"/>
          <w:sz w:val="24"/>
          <w:szCs w:val="24"/>
          <w:lang w:val="mn-MN"/>
        </w:rPr>
      </w:pPr>
      <w:r w:rsidRPr="00863C12">
        <w:rPr>
          <w:rFonts w:ascii="Arial" w:hAnsi="Arial" w:cs="Arial"/>
          <w:sz w:val="24"/>
          <w:szCs w:val="24"/>
          <w:lang w:val="mn-MN"/>
        </w:rPr>
        <w:t xml:space="preserve">Нийгмийн даатгалын шимтгэлийг сан тус бүрээр авч үзвэл тэтгэврийн даатгалд 95.8 тэрбум төгрөг, тэтгэмжийн даатгалд 10.1 тэрбум, үйлдвэрлэлийн осол, мэргэжлээс шалтгаалсан өвчний даатгалд 2.9 тэрбум төгрөгийг тус тус </w:t>
      </w:r>
      <w:r w:rsidRPr="00863C12">
        <w:rPr>
          <w:rFonts w:ascii="Arial" w:hAnsi="Arial" w:cs="Arial"/>
          <w:b/>
          <w:bCs/>
          <w:i/>
          <w:iCs/>
          <w:sz w:val="24"/>
          <w:szCs w:val="24"/>
          <w:lang w:val="mn-MN"/>
        </w:rPr>
        <w:t xml:space="preserve">төлсөн хэвээр </w:t>
      </w:r>
      <w:r w:rsidRPr="00863C12">
        <w:rPr>
          <w:rFonts w:ascii="Arial" w:hAnsi="Arial" w:cs="Arial"/>
          <w:sz w:val="24"/>
          <w:szCs w:val="24"/>
          <w:lang w:val="mn-MN"/>
        </w:rPr>
        <w:t xml:space="preserve">байна. </w:t>
      </w:r>
    </w:p>
    <w:p w14:paraId="1A88DE5E" w14:textId="2EACA240" w:rsidR="00640003" w:rsidRPr="00863C12" w:rsidRDefault="00640003" w:rsidP="00640003">
      <w:pPr>
        <w:ind w:firstLine="720"/>
        <w:jc w:val="both"/>
        <w:rPr>
          <w:rFonts w:ascii="Arial" w:hAnsi="Arial" w:cs="Arial"/>
          <w:sz w:val="24"/>
          <w:szCs w:val="24"/>
          <w:lang w:val="mn-MN"/>
        </w:rPr>
      </w:pPr>
      <w:r w:rsidRPr="00863C12">
        <w:rPr>
          <w:rFonts w:ascii="Arial" w:hAnsi="Arial" w:cs="Arial"/>
          <w:sz w:val="24"/>
          <w:szCs w:val="24"/>
          <w:lang w:val="mn-MN"/>
        </w:rPr>
        <w:t xml:space="preserve">Иймд хуулийн төсөл </w:t>
      </w:r>
      <w:r w:rsidR="00863C12" w:rsidRPr="00863C12">
        <w:rPr>
          <w:rFonts w:ascii="Arial" w:hAnsi="Arial" w:cs="Arial"/>
          <w:sz w:val="24"/>
          <w:szCs w:val="24"/>
          <w:lang w:val="mn-MN"/>
        </w:rPr>
        <w:t>батлагдсанаар</w:t>
      </w:r>
      <w:r w:rsidRPr="00863C12">
        <w:rPr>
          <w:rFonts w:ascii="Arial" w:hAnsi="Arial" w:cs="Arial"/>
          <w:sz w:val="24"/>
          <w:szCs w:val="24"/>
          <w:lang w:val="mn-MN"/>
        </w:rPr>
        <w:t xml:space="preserve"> Нийгмийн даатгалын ерөнхий хуулийн           7 дугаар зүйлийн 7.6 дахь хэсэгт өндөр насны тэтгэвэр тогтоолгосон </w:t>
      </w:r>
      <w:r w:rsidRPr="00863C12">
        <w:rPr>
          <w:rFonts w:ascii="Arial" w:hAnsi="Arial" w:cs="Arial"/>
          <w:b/>
          <w:bCs/>
          <w:i/>
          <w:iCs/>
          <w:sz w:val="24"/>
          <w:szCs w:val="24"/>
          <w:lang w:val="mn-MN"/>
        </w:rPr>
        <w:t xml:space="preserve">бүх тэтгэвэр </w:t>
      </w:r>
      <w:r w:rsidRPr="00863C12">
        <w:rPr>
          <w:rFonts w:ascii="Arial" w:hAnsi="Arial" w:cs="Arial"/>
          <w:b/>
          <w:bCs/>
          <w:i/>
          <w:iCs/>
          <w:sz w:val="24"/>
          <w:szCs w:val="24"/>
          <w:lang w:val="mn-MN"/>
        </w:rPr>
        <w:lastRenderedPageBreak/>
        <w:t>авагчдыг хамааруулах</w:t>
      </w:r>
      <w:r w:rsidRPr="00863C12">
        <w:rPr>
          <w:rFonts w:ascii="Arial" w:hAnsi="Arial" w:cs="Arial"/>
          <w:sz w:val="24"/>
          <w:szCs w:val="24"/>
          <w:lang w:val="mn-MN"/>
        </w:rPr>
        <w:t xml:space="preserve"> бөгөөд тэтгэврийн даатгалын сангийн орлого 95.8 тэрбум төгрөгөөр буурах /</w:t>
      </w:r>
      <w:r w:rsidRPr="00863C12">
        <w:rPr>
          <w:rFonts w:ascii="Arial" w:hAnsi="Arial" w:cs="Arial"/>
          <w:i/>
          <w:iCs/>
          <w:sz w:val="24"/>
          <w:szCs w:val="24"/>
          <w:lang w:val="mn-MN"/>
        </w:rPr>
        <w:t>ажил олгогчийн төлөх 47.6 тэрбум, тэтгэвэр авагчийн төлөх 47.6 тэрбум төгрөг</w:t>
      </w:r>
      <w:r w:rsidRPr="00863C12">
        <w:rPr>
          <w:rFonts w:ascii="Arial" w:hAnsi="Arial" w:cs="Arial"/>
          <w:sz w:val="24"/>
          <w:szCs w:val="24"/>
          <w:lang w:val="mn-MN"/>
        </w:rPr>
        <w:t>/ бөгөөд энэ хэмжээгээр тэтгэврийн даатгалын санд олгох улсын төсвийн санхүүгийн дэмжлэгийн хэмжээ нэмэгдэнэ.</w:t>
      </w:r>
    </w:p>
    <w:p w14:paraId="189CC6E5" w14:textId="7DDFE6A5" w:rsidR="00D33BF4" w:rsidRPr="00863C12" w:rsidRDefault="00D33BF4" w:rsidP="00D33BF4">
      <w:pPr>
        <w:ind w:firstLine="720"/>
        <w:jc w:val="center"/>
        <w:rPr>
          <w:rFonts w:ascii="Arial" w:hAnsi="Arial" w:cs="Arial"/>
          <w:b/>
          <w:bCs/>
          <w:sz w:val="24"/>
          <w:szCs w:val="24"/>
          <w:lang w:val="mn-MN"/>
        </w:rPr>
      </w:pPr>
      <w:r w:rsidRPr="00863C12">
        <w:rPr>
          <w:rFonts w:ascii="Arial" w:hAnsi="Arial" w:cs="Arial"/>
          <w:b/>
          <w:bCs/>
          <w:sz w:val="24"/>
          <w:szCs w:val="24"/>
          <w:lang w:val="mn-MN"/>
        </w:rPr>
        <w:t>Хуулийн төсөлд тусгагдсан заалтын харьцуулалт, үр нөлөө</w:t>
      </w:r>
    </w:p>
    <w:p w14:paraId="4C9509D8" w14:textId="1D654466" w:rsidR="00D33BF4" w:rsidRPr="00863C12" w:rsidRDefault="00D33BF4" w:rsidP="00D33BF4">
      <w:pPr>
        <w:ind w:firstLine="720"/>
        <w:jc w:val="right"/>
        <w:rPr>
          <w:rFonts w:ascii="Arial" w:hAnsi="Arial" w:cs="Arial"/>
          <w:sz w:val="24"/>
          <w:szCs w:val="24"/>
          <w:lang w:val="mn-MN"/>
        </w:rPr>
      </w:pPr>
      <w:r w:rsidRPr="00863C12">
        <w:rPr>
          <w:rFonts w:ascii="Arial" w:hAnsi="Arial" w:cs="Arial"/>
          <w:sz w:val="24"/>
          <w:szCs w:val="24"/>
          <w:lang w:val="mn-MN"/>
        </w:rPr>
        <w:t>Хүснэгт №2</w:t>
      </w:r>
    </w:p>
    <w:p w14:paraId="25AB4DEB" w14:textId="77777777" w:rsidR="00640003" w:rsidRPr="00863C12" w:rsidRDefault="00640003" w:rsidP="006B0E0B">
      <w:pPr>
        <w:pStyle w:val="Heading2"/>
        <w:spacing w:before="0"/>
        <w:rPr>
          <w:rFonts w:ascii="Arial" w:hAnsi="Arial" w:cs="Arial"/>
          <w:color w:val="000000"/>
          <w:sz w:val="32"/>
          <w:szCs w:val="32"/>
          <w:lang w:val="mn-MN"/>
        </w:rPr>
      </w:pPr>
      <w:r w:rsidRPr="00863C12">
        <w:rPr>
          <w:rFonts w:ascii="Arial" w:hAnsi="Arial" w:cs="Arial"/>
          <w:color w:val="000000"/>
          <w:sz w:val="24"/>
          <w:szCs w:val="24"/>
          <w:lang w:val="mn-MN"/>
        </w:rPr>
        <w:t>Нийгмийн даатгалын ерөнхий хуулийн 7 дугаар зүйлийн 7.6 дахь хэсэг</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
        <w:gridCol w:w="2280"/>
        <w:gridCol w:w="2340"/>
        <w:gridCol w:w="2555"/>
        <w:gridCol w:w="1832"/>
      </w:tblGrid>
      <w:tr w:rsidR="00640003" w:rsidRPr="00863C12" w14:paraId="5DFA057A" w14:textId="77777777" w:rsidTr="00863C12">
        <w:trPr>
          <w:tblHeader/>
          <w:tblCellSpacing w:w="15" w:type="dxa"/>
        </w:trPr>
        <w:tc>
          <w:tcPr>
            <w:tcW w:w="0" w:type="auto"/>
            <w:vAlign w:val="center"/>
            <w:hideMark/>
          </w:tcPr>
          <w:p w14:paraId="37D901AB" w14:textId="77777777" w:rsidR="00640003" w:rsidRPr="00863C12" w:rsidRDefault="00640003" w:rsidP="006B0E0B">
            <w:pPr>
              <w:jc w:val="center"/>
              <w:rPr>
                <w:rFonts w:ascii="Arial" w:hAnsi="Arial" w:cs="Arial"/>
                <w:b/>
                <w:bCs/>
                <w:lang w:val="mn-MN"/>
              </w:rPr>
            </w:pPr>
            <w:r w:rsidRPr="00863C12">
              <w:rPr>
                <w:rFonts w:ascii="Arial" w:hAnsi="Arial" w:cs="Arial"/>
                <w:b/>
                <w:bCs/>
                <w:lang w:val="mn-MN"/>
              </w:rPr>
              <w:t>№</w:t>
            </w:r>
          </w:p>
        </w:tc>
        <w:tc>
          <w:tcPr>
            <w:tcW w:w="0" w:type="auto"/>
            <w:vAlign w:val="center"/>
            <w:hideMark/>
          </w:tcPr>
          <w:p w14:paraId="1B21DA09" w14:textId="77777777" w:rsidR="00640003" w:rsidRPr="00863C12" w:rsidRDefault="00640003" w:rsidP="006B0E0B">
            <w:pPr>
              <w:jc w:val="center"/>
              <w:rPr>
                <w:rFonts w:ascii="Arial" w:hAnsi="Arial" w:cs="Arial"/>
                <w:b/>
                <w:bCs/>
                <w:lang w:val="mn-MN"/>
              </w:rPr>
            </w:pPr>
            <w:r w:rsidRPr="00863C12">
              <w:rPr>
                <w:rFonts w:ascii="Arial" w:hAnsi="Arial" w:cs="Arial"/>
                <w:b/>
                <w:bCs/>
                <w:lang w:val="mn-MN"/>
              </w:rPr>
              <w:t>Хуучин зохицуулалт</w:t>
            </w:r>
          </w:p>
        </w:tc>
        <w:tc>
          <w:tcPr>
            <w:tcW w:w="0" w:type="auto"/>
            <w:vAlign w:val="center"/>
            <w:hideMark/>
          </w:tcPr>
          <w:p w14:paraId="7CB647BC" w14:textId="209B6802" w:rsidR="00640003" w:rsidRPr="00863C12" w:rsidRDefault="00640003" w:rsidP="006B0E0B">
            <w:pPr>
              <w:jc w:val="center"/>
              <w:rPr>
                <w:rFonts w:ascii="Arial" w:hAnsi="Arial" w:cs="Arial"/>
                <w:b/>
                <w:bCs/>
                <w:lang w:val="mn-MN"/>
              </w:rPr>
            </w:pPr>
            <w:r w:rsidRPr="00863C12">
              <w:rPr>
                <w:rFonts w:ascii="Arial" w:hAnsi="Arial" w:cs="Arial"/>
                <w:b/>
                <w:bCs/>
                <w:lang w:val="mn-MN"/>
              </w:rPr>
              <w:t>Хуулийн төслийн зохицуулалт</w:t>
            </w:r>
          </w:p>
        </w:tc>
        <w:tc>
          <w:tcPr>
            <w:tcW w:w="0" w:type="auto"/>
            <w:vAlign w:val="center"/>
            <w:hideMark/>
          </w:tcPr>
          <w:p w14:paraId="77EAE789" w14:textId="77777777" w:rsidR="00640003" w:rsidRPr="00863C12" w:rsidRDefault="00640003" w:rsidP="006B0E0B">
            <w:pPr>
              <w:jc w:val="center"/>
              <w:rPr>
                <w:rFonts w:ascii="Arial" w:hAnsi="Arial" w:cs="Arial"/>
                <w:b/>
                <w:bCs/>
                <w:lang w:val="mn-MN"/>
              </w:rPr>
            </w:pPr>
            <w:r w:rsidRPr="00863C12">
              <w:rPr>
                <w:rFonts w:ascii="Arial" w:hAnsi="Arial" w:cs="Arial"/>
                <w:b/>
                <w:bCs/>
                <w:lang w:val="mn-MN"/>
              </w:rPr>
              <w:t>Өөрчлөлтийн агуулга</w:t>
            </w:r>
          </w:p>
        </w:tc>
        <w:tc>
          <w:tcPr>
            <w:tcW w:w="0" w:type="auto"/>
            <w:vAlign w:val="center"/>
            <w:hideMark/>
          </w:tcPr>
          <w:p w14:paraId="09C176DF" w14:textId="77777777" w:rsidR="00640003" w:rsidRPr="00863C12" w:rsidRDefault="00640003" w:rsidP="006B0E0B">
            <w:pPr>
              <w:jc w:val="center"/>
              <w:rPr>
                <w:rFonts w:ascii="Arial" w:hAnsi="Arial" w:cs="Arial"/>
                <w:b/>
                <w:bCs/>
                <w:lang w:val="mn-MN"/>
              </w:rPr>
            </w:pPr>
            <w:r w:rsidRPr="00863C12">
              <w:rPr>
                <w:rFonts w:ascii="Arial" w:hAnsi="Arial" w:cs="Arial"/>
                <w:b/>
                <w:bCs/>
                <w:lang w:val="mn-MN"/>
              </w:rPr>
              <w:t>Үр нөлөө</w:t>
            </w:r>
          </w:p>
        </w:tc>
      </w:tr>
      <w:tr w:rsidR="00640003" w:rsidRPr="00863C12" w14:paraId="711032DB" w14:textId="77777777" w:rsidTr="00863C12">
        <w:trPr>
          <w:trHeight w:val="1156"/>
          <w:tblCellSpacing w:w="15" w:type="dxa"/>
        </w:trPr>
        <w:tc>
          <w:tcPr>
            <w:tcW w:w="0" w:type="auto"/>
            <w:vAlign w:val="center"/>
            <w:hideMark/>
          </w:tcPr>
          <w:p w14:paraId="5BB10990" w14:textId="77777777" w:rsidR="00640003" w:rsidRPr="00863C12" w:rsidRDefault="00640003" w:rsidP="006B0E0B">
            <w:pPr>
              <w:rPr>
                <w:rFonts w:ascii="Arial" w:hAnsi="Arial" w:cs="Arial"/>
                <w:lang w:val="mn-MN"/>
              </w:rPr>
            </w:pPr>
            <w:r w:rsidRPr="00863C12">
              <w:rPr>
                <w:rFonts w:ascii="Arial" w:hAnsi="Arial" w:cs="Arial"/>
                <w:lang w:val="mn-MN"/>
              </w:rPr>
              <w:t>1</w:t>
            </w:r>
          </w:p>
        </w:tc>
        <w:tc>
          <w:tcPr>
            <w:tcW w:w="0" w:type="auto"/>
            <w:vAlign w:val="center"/>
            <w:hideMark/>
          </w:tcPr>
          <w:p w14:paraId="31C8B6E6" w14:textId="77777777" w:rsidR="00640003" w:rsidRPr="00863C12" w:rsidRDefault="00640003" w:rsidP="006B0E0B">
            <w:pPr>
              <w:rPr>
                <w:rFonts w:ascii="Arial" w:hAnsi="Arial" w:cs="Arial"/>
                <w:lang w:val="mn-MN"/>
              </w:rPr>
            </w:pPr>
            <w:r w:rsidRPr="00863C12">
              <w:rPr>
                <w:rFonts w:ascii="Arial" w:hAnsi="Arial" w:cs="Arial"/>
                <w:lang w:val="mn-MN"/>
              </w:rPr>
              <w:t>“...5.1.1-д заасан...”</w:t>
            </w:r>
          </w:p>
        </w:tc>
        <w:tc>
          <w:tcPr>
            <w:tcW w:w="0" w:type="auto"/>
            <w:vAlign w:val="center"/>
            <w:hideMark/>
          </w:tcPr>
          <w:p w14:paraId="7C1D6A5F" w14:textId="77777777" w:rsidR="00640003" w:rsidRPr="00863C12" w:rsidRDefault="00640003" w:rsidP="006B0E0B">
            <w:pPr>
              <w:rPr>
                <w:rFonts w:ascii="Arial" w:hAnsi="Arial" w:cs="Arial"/>
                <w:lang w:val="mn-MN"/>
              </w:rPr>
            </w:pPr>
            <w:r w:rsidRPr="00863C12">
              <w:rPr>
                <w:rFonts w:ascii="Arial" w:hAnsi="Arial" w:cs="Arial"/>
                <w:lang w:val="mn-MN"/>
              </w:rPr>
              <w:t>“...5.1-д заасан...”</w:t>
            </w:r>
          </w:p>
        </w:tc>
        <w:tc>
          <w:tcPr>
            <w:tcW w:w="0" w:type="auto"/>
            <w:vAlign w:val="center"/>
            <w:hideMark/>
          </w:tcPr>
          <w:p w14:paraId="0F86B008" w14:textId="77777777" w:rsidR="00640003" w:rsidRPr="00863C12" w:rsidRDefault="00640003" w:rsidP="006B0E0B">
            <w:pPr>
              <w:rPr>
                <w:rFonts w:ascii="Arial" w:hAnsi="Arial" w:cs="Arial"/>
                <w:lang w:val="mn-MN"/>
              </w:rPr>
            </w:pPr>
            <w:r w:rsidRPr="00863C12">
              <w:rPr>
                <w:rFonts w:ascii="Arial" w:hAnsi="Arial" w:cs="Arial"/>
                <w:lang w:val="mn-MN"/>
              </w:rPr>
              <w:t>Хамрах хүрээг өргөтгөсөн (зөвхөн 5.1.1 биш бүх 5.1-д хамааруулсан)</w:t>
            </w:r>
          </w:p>
        </w:tc>
        <w:tc>
          <w:tcPr>
            <w:tcW w:w="0" w:type="auto"/>
            <w:vAlign w:val="center"/>
            <w:hideMark/>
          </w:tcPr>
          <w:p w14:paraId="3D1BDD93" w14:textId="77777777" w:rsidR="00640003" w:rsidRPr="00863C12" w:rsidRDefault="00640003" w:rsidP="006B0E0B">
            <w:pPr>
              <w:rPr>
                <w:rFonts w:ascii="Arial" w:hAnsi="Arial" w:cs="Arial"/>
                <w:lang w:val="mn-MN"/>
              </w:rPr>
            </w:pPr>
            <w:r w:rsidRPr="00863C12">
              <w:rPr>
                <w:rFonts w:ascii="Arial" w:hAnsi="Arial" w:cs="Arial"/>
                <w:lang w:val="mn-MN"/>
              </w:rPr>
              <w:t>Илүү олон тэтгэвэр авагч хамрагдана</w:t>
            </w:r>
          </w:p>
        </w:tc>
      </w:tr>
      <w:tr w:rsidR="00640003" w:rsidRPr="00863C12" w14:paraId="03E2B170" w14:textId="77777777" w:rsidTr="00863C12">
        <w:trPr>
          <w:tblCellSpacing w:w="15" w:type="dxa"/>
        </w:trPr>
        <w:tc>
          <w:tcPr>
            <w:tcW w:w="0" w:type="auto"/>
            <w:vAlign w:val="center"/>
            <w:hideMark/>
          </w:tcPr>
          <w:p w14:paraId="157BEF53" w14:textId="77777777" w:rsidR="00640003" w:rsidRPr="00863C12" w:rsidRDefault="00640003" w:rsidP="006B0E0B">
            <w:pPr>
              <w:rPr>
                <w:rFonts w:ascii="Arial" w:hAnsi="Arial" w:cs="Arial"/>
                <w:lang w:val="mn-MN"/>
              </w:rPr>
            </w:pPr>
            <w:r w:rsidRPr="00863C12">
              <w:rPr>
                <w:rFonts w:ascii="Arial" w:hAnsi="Arial" w:cs="Arial"/>
                <w:lang w:val="mn-MN"/>
              </w:rPr>
              <w:t>2</w:t>
            </w:r>
          </w:p>
        </w:tc>
        <w:tc>
          <w:tcPr>
            <w:tcW w:w="0" w:type="auto"/>
            <w:vAlign w:val="center"/>
            <w:hideMark/>
          </w:tcPr>
          <w:p w14:paraId="4E990F0E" w14:textId="77777777" w:rsidR="00640003" w:rsidRPr="00863C12" w:rsidRDefault="00640003" w:rsidP="006B0E0B">
            <w:pPr>
              <w:rPr>
                <w:rFonts w:ascii="Arial" w:hAnsi="Arial" w:cs="Arial"/>
                <w:lang w:val="mn-MN"/>
              </w:rPr>
            </w:pPr>
            <w:r w:rsidRPr="00863C12">
              <w:rPr>
                <w:rFonts w:ascii="Arial" w:hAnsi="Arial" w:cs="Arial"/>
                <w:lang w:val="mn-MN"/>
              </w:rPr>
              <w:t>“насанд хүрсэн” гэсэн шалгууртай</w:t>
            </w:r>
          </w:p>
        </w:tc>
        <w:tc>
          <w:tcPr>
            <w:tcW w:w="0" w:type="auto"/>
            <w:vAlign w:val="center"/>
            <w:hideMark/>
          </w:tcPr>
          <w:p w14:paraId="60E36600" w14:textId="77777777" w:rsidR="00640003" w:rsidRPr="00863C12" w:rsidRDefault="00640003" w:rsidP="006B0E0B">
            <w:pPr>
              <w:rPr>
                <w:rFonts w:ascii="Arial" w:hAnsi="Arial" w:cs="Arial"/>
                <w:lang w:val="mn-MN"/>
              </w:rPr>
            </w:pPr>
            <w:r w:rsidRPr="00863C12">
              <w:rPr>
                <w:rFonts w:ascii="Arial" w:hAnsi="Arial" w:cs="Arial"/>
                <w:lang w:val="mn-MN"/>
              </w:rPr>
              <w:t>“насанд хүрсэн” гэснийг хассан</w:t>
            </w:r>
          </w:p>
        </w:tc>
        <w:tc>
          <w:tcPr>
            <w:tcW w:w="0" w:type="auto"/>
            <w:vAlign w:val="center"/>
            <w:hideMark/>
          </w:tcPr>
          <w:p w14:paraId="0ECCE6A5" w14:textId="77777777" w:rsidR="00640003" w:rsidRPr="00863C12" w:rsidRDefault="00640003" w:rsidP="006B0E0B">
            <w:pPr>
              <w:rPr>
                <w:rFonts w:ascii="Arial" w:hAnsi="Arial" w:cs="Arial"/>
                <w:lang w:val="mn-MN"/>
              </w:rPr>
            </w:pPr>
            <w:r w:rsidRPr="00863C12">
              <w:rPr>
                <w:rFonts w:ascii="Arial" w:hAnsi="Arial" w:cs="Arial"/>
                <w:lang w:val="mn-MN"/>
              </w:rPr>
              <w:t>Насны давхардсан, ялгавартай шалгуурыг арилгасан</w:t>
            </w:r>
          </w:p>
        </w:tc>
        <w:tc>
          <w:tcPr>
            <w:tcW w:w="0" w:type="auto"/>
            <w:vAlign w:val="center"/>
            <w:hideMark/>
          </w:tcPr>
          <w:p w14:paraId="65B8F6D8" w14:textId="77777777" w:rsidR="00640003" w:rsidRPr="00863C12" w:rsidRDefault="00640003" w:rsidP="006B0E0B">
            <w:pPr>
              <w:rPr>
                <w:rFonts w:ascii="Arial" w:hAnsi="Arial" w:cs="Arial"/>
                <w:lang w:val="mn-MN"/>
              </w:rPr>
            </w:pPr>
            <w:r w:rsidRPr="00863C12">
              <w:rPr>
                <w:rFonts w:ascii="Arial" w:hAnsi="Arial" w:cs="Arial"/>
                <w:lang w:val="mn-MN"/>
              </w:rPr>
              <w:t>Тэгш байдал хангагдана</w:t>
            </w:r>
          </w:p>
        </w:tc>
      </w:tr>
      <w:tr w:rsidR="00640003" w:rsidRPr="00863C12" w14:paraId="3D769DE0" w14:textId="77777777" w:rsidTr="00863C12">
        <w:trPr>
          <w:tblCellSpacing w:w="15" w:type="dxa"/>
        </w:trPr>
        <w:tc>
          <w:tcPr>
            <w:tcW w:w="0" w:type="auto"/>
            <w:vAlign w:val="center"/>
            <w:hideMark/>
          </w:tcPr>
          <w:p w14:paraId="2ABDB78F" w14:textId="77777777" w:rsidR="00640003" w:rsidRPr="00863C12" w:rsidRDefault="00640003" w:rsidP="006B0E0B">
            <w:pPr>
              <w:rPr>
                <w:rFonts w:ascii="Arial" w:hAnsi="Arial" w:cs="Arial"/>
                <w:lang w:val="mn-MN"/>
              </w:rPr>
            </w:pPr>
            <w:r w:rsidRPr="00863C12">
              <w:rPr>
                <w:rFonts w:ascii="Arial" w:hAnsi="Arial" w:cs="Arial"/>
                <w:lang w:val="mn-MN"/>
              </w:rPr>
              <w:t>3</w:t>
            </w:r>
          </w:p>
        </w:tc>
        <w:tc>
          <w:tcPr>
            <w:tcW w:w="0" w:type="auto"/>
            <w:vAlign w:val="center"/>
            <w:hideMark/>
          </w:tcPr>
          <w:p w14:paraId="4B37A052" w14:textId="77777777" w:rsidR="00640003" w:rsidRPr="00863C12" w:rsidRDefault="00640003" w:rsidP="006B0E0B">
            <w:pPr>
              <w:rPr>
                <w:rFonts w:ascii="Arial" w:hAnsi="Arial" w:cs="Arial"/>
                <w:lang w:val="mn-MN"/>
              </w:rPr>
            </w:pPr>
            <w:r w:rsidRPr="00863C12">
              <w:rPr>
                <w:rFonts w:ascii="Arial" w:hAnsi="Arial" w:cs="Arial"/>
                <w:lang w:val="mn-MN"/>
              </w:rPr>
              <w:t>Цэргийн тэтгэвэр авагч тодорхой тусгагдаагүй</w:t>
            </w:r>
          </w:p>
        </w:tc>
        <w:tc>
          <w:tcPr>
            <w:tcW w:w="0" w:type="auto"/>
            <w:vAlign w:val="center"/>
            <w:hideMark/>
          </w:tcPr>
          <w:p w14:paraId="300E4C8C" w14:textId="77777777" w:rsidR="00640003" w:rsidRPr="00863C12" w:rsidRDefault="00640003" w:rsidP="006B0E0B">
            <w:pPr>
              <w:rPr>
                <w:rFonts w:ascii="Arial" w:hAnsi="Arial" w:cs="Arial"/>
                <w:lang w:val="mn-MN"/>
              </w:rPr>
            </w:pPr>
            <w:r w:rsidRPr="00863C12">
              <w:rPr>
                <w:rFonts w:ascii="Arial" w:hAnsi="Arial" w:cs="Arial"/>
                <w:lang w:val="mn-MN"/>
              </w:rPr>
              <w:t>“...Цэргийн алба хаагчийн тэтгэвэр... тогтоолгосон” гэж нэмсэн</w:t>
            </w:r>
          </w:p>
        </w:tc>
        <w:tc>
          <w:tcPr>
            <w:tcW w:w="0" w:type="auto"/>
            <w:vAlign w:val="center"/>
            <w:hideMark/>
          </w:tcPr>
          <w:p w14:paraId="2F9B59C6" w14:textId="77777777" w:rsidR="00640003" w:rsidRPr="00863C12" w:rsidRDefault="00640003" w:rsidP="006B0E0B">
            <w:pPr>
              <w:rPr>
                <w:rFonts w:ascii="Arial" w:hAnsi="Arial" w:cs="Arial"/>
                <w:lang w:val="mn-MN"/>
              </w:rPr>
            </w:pPr>
            <w:r w:rsidRPr="00863C12">
              <w:rPr>
                <w:rFonts w:ascii="Arial" w:hAnsi="Arial" w:cs="Arial"/>
                <w:lang w:val="mn-MN"/>
              </w:rPr>
              <w:t>Цэргийн тэтгэвэр авагчийг хамруулсан</w:t>
            </w:r>
          </w:p>
        </w:tc>
        <w:tc>
          <w:tcPr>
            <w:tcW w:w="0" w:type="auto"/>
            <w:vAlign w:val="center"/>
            <w:hideMark/>
          </w:tcPr>
          <w:p w14:paraId="75CFBC45" w14:textId="77777777" w:rsidR="00640003" w:rsidRPr="00863C12" w:rsidRDefault="00640003" w:rsidP="006B0E0B">
            <w:pPr>
              <w:rPr>
                <w:rFonts w:ascii="Arial" w:hAnsi="Arial" w:cs="Arial"/>
                <w:lang w:val="mn-MN"/>
              </w:rPr>
            </w:pPr>
            <w:r w:rsidRPr="00863C12">
              <w:rPr>
                <w:rFonts w:ascii="Arial" w:hAnsi="Arial" w:cs="Arial"/>
                <w:lang w:val="mn-MN"/>
              </w:rPr>
              <w:t>Ялгавар арилна</w:t>
            </w:r>
          </w:p>
        </w:tc>
      </w:tr>
      <w:tr w:rsidR="00640003" w:rsidRPr="00863C12" w14:paraId="0A7A41C6" w14:textId="77777777" w:rsidTr="00863C12">
        <w:trPr>
          <w:tblCellSpacing w:w="15" w:type="dxa"/>
        </w:trPr>
        <w:tc>
          <w:tcPr>
            <w:tcW w:w="0" w:type="auto"/>
            <w:vAlign w:val="center"/>
            <w:hideMark/>
          </w:tcPr>
          <w:p w14:paraId="0A936921" w14:textId="77777777" w:rsidR="00640003" w:rsidRPr="00863C12" w:rsidRDefault="00640003" w:rsidP="006B0E0B">
            <w:pPr>
              <w:rPr>
                <w:rFonts w:ascii="Arial" w:hAnsi="Arial" w:cs="Arial"/>
                <w:lang w:val="mn-MN"/>
              </w:rPr>
            </w:pPr>
            <w:r w:rsidRPr="00863C12">
              <w:rPr>
                <w:rFonts w:ascii="Arial" w:hAnsi="Arial" w:cs="Arial"/>
                <w:lang w:val="mn-MN"/>
              </w:rPr>
              <w:t>4</w:t>
            </w:r>
          </w:p>
        </w:tc>
        <w:tc>
          <w:tcPr>
            <w:tcW w:w="0" w:type="auto"/>
            <w:vAlign w:val="center"/>
            <w:hideMark/>
          </w:tcPr>
          <w:p w14:paraId="5434C6CB" w14:textId="77777777" w:rsidR="00640003" w:rsidRPr="00863C12" w:rsidRDefault="00640003" w:rsidP="006B0E0B">
            <w:pPr>
              <w:rPr>
                <w:rFonts w:ascii="Arial" w:hAnsi="Arial" w:cs="Arial"/>
                <w:lang w:val="mn-MN"/>
              </w:rPr>
            </w:pPr>
            <w:r w:rsidRPr="00863C12">
              <w:rPr>
                <w:rFonts w:ascii="Arial" w:hAnsi="Arial" w:cs="Arial"/>
                <w:lang w:val="mn-MN"/>
              </w:rPr>
              <w:t>Хязгаарлагдмал хамрах хүрээ</w:t>
            </w:r>
          </w:p>
        </w:tc>
        <w:tc>
          <w:tcPr>
            <w:tcW w:w="0" w:type="auto"/>
            <w:vAlign w:val="center"/>
            <w:hideMark/>
          </w:tcPr>
          <w:p w14:paraId="07BB2F3E" w14:textId="77777777" w:rsidR="00640003" w:rsidRPr="00863C12" w:rsidRDefault="00640003" w:rsidP="006B0E0B">
            <w:pPr>
              <w:rPr>
                <w:rFonts w:ascii="Arial" w:hAnsi="Arial" w:cs="Arial"/>
                <w:lang w:val="mn-MN"/>
              </w:rPr>
            </w:pPr>
            <w:r w:rsidRPr="00863C12">
              <w:rPr>
                <w:rFonts w:ascii="Arial" w:hAnsi="Arial" w:cs="Arial"/>
                <w:lang w:val="mn-MN"/>
              </w:rPr>
              <w:t>Өргөтгөсөн хамрах хүрээ</w:t>
            </w:r>
          </w:p>
        </w:tc>
        <w:tc>
          <w:tcPr>
            <w:tcW w:w="0" w:type="auto"/>
            <w:vAlign w:val="center"/>
            <w:hideMark/>
          </w:tcPr>
          <w:p w14:paraId="33101AAB" w14:textId="77777777" w:rsidR="00640003" w:rsidRPr="00863C12" w:rsidRDefault="00640003" w:rsidP="006B0E0B">
            <w:pPr>
              <w:rPr>
                <w:rFonts w:ascii="Arial" w:hAnsi="Arial" w:cs="Arial"/>
                <w:lang w:val="mn-MN"/>
              </w:rPr>
            </w:pPr>
            <w:r w:rsidRPr="00863C12">
              <w:rPr>
                <w:rFonts w:ascii="Arial" w:hAnsi="Arial" w:cs="Arial"/>
                <w:lang w:val="mn-MN"/>
              </w:rPr>
              <w:t>Бүх төрлийн тэтгэвэр авагчийг хамруулах</w:t>
            </w:r>
          </w:p>
        </w:tc>
        <w:tc>
          <w:tcPr>
            <w:tcW w:w="0" w:type="auto"/>
            <w:vAlign w:val="center"/>
            <w:hideMark/>
          </w:tcPr>
          <w:p w14:paraId="0BDBCDFE" w14:textId="77777777" w:rsidR="00640003" w:rsidRPr="00863C12" w:rsidRDefault="00640003" w:rsidP="006B0E0B">
            <w:pPr>
              <w:rPr>
                <w:rFonts w:ascii="Arial" w:hAnsi="Arial" w:cs="Arial"/>
                <w:lang w:val="mn-MN"/>
              </w:rPr>
            </w:pPr>
            <w:r w:rsidRPr="00863C12">
              <w:rPr>
                <w:rFonts w:ascii="Arial" w:hAnsi="Arial" w:cs="Arial"/>
                <w:lang w:val="mn-MN"/>
              </w:rPr>
              <w:t>Хөдөлмөр эрхлэлтийн оролцоо нэмэгдэнэ</w:t>
            </w:r>
          </w:p>
        </w:tc>
      </w:tr>
      <w:tr w:rsidR="00640003" w:rsidRPr="00863C12" w14:paraId="49530116" w14:textId="77777777" w:rsidTr="00863C12">
        <w:trPr>
          <w:tblCellSpacing w:w="15" w:type="dxa"/>
        </w:trPr>
        <w:tc>
          <w:tcPr>
            <w:tcW w:w="0" w:type="auto"/>
            <w:vAlign w:val="center"/>
            <w:hideMark/>
          </w:tcPr>
          <w:p w14:paraId="0F39FAC3" w14:textId="77777777" w:rsidR="00640003" w:rsidRPr="00863C12" w:rsidRDefault="00640003" w:rsidP="006B0E0B">
            <w:pPr>
              <w:rPr>
                <w:rFonts w:ascii="Arial" w:hAnsi="Arial" w:cs="Arial"/>
                <w:lang w:val="mn-MN"/>
              </w:rPr>
            </w:pPr>
            <w:r w:rsidRPr="00863C12">
              <w:rPr>
                <w:rFonts w:ascii="Arial" w:hAnsi="Arial" w:cs="Arial"/>
                <w:lang w:val="mn-MN"/>
              </w:rPr>
              <w:t>5</w:t>
            </w:r>
          </w:p>
        </w:tc>
        <w:tc>
          <w:tcPr>
            <w:tcW w:w="0" w:type="auto"/>
            <w:vAlign w:val="center"/>
            <w:hideMark/>
          </w:tcPr>
          <w:p w14:paraId="3E55B64C" w14:textId="77777777" w:rsidR="00640003" w:rsidRPr="00863C12" w:rsidRDefault="00640003" w:rsidP="006B0E0B">
            <w:pPr>
              <w:rPr>
                <w:rFonts w:ascii="Arial" w:hAnsi="Arial" w:cs="Arial"/>
                <w:lang w:val="mn-MN"/>
              </w:rPr>
            </w:pPr>
            <w:r w:rsidRPr="00863C12">
              <w:rPr>
                <w:rFonts w:ascii="Arial" w:hAnsi="Arial" w:cs="Arial"/>
                <w:lang w:val="mn-MN"/>
              </w:rPr>
              <w:t>Зохицуулалт ойлгомжгүй, хэсэгчилсэн</w:t>
            </w:r>
          </w:p>
        </w:tc>
        <w:tc>
          <w:tcPr>
            <w:tcW w:w="0" w:type="auto"/>
            <w:vAlign w:val="center"/>
            <w:hideMark/>
          </w:tcPr>
          <w:p w14:paraId="793F68EF" w14:textId="77777777" w:rsidR="00640003" w:rsidRPr="00863C12" w:rsidRDefault="00640003" w:rsidP="006B0E0B">
            <w:pPr>
              <w:rPr>
                <w:rFonts w:ascii="Arial" w:hAnsi="Arial" w:cs="Arial"/>
                <w:lang w:val="mn-MN"/>
              </w:rPr>
            </w:pPr>
            <w:r w:rsidRPr="00863C12">
              <w:rPr>
                <w:rFonts w:ascii="Arial" w:hAnsi="Arial" w:cs="Arial"/>
                <w:lang w:val="mn-MN"/>
              </w:rPr>
              <w:t>Илүү тодорхой, иж бүрэн</w:t>
            </w:r>
          </w:p>
        </w:tc>
        <w:tc>
          <w:tcPr>
            <w:tcW w:w="0" w:type="auto"/>
            <w:vAlign w:val="center"/>
            <w:hideMark/>
          </w:tcPr>
          <w:p w14:paraId="10A9852C" w14:textId="77777777" w:rsidR="00640003" w:rsidRPr="00863C12" w:rsidRDefault="00640003" w:rsidP="006B0E0B">
            <w:pPr>
              <w:rPr>
                <w:rFonts w:ascii="Arial" w:hAnsi="Arial" w:cs="Arial"/>
                <w:lang w:val="mn-MN"/>
              </w:rPr>
            </w:pPr>
            <w:r w:rsidRPr="00863C12">
              <w:rPr>
                <w:rFonts w:ascii="Arial" w:hAnsi="Arial" w:cs="Arial"/>
                <w:lang w:val="mn-MN"/>
              </w:rPr>
              <w:t>Хуулийн хэл найруулга сайжирсан</w:t>
            </w:r>
          </w:p>
        </w:tc>
        <w:tc>
          <w:tcPr>
            <w:tcW w:w="0" w:type="auto"/>
            <w:vAlign w:val="center"/>
            <w:hideMark/>
          </w:tcPr>
          <w:p w14:paraId="5266B5A3" w14:textId="77777777" w:rsidR="00640003" w:rsidRPr="00863C12" w:rsidRDefault="00640003" w:rsidP="006B0E0B">
            <w:pPr>
              <w:rPr>
                <w:rFonts w:ascii="Arial" w:hAnsi="Arial" w:cs="Arial"/>
                <w:lang w:val="mn-MN"/>
              </w:rPr>
            </w:pPr>
            <w:r w:rsidRPr="00863C12">
              <w:rPr>
                <w:rFonts w:ascii="Arial" w:hAnsi="Arial" w:cs="Arial"/>
                <w:lang w:val="mn-MN"/>
              </w:rPr>
              <w:t>Хэрэгжилт хялбар болно</w:t>
            </w:r>
          </w:p>
        </w:tc>
      </w:tr>
    </w:tbl>
    <w:p w14:paraId="7633E74E" w14:textId="77777777" w:rsidR="00A40E19" w:rsidRPr="00863C12" w:rsidRDefault="00A40E19" w:rsidP="006B0E0B">
      <w:pPr>
        <w:pStyle w:val="Heading2"/>
        <w:spacing w:before="0"/>
        <w:rPr>
          <w:rStyle w:val="Strong"/>
          <w:rFonts w:ascii="Arial" w:hAnsi="Arial" w:cs="Arial"/>
          <w:b w:val="0"/>
          <w:bCs w:val="0"/>
          <w:color w:val="000000"/>
          <w:lang w:val="mn-MN"/>
        </w:rPr>
      </w:pPr>
    </w:p>
    <w:p w14:paraId="6DD5BE08" w14:textId="0A263109" w:rsidR="00640003" w:rsidRPr="00863C12" w:rsidRDefault="00640003" w:rsidP="006B0E0B">
      <w:pPr>
        <w:pStyle w:val="Heading2"/>
        <w:spacing w:before="0"/>
        <w:rPr>
          <w:rFonts w:ascii="Arial" w:hAnsi="Arial" w:cs="Arial"/>
          <w:color w:val="000000"/>
          <w:lang w:val="mn-MN"/>
        </w:rPr>
      </w:pPr>
      <w:r w:rsidRPr="00863C12">
        <w:rPr>
          <w:rStyle w:val="Strong"/>
          <w:rFonts w:ascii="Arial" w:hAnsi="Arial" w:cs="Arial"/>
          <w:b w:val="0"/>
          <w:bCs w:val="0"/>
          <w:color w:val="000000"/>
          <w:lang w:val="mn-MN"/>
        </w:rPr>
        <w:t>Хуулийн 3 дугаар зүйл (шинээр нэмэгдэж буй)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
        <w:gridCol w:w="2373"/>
        <w:gridCol w:w="2394"/>
        <w:gridCol w:w="2478"/>
        <w:gridCol w:w="1762"/>
      </w:tblGrid>
      <w:tr w:rsidR="00640003" w:rsidRPr="00863C12" w14:paraId="45D0E145" w14:textId="77777777" w:rsidTr="00E91E78">
        <w:trPr>
          <w:tblHeader/>
          <w:tblCellSpacing w:w="15" w:type="dxa"/>
        </w:trPr>
        <w:tc>
          <w:tcPr>
            <w:tcW w:w="0" w:type="auto"/>
            <w:vAlign w:val="center"/>
            <w:hideMark/>
          </w:tcPr>
          <w:p w14:paraId="3BE83104" w14:textId="77777777" w:rsidR="00640003" w:rsidRPr="00863C12" w:rsidRDefault="00640003" w:rsidP="006B0E0B">
            <w:pPr>
              <w:jc w:val="center"/>
              <w:rPr>
                <w:rFonts w:ascii="Arial" w:hAnsi="Arial" w:cs="Arial"/>
                <w:b/>
                <w:bCs/>
                <w:lang w:val="mn-MN"/>
              </w:rPr>
            </w:pPr>
            <w:r w:rsidRPr="00863C12">
              <w:rPr>
                <w:rFonts w:ascii="Arial" w:hAnsi="Arial" w:cs="Arial"/>
                <w:b/>
                <w:bCs/>
                <w:lang w:val="mn-MN"/>
              </w:rPr>
              <w:t>№</w:t>
            </w:r>
          </w:p>
        </w:tc>
        <w:tc>
          <w:tcPr>
            <w:tcW w:w="0" w:type="auto"/>
            <w:vAlign w:val="center"/>
            <w:hideMark/>
          </w:tcPr>
          <w:p w14:paraId="55AD46E3" w14:textId="77777777" w:rsidR="00640003" w:rsidRPr="00863C12" w:rsidRDefault="00640003" w:rsidP="006B0E0B">
            <w:pPr>
              <w:jc w:val="center"/>
              <w:rPr>
                <w:rFonts w:ascii="Arial" w:hAnsi="Arial" w:cs="Arial"/>
                <w:b/>
                <w:bCs/>
                <w:lang w:val="mn-MN"/>
              </w:rPr>
            </w:pPr>
            <w:r w:rsidRPr="00863C12">
              <w:rPr>
                <w:rFonts w:ascii="Arial" w:hAnsi="Arial" w:cs="Arial"/>
                <w:b/>
                <w:bCs/>
                <w:lang w:val="mn-MN"/>
              </w:rPr>
              <w:t>Хуучин зохицуулалт</w:t>
            </w:r>
          </w:p>
        </w:tc>
        <w:tc>
          <w:tcPr>
            <w:tcW w:w="0" w:type="auto"/>
            <w:vAlign w:val="center"/>
            <w:hideMark/>
          </w:tcPr>
          <w:p w14:paraId="73854389" w14:textId="77777777" w:rsidR="00640003" w:rsidRPr="00863C12" w:rsidRDefault="00640003" w:rsidP="006B0E0B">
            <w:pPr>
              <w:jc w:val="center"/>
              <w:rPr>
                <w:rFonts w:ascii="Arial" w:hAnsi="Arial" w:cs="Arial"/>
                <w:b/>
                <w:bCs/>
                <w:lang w:val="mn-MN"/>
              </w:rPr>
            </w:pPr>
            <w:r w:rsidRPr="00863C12">
              <w:rPr>
                <w:rFonts w:ascii="Arial" w:hAnsi="Arial" w:cs="Arial"/>
                <w:b/>
                <w:bCs/>
                <w:lang w:val="mn-MN"/>
              </w:rPr>
              <w:t>Шинэ зохицуулалт</w:t>
            </w:r>
          </w:p>
        </w:tc>
        <w:tc>
          <w:tcPr>
            <w:tcW w:w="0" w:type="auto"/>
            <w:vAlign w:val="center"/>
            <w:hideMark/>
          </w:tcPr>
          <w:p w14:paraId="5A7CCD23" w14:textId="77777777" w:rsidR="00640003" w:rsidRPr="00863C12" w:rsidRDefault="00640003" w:rsidP="006B0E0B">
            <w:pPr>
              <w:jc w:val="center"/>
              <w:rPr>
                <w:rFonts w:ascii="Arial" w:hAnsi="Arial" w:cs="Arial"/>
                <w:b/>
                <w:bCs/>
                <w:lang w:val="mn-MN"/>
              </w:rPr>
            </w:pPr>
            <w:r w:rsidRPr="00863C12">
              <w:rPr>
                <w:rFonts w:ascii="Arial" w:hAnsi="Arial" w:cs="Arial"/>
                <w:b/>
                <w:bCs/>
                <w:lang w:val="mn-MN"/>
              </w:rPr>
              <w:t>Өөрчлөлтийн агуулга</w:t>
            </w:r>
          </w:p>
        </w:tc>
        <w:tc>
          <w:tcPr>
            <w:tcW w:w="0" w:type="auto"/>
            <w:vAlign w:val="center"/>
            <w:hideMark/>
          </w:tcPr>
          <w:p w14:paraId="00D6A6FD" w14:textId="77777777" w:rsidR="00640003" w:rsidRPr="00863C12" w:rsidRDefault="00640003" w:rsidP="006B0E0B">
            <w:pPr>
              <w:jc w:val="center"/>
              <w:rPr>
                <w:rFonts w:ascii="Arial" w:hAnsi="Arial" w:cs="Arial"/>
                <w:b/>
                <w:bCs/>
                <w:lang w:val="mn-MN"/>
              </w:rPr>
            </w:pPr>
            <w:r w:rsidRPr="00863C12">
              <w:rPr>
                <w:rFonts w:ascii="Arial" w:hAnsi="Arial" w:cs="Arial"/>
                <w:b/>
                <w:bCs/>
                <w:lang w:val="mn-MN"/>
              </w:rPr>
              <w:t>Үр нөлөө</w:t>
            </w:r>
          </w:p>
        </w:tc>
      </w:tr>
      <w:tr w:rsidR="00640003" w:rsidRPr="00863C12" w14:paraId="7C6527CB" w14:textId="77777777" w:rsidTr="00E91E78">
        <w:trPr>
          <w:tblCellSpacing w:w="15" w:type="dxa"/>
        </w:trPr>
        <w:tc>
          <w:tcPr>
            <w:tcW w:w="0" w:type="auto"/>
            <w:vAlign w:val="center"/>
            <w:hideMark/>
          </w:tcPr>
          <w:p w14:paraId="795EF818" w14:textId="77777777" w:rsidR="00640003" w:rsidRPr="00863C12" w:rsidRDefault="00640003" w:rsidP="006B0E0B">
            <w:pPr>
              <w:rPr>
                <w:rFonts w:ascii="Arial" w:hAnsi="Arial" w:cs="Arial"/>
                <w:lang w:val="mn-MN"/>
              </w:rPr>
            </w:pPr>
            <w:r w:rsidRPr="00863C12">
              <w:rPr>
                <w:rFonts w:ascii="Arial" w:hAnsi="Arial" w:cs="Arial"/>
                <w:lang w:val="mn-MN"/>
              </w:rPr>
              <w:t>6</w:t>
            </w:r>
          </w:p>
        </w:tc>
        <w:tc>
          <w:tcPr>
            <w:tcW w:w="0" w:type="auto"/>
            <w:vAlign w:val="center"/>
            <w:hideMark/>
          </w:tcPr>
          <w:p w14:paraId="4B60A8D4" w14:textId="77777777" w:rsidR="00640003" w:rsidRPr="00863C12" w:rsidRDefault="00640003" w:rsidP="006B0E0B">
            <w:pPr>
              <w:rPr>
                <w:rFonts w:ascii="Arial" w:hAnsi="Arial" w:cs="Arial"/>
                <w:lang w:val="mn-MN"/>
              </w:rPr>
            </w:pPr>
            <w:r w:rsidRPr="00863C12">
              <w:rPr>
                <w:rFonts w:ascii="Arial" w:hAnsi="Arial" w:cs="Arial"/>
                <w:lang w:val="mn-MN"/>
              </w:rPr>
              <w:t>Тусгай хэрэгжилтийн заалт байгаагүй</w:t>
            </w:r>
          </w:p>
        </w:tc>
        <w:tc>
          <w:tcPr>
            <w:tcW w:w="0" w:type="auto"/>
            <w:vAlign w:val="center"/>
            <w:hideMark/>
          </w:tcPr>
          <w:p w14:paraId="5639AD73" w14:textId="77777777" w:rsidR="00640003" w:rsidRPr="00863C12" w:rsidRDefault="00640003" w:rsidP="006B0E0B">
            <w:pPr>
              <w:rPr>
                <w:rFonts w:ascii="Arial" w:hAnsi="Arial" w:cs="Arial"/>
                <w:lang w:val="mn-MN"/>
              </w:rPr>
            </w:pPr>
            <w:r w:rsidRPr="00863C12">
              <w:rPr>
                <w:rFonts w:ascii="Arial" w:hAnsi="Arial" w:cs="Arial"/>
                <w:lang w:val="mn-MN"/>
              </w:rPr>
              <w:t>Журам, зааврыг шинэчлэх үүрэг өгсөн</w:t>
            </w:r>
          </w:p>
        </w:tc>
        <w:tc>
          <w:tcPr>
            <w:tcW w:w="0" w:type="auto"/>
            <w:vAlign w:val="center"/>
            <w:hideMark/>
          </w:tcPr>
          <w:p w14:paraId="7DBFE5D9" w14:textId="77777777" w:rsidR="00640003" w:rsidRPr="00863C12" w:rsidRDefault="00640003" w:rsidP="006B0E0B">
            <w:pPr>
              <w:rPr>
                <w:rFonts w:ascii="Arial" w:hAnsi="Arial" w:cs="Arial"/>
                <w:lang w:val="mn-MN"/>
              </w:rPr>
            </w:pPr>
            <w:r w:rsidRPr="00863C12">
              <w:rPr>
                <w:rFonts w:ascii="Arial" w:hAnsi="Arial" w:cs="Arial"/>
                <w:lang w:val="mn-MN"/>
              </w:rPr>
              <w:t>Хэрэгжилтийг хангах механизм нэмсэн</w:t>
            </w:r>
          </w:p>
        </w:tc>
        <w:tc>
          <w:tcPr>
            <w:tcW w:w="0" w:type="auto"/>
            <w:vAlign w:val="center"/>
            <w:hideMark/>
          </w:tcPr>
          <w:p w14:paraId="45E1A434" w14:textId="77777777" w:rsidR="00640003" w:rsidRPr="00863C12" w:rsidRDefault="00640003" w:rsidP="006B0E0B">
            <w:pPr>
              <w:rPr>
                <w:rFonts w:ascii="Arial" w:hAnsi="Arial" w:cs="Arial"/>
                <w:lang w:val="mn-MN"/>
              </w:rPr>
            </w:pPr>
            <w:r w:rsidRPr="00863C12">
              <w:rPr>
                <w:rFonts w:ascii="Arial" w:hAnsi="Arial" w:cs="Arial"/>
                <w:lang w:val="mn-MN"/>
              </w:rPr>
              <w:t>Бодит хэрэгжилт сайжирна</w:t>
            </w:r>
          </w:p>
        </w:tc>
      </w:tr>
    </w:tbl>
    <w:p w14:paraId="738C2C0C" w14:textId="77777777" w:rsidR="00D33BF4" w:rsidRPr="00863C12" w:rsidRDefault="00D33BF4" w:rsidP="00D33BF4">
      <w:pPr>
        <w:spacing w:after="0" w:line="240" w:lineRule="auto"/>
        <w:outlineLvl w:val="1"/>
        <w:rPr>
          <w:rFonts w:ascii="Arial" w:eastAsia="Times New Roman" w:hAnsi="Arial" w:cs="Arial"/>
          <w:b/>
          <w:bCs/>
          <w:color w:val="1F1F1F"/>
          <w:sz w:val="24"/>
          <w:szCs w:val="24"/>
          <w:lang w:val="mn-MN"/>
        </w:rPr>
      </w:pPr>
    </w:p>
    <w:p w14:paraId="096EFDAC" w14:textId="10BB111C" w:rsidR="00640003" w:rsidRPr="00863C12" w:rsidRDefault="00640003" w:rsidP="00D33BF4">
      <w:pPr>
        <w:spacing w:after="0" w:line="240" w:lineRule="auto"/>
        <w:outlineLvl w:val="1"/>
        <w:rPr>
          <w:rFonts w:ascii="Arial" w:eastAsia="Times New Roman" w:hAnsi="Arial" w:cs="Arial"/>
          <w:b/>
          <w:bCs/>
          <w:color w:val="1F1F1F"/>
          <w:sz w:val="24"/>
          <w:szCs w:val="24"/>
          <w:lang w:val="mn-MN"/>
        </w:rPr>
      </w:pPr>
      <w:r w:rsidRPr="00863C12">
        <w:rPr>
          <w:rFonts w:ascii="Arial" w:eastAsia="Times New Roman" w:hAnsi="Arial" w:cs="Arial"/>
          <w:b/>
          <w:bCs/>
          <w:color w:val="1F1F1F"/>
          <w:sz w:val="24"/>
          <w:szCs w:val="24"/>
          <w:lang w:val="mn-MN"/>
        </w:rPr>
        <w:t>Хуулийн төсөл батлагдсанаар үүсэх санхүүгийн нөлөөлөл</w:t>
      </w:r>
    </w:p>
    <w:p w14:paraId="0206758C" w14:textId="77777777" w:rsidR="00640003" w:rsidRPr="00863C12" w:rsidRDefault="00640003" w:rsidP="00A40E19">
      <w:pPr>
        <w:spacing w:after="0" w:line="240" w:lineRule="auto"/>
        <w:jc w:val="both"/>
        <w:rPr>
          <w:rFonts w:ascii="Arial" w:eastAsia="Times New Roman" w:hAnsi="Arial" w:cs="Arial"/>
          <w:color w:val="1F1F1F"/>
          <w:sz w:val="24"/>
          <w:szCs w:val="24"/>
          <w:lang w:val="mn-MN"/>
        </w:rPr>
      </w:pPr>
      <w:r w:rsidRPr="00863C12">
        <w:rPr>
          <w:rFonts w:ascii="Arial" w:eastAsia="Times New Roman" w:hAnsi="Arial" w:cs="Arial"/>
          <w:color w:val="1F1F1F"/>
          <w:sz w:val="24"/>
          <w:szCs w:val="24"/>
          <w:lang w:val="mn-MN"/>
        </w:rPr>
        <w:t>Хуулийн төсөлд заасны дагуу тэтгэвэр тогтоолгосон бүх иргэдийг шимтгэлээс чөлөөлөх зохицуулалтад хамааруулбал дараах үр дүн гарна:</w:t>
      </w:r>
    </w:p>
    <w:p w14:paraId="27ABF839" w14:textId="77777777" w:rsidR="00D33BF4" w:rsidRPr="00863C12" w:rsidRDefault="00D33BF4" w:rsidP="00D33BF4">
      <w:pPr>
        <w:spacing w:after="0" w:line="240" w:lineRule="auto"/>
        <w:outlineLvl w:val="2"/>
        <w:rPr>
          <w:rFonts w:ascii="Arial" w:eastAsia="Times New Roman" w:hAnsi="Arial" w:cs="Arial"/>
          <w:b/>
          <w:bCs/>
          <w:color w:val="1F1F1F"/>
          <w:sz w:val="24"/>
          <w:szCs w:val="24"/>
          <w:lang w:val="mn-MN"/>
        </w:rPr>
      </w:pPr>
    </w:p>
    <w:p w14:paraId="4CD828F7" w14:textId="6382B022" w:rsidR="00640003" w:rsidRPr="00863C12" w:rsidRDefault="00640003" w:rsidP="00D33BF4">
      <w:pPr>
        <w:spacing w:after="0" w:line="240" w:lineRule="auto"/>
        <w:outlineLvl w:val="2"/>
        <w:rPr>
          <w:rFonts w:ascii="Arial" w:eastAsia="Times New Roman" w:hAnsi="Arial" w:cs="Arial"/>
          <w:b/>
          <w:bCs/>
          <w:color w:val="1F1F1F"/>
          <w:sz w:val="24"/>
          <w:szCs w:val="24"/>
          <w:lang w:val="mn-MN"/>
        </w:rPr>
      </w:pPr>
      <w:r w:rsidRPr="00863C12">
        <w:rPr>
          <w:rFonts w:ascii="Arial" w:eastAsia="Times New Roman" w:hAnsi="Arial" w:cs="Arial"/>
          <w:b/>
          <w:bCs/>
          <w:color w:val="1F1F1F"/>
          <w:sz w:val="24"/>
          <w:szCs w:val="24"/>
          <w:lang w:val="mn-MN"/>
        </w:rPr>
        <w:t>Төсвийн орлогод үзүүлэх нөлөө</w:t>
      </w:r>
    </w:p>
    <w:p w14:paraId="1BA872E9" w14:textId="77777777" w:rsidR="00640003" w:rsidRPr="00863C12" w:rsidRDefault="00640003" w:rsidP="00D33BF4">
      <w:pPr>
        <w:numPr>
          <w:ilvl w:val="0"/>
          <w:numId w:val="5"/>
        </w:numPr>
        <w:spacing w:after="0" w:line="240" w:lineRule="auto"/>
        <w:rPr>
          <w:rFonts w:ascii="Arial" w:eastAsia="Times New Roman" w:hAnsi="Arial" w:cs="Arial"/>
          <w:color w:val="1F1F1F"/>
          <w:sz w:val="24"/>
          <w:szCs w:val="24"/>
          <w:lang w:val="mn-MN"/>
        </w:rPr>
      </w:pPr>
      <w:r w:rsidRPr="00863C12">
        <w:rPr>
          <w:rFonts w:ascii="Arial" w:eastAsia="Times New Roman" w:hAnsi="Arial" w:cs="Arial"/>
          <w:b/>
          <w:bCs/>
          <w:color w:val="1F1F1F"/>
          <w:sz w:val="24"/>
          <w:szCs w:val="24"/>
          <w:lang w:val="mn-MN"/>
        </w:rPr>
        <w:t>Тэтгэврийн даатгалын сангийн орлого:</w:t>
      </w:r>
      <w:r w:rsidRPr="00863C12">
        <w:rPr>
          <w:rFonts w:ascii="Arial" w:eastAsia="Times New Roman" w:hAnsi="Arial" w:cs="Arial"/>
          <w:color w:val="1F1F1F"/>
          <w:sz w:val="24"/>
          <w:szCs w:val="24"/>
          <w:lang w:val="mn-MN"/>
        </w:rPr>
        <w:t xml:space="preserve"> 95.8 тэрбум төгрөгөөр буурна.</w:t>
      </w:r>
    </w:p>
    <w:p w14:paraId="3146E6D3" w14:textId="0B5E5D74" w:rsidR="00640003" w:rsidRPr="00863C12" w:rsidRDefault="00640003" w:rsidP="00D33BF4">
      <w:pPr>
        <w:spacing w:after="0" w:line="240" w:lineRule="auto"/>
        <w:outlineLvl w:val="2"/>
        <w:rPr>
          <w:rFonts w:ascii="Arial" w:eastAsia="Times New Roman" w:hAnsi="Arial" w:cs="Arial"/>
          <w:b/>
          <w:bCs/>
          <w:color w:val="1F1F1F"/>
          <w:sz w:val="24"/>
          <w:szCs w:val="24"/>
          <w:lang w:val="mn-MN"/>
        </w:rPr>
      </w:pPr>
      <w:r w:rsidRPr="00863C12">
        <w:rPr>
          <w:rFonts w:ascii="Arial" w:eastAsia="Times New Roman" w:hAnsi="Arial" w:cs="Arial"/>
          <w:b/>
          <w:bCs/>
          <w:color w:val="1F1F1F"/>
          <w:sz w:val="24"/>
          <w:szCs w:val="24"/>
          <w:lang w:val="mn-MN"/>
        </w:rPr>
        <w:t>Улсын төсөвт үзүүлэх ачаалал</w:t>
      </w:r>
    </w:p>
    <w:p w14:paraId="081200CD" w14:textId="77777777" w:rsidR="00640003" w:rsidRDefault="00640003" w:rsidP="00D33BF4">
      <w:pPr>
        <w:numPr>
          <w:ilvl w:val="0"/>
          <w:numId w:val="6"/>
        </w:numPr>
        <w:spacing w:after="0" w:line="240" w:lineRule="auto"/>
        <w:rPr>
          <w:rFonts w:ascii="Arial" w:eastAsia="Times New Roman" w:hAnsi="Arial" w:cs="Arial"/>
          <w:color w:val="1F1F1F"/>
          <w:sz w:val="24"/>
          <w:szCs w:val="24"/>
          <w:lang w:val="mn-MN"/>
        </w:rPr>
      </w:pPr>
      <w:r w:rsidRPr="00863C12">
        <w:rPr>
          <w:rFonts w:ascii="Arial" w:eastAsia="Times New Roman" w:hAnsi="Arial" w:cs="Arial"/>
          <w:color w:val="1F1F1F"/>
          <w:sz w:val="24"/>
          <w:szCs w:val="24"/>
          <w:lang w:val="mn-MN"/>
        </w:rPr>
        <w:lastRenderedPageBreak/>
        <w:t xml:space="preserve">Тэтгэврийн даатгалын сангийн орлого 95.8 тэрбум төгрөгөөр буурахтай холбоотойгоор тус санд олгох </w:t>
      </w:r>
      <w:r w:rsidRPr="00863C12">
        <w:rPr>
          <w:rFonts w:ascii="Arial" w:eastAsia="Times New Roman" w:hAnsi="Arial" w:cs="Arial"/>
          <w:b/>
          <w:bCs/>
          <w:color w:val="1F1F1F"/>
          <w:sz w:val="24"/>
          <w:szCs w:val="24"/>
          <w:lang w:val="mn-MN"/>
        </w:rPr>
        <w:t>улсын төсвийн санхүүгийн дэмжлэгийн хэмжээ яг энэ дүнгээр нэмэгдэнэ</w:t>
      </w:r>
      <w:r w:rsidRPr="00863C12">
        <w:rPr>
          <w:rFonts w:ascii="Arial" w:eastAsia="Times New Roman" w:hAnsi="Arial" w:cs="Arial"/>
          <w:color w:val="1F1F1F"/>
          <w:sz w:val="24"/>
          <w:szCs w:val="24"/>
          <w:lang w:val="mn-MN"/>
        </w:rPr>
        <w:t>.</w:t>
      </w:r>
    </w:p>
    <w:p w14:paraId="301FEAD0" w14:textId="77777777" w:rsidR="000574B3" w:rsidRPr="00863C12" w:rsidRDefault="000574B3" w:rsidP="000574B3">
      <w:pPr>
        <w:spacing w:after="0" w:line="240" w:lineRule="auto"/>
        <w:ind w:left="360"/>
        <w:rPr>
          <w:rFonts w:ascii="Arial" w:eastAsia="Times New Roman" w:hAnsi="Arial" w:cs="Arial"/>
          <w:color w:val="1F1F1F"/>
          <w:sz w:val="24"/>
          <w:szCs w:val="24"/>
          <w:lang w:val="mn-MN"/>
        </w:rPr>
      </w:pPr>
    </w:p>
    <w:p w14:paraId="0BE13C1E" w14:textId="317FFAB6" w:rsidR="00640003" w:rsidRPr="00863C12" w:rsidRDefault="00640003" w:rsidP="00D33BF4">
      <w:pPr>
        <w:spacing w:after="0" w:line="240" w:lineRule="auto"/>
        <w:jc w:val="center"/>
        <w:outlineLvl w:val="1"/>
        <w:rPr>
          <w:rFonts w:ascii="Arial" w:eastAsia="Times New Roman" w:hAnsi="Arial" w:cs="Arial"/>
          <w:b/>
          <w:bCs/>
          <w:color w:val="1F1F1F"/>
          <w:sz w:val="24"/>
          <w:szCs w:val="24"/>
          <w:lang w:val="mn-MN"/>
        </w:rPr>
      </w:pPr>
      <w:r w:rsidRPr="00863C12">
        <w:rPr>
          <w:rFonts w:ascii="Arial" w:eastAsia="Times New Roman" w:hAnsi="Arial" w:cs="Arial"/>
          <w:b/>
          <w:bCs/>
          <w:color w:val="1F1F1F"/>
          <w:sz w:val="24"/>
          <w:szCs w:val="24"/>
          <w:lang w:val="mn-MN"/>
        </w:rPr>
        <w:t>Зардлын тооцооллын нэгдсэн хүснэгт</w:t>
      </w:r>
    </w:p>
    <w:p w14:paraId="2AA501E6" w14:textId="4B1EAEB4" w:rsidR="00D33BF4" w:rsidRPr="00863C12" w:rsidRDefault="00D33BF4" w:rsidP="00D33BF4">
      <w:pPr>
        <w:spacing w:after="0" w:line="240" w:lineRule="auto"/>
        <w:jc w:val="right"/>
        <w:outlineLvl w:val="1"/>
        <w:rPr>
          <w:rFonts w:ascii="Arial" w:eastAsia="Times New Roman" w:hAnsi="Arial" w:cs="Arial"/>
          <w:b/>
          <w:bCs/>
          <w:color w:val="1F1F1F"/>
          <w:sz w:val="24"/>
          <w:szCs w:val="24"/>
          <w:lang w:val="mn-MN"/>
        </w:rPr>
      </w:pPr>
      <w:r w:rsidRPr="00863C12">
        <w:rPr>
          <w:rFonts w:ascii="Arial" w:eastAsia="Times New Roman" w:hAnsi="Arial" w:cs="Arial"/>
          <w:b/>
          <w:bCs/>
          <w:color w:val="1F1F1F"/>
          <w:sz w:val="24"/>
          <w:szCs w:val="24"/>
          <w:lang w:val="mn-MN"/>
        </w:rPr>
        <w:t>Хүснэгт №3</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1"/>
        <w:gridCol w:w="995"/>
        <w:gridCol w:w="2554"/>
        <w:gridCol w:w="1702"/>
      </w:tblGrid>
      <w:tr w:rsidR="00640003" w:rsidRPr="00863C12" w14:paraId="37C441A9" w14:textId="77777777" w:rsidTr="00E91E78">
        <w:trPr>
          <w:tblHeader/>
        </w:trPr>
        <w:tc>
          <w:tcPr>
            <w:tcW w:w="0" w:type="auto"/>
            <w:hideMark/>
          </w:tcPr>
          <w:p w14:paraId="5ACBFCA6" w14:textId="77777777" w:rsidR="00640003" w:rsidRPr="00863C12" w:rsidRDefault="00640003" w:rsidP="003E130E">
            <w:pPr>
              <w:spacing w:after="0" w:line="240" w:lineRule="auto"/>
              <w:jc w:val="center"/>
              <w:rPr>
                <w:rFonts w:ascii="Arial" w:eastAsia="Times New Roman" w:hAnsi="Arial" w:cs="Arial"/>
                <w:sz w:val="24"/>
                <w:szCs w:val="24"/>
                <w:lang w:val="mn-MN"/>
              </w:rPr>
            </w:pPr>
            <w:r w:rsidRPr="00863C12">
              <w:rPr>
                <w:rFonts w:ascii="Arial" w:eastAsia="Times New Roman" w:hAnsi="Arial" w:cs="Arial"/>
                <w:sz w:val="24"/>
                <w:szCs w:val="24"/>
                <w:lang w:val="mn-MN"/>
              </w:rPr>
              <w:t>Үзүүлэлт</w:t>
            </w:r>
          </w:p>
        </w:tc>
        <w:tc>
          <w:tcPr>
            <w:tcW w:w="0" w:type="auto"/>
            <w:hideMark/>
          </w:tcPr>
          <w:p w14:paraId="5EA85D85" w14:textId="2C6F16A5" w:rsidR="00640003" w:rsidRPr="00863C12" w:rsidRDefault="00640003" w:rsidP="003E130E">
            <w:pPr>
              <w:spacing w:after="0" w:line="240" w:lineRule="auto"/>
              <w:jc w:val="center"/>
              <w:rPr>
                <w:rFonts w:ascii="Arial" w:eastAsia="Times New Roman" w:hAnsi="Arial" w:cs="Arial"/>
                <w:sz w:val="24"/>
                <w:szCs w:val="24"/>
                <w:lang w:val="mn-MN"/>
              </w:rPr>
            </w:pPr>
            <w:r w:rsidRPr="00863C12">
              <w:rPr>
                <w:rFonts w:ascii="Arial" w:eastAsia="Times New Roman" w:hAnsi="Arial" w:cs="Arial"/>
                <w:sz w:val="24"/>
                <w:szCs w:val="24"/>
                <w:lang w:val="mn-MN"/>
              </w:rPr>
              <w:t>Хүний тоо</w:t>
            </w:r>
          </w:p>
        </w:tc>
        <w:tc>
          <w:tcPr>
            <w:tcW w:w="0" w:type="auto"/>
            <w:hideMark/>
          </w:tcPr>
          <w:p w14:paraId="7C18A2C3" w14:textId="18244D2E" w:rsidR="00640003" w:rsidRPr="00863C12" w:rsidRDefault="00640003" w:rsidP="003E130E">
            <w:pPr>
              <w:spacing w:after="0" w:line="240" w:lineRule="auto"/>
              <w:jc w:val="center"/>
              <w:rPr>
                <w:rFonts w:ascii="Arial" w:eastAsia="Times New Roman" w:hAnsi="Arial" w:cs="Arial"/>
                <w:sz w:val="24"/>
                <w:szCs w:val="24"/>
                <w:lang w:val="mn-MN"/>
              </w:rPr>
            </w:pPr>
            <w:r w:rsidRPr="00863C12">
              <w:rPr>
                <w:rFonts w:ascii="Arial" w:eastAsia="Times New Roman" w:hAnsi="Arial" w:cs="Arial"/>
                <w:sz w:val="24"/>
                <w:szCs w:val="24"/>
                <w:lang w:val="mn-MN"/>
              </w:rPr>
              <w:t>Нөлөөллийн дүн (Тэрбум</w:t>
            </w:r>
            <w:r w:rsidR="00D87BAA" w:rsidRPr="00863C12">
              <w:rPr>
                <w:rFonts w:ascii="Arial" w:eastAsia="Times New Roman" w:hAnsi="Arial" w:cs="Arial"/>
                <w:sz w:val="24"/>
                <w:szCs w:val="24"/>
                <w:lang w:val="mn-MN"/>
              </w:rPr>
              <w:t>.</w:t>
            </w:r>
            <w:r w:rsidRPr="00863C12">
              <w:rPr>
                <w:rFonts w:ascii="Arial" w:eastAsia="Times New Roman" w:hAnsi="Arial" w:cs="Arial"/>
                <w:sz w:val="24"/>
                <w:szCs w:val="24"/>
                <w:lang w:val="mn-MN"/>
              </w:rPr>
              <w:t>төг)</w:t>
            </w:r>
          </w:p>
        </w:tc>
        <w:tc>
          <w:tcPr>
            <w:tcW w:w="1694" w:type="dxa"/>
            <w:hideMark/>
          </w:tcPr>
          <w:p w14:paraId="5828FECF" w14:textId="77777777" w:rsidR="00640003" w:rsidRPr="00863C12" w:rsidRDefault="00640003" w:rsidP="003E130E">
            <w:pPr>
              <w:spacing w:after="0" w:line="240" w:lineRule="auto"/>
              <w:jc w:val="center"/>
              <w:rPr>
                <w:rFonts w:ascii="Arial" w:eastAsia="Times New Roman" w:hAnsi="Arial" w:cs="Arial"/>
                <w:sz w:val="24"/>
                <w:szCs w:val="24"/>
                <w:lang w:val="mn-MN"/>
              </w:rPr>
            </w:pPr>
            <w:r w:rsidRPr="00863C12">
              <w:rPr>
                <w:rFonts w:ascii="Arial" w:eastAsia="Times New Roman" w:hAnsi="Arial" w:cs="Arial"/>
                <w:sz w:val="24"/>
                <w:szCs w:val="24"/>
                <w:lang w:val="mn-MN"/>
              </w:rPr>
              <w:t>Тайлбар</w:t>
            </w:r>
          </w:p>
        </w:tc>
      </w:tr>
      <w:tr w:rsidR="00640003" w:rsidRPr="00863C12" w14:paraId="5E87D16D" w14:textId="77777777" w:rsidTr="00E91E78">
        <w:tc>
          <w:tcPr>
            <w:tcW w:w="0" w:type="auto"/>
            <w:hideMark/>
          </w:tcPr>
          <w:p w14:paraId="7F17D0E6" w14:textId="77777777" w:rsidR="00640003" w:rsidRPr="00863C12" w:rsidRDefault="00640003" w:rsidP="003E130E">
            <w:pPr>
              <w:spacing w:after="0" w:line="240" w:lineRule="auto"/>
              <w:rPr>
                <w:rFonts w:ascii="Arial" w:eastAsia="Times New Roman" w:hAnsi="Arial" w:cs="Arial"/>
                <w:sz w:val="24"/>
                <w:szCs w:val="24"/>
                <w:lang w:val="mn-MN"/>
              </w:rPr>
            </w:pPr>
            <w:r w:rsidRPr="00863C12">
              <w:rPr>
                <w:rFonts w:ascii="Arial" w:eastAsia="Times New Roman" w:hAnsi="Arial" w:cs="Arial"/>
                <w:b/>
                <w:bCs/>
                <w:sz w:val="24"/>
                <w:szCs w:val="24"/>
                <w:lang w:val="mn-MN"/>
              </w:rPr>
              <w:t>Тэтгэврийн даатгалын шимтгэлийн алдагдал</w:t>
            </w:r>
          </w:p>
        </w:tc>
        <w:tc>
          <w:tcPr>
            <w:tcW w:w="0" w:type="auto"/>
            <w:hideMark/>
          </w:tcPr>
          <w:p w14:paraId="4FB605F5" w14:textId="77777777" w:rsidR="00640003" w:rsidRPr="00863C12" w:rsidRDefault="00640003" w:rsidP="00640003">
            <w:pPr>
              <w:spacing w:after="0" w:line="240" w:lineRule="auto"/>
              <w:jc w:val="center"/>
              <w:rPr>
                <w:rFonts w:ascii="Arial" w:eastAsia="Times New Roman" w:hAnsi="Arial" w:cs="Arial"/>
                <w:sz w:val="24"/>
                <w:szCs w:val="24"/>
                <w:lang w:val="mn-MN"/>
              </w:rPr>
            </w:pPr>
            <w:r w:rsidRPr="00863C12">
              <w:rPr>
                <w:rFonts w:ascii="Arial" w:eastAsia="Times New Roman" w:hAnsi="Arial" w:cs="Arial"/>
                <w:sz w:val="24"/>
                <w:szCs w:val="24"/>
                <w:lang w:val="mn-MN"/>
              </w:rPr>
              <w:t>29,091</w:t>
            </w:r>
          </w:p>
        </w:tc>
        <w:tc>
          <w:tcPr>
            <w:tcW w:w="0" w:type="auto"/>
            <w:hideMark/>
          </w:tcPr>
          <w:p w14:paraId="150F7255" w14:textId="77777777" w:rsidR="00640003" w:rsidRPr="00863C12" w:rsidRDefault="00640003" w:rsidP="00640003">
            <w:pPr>
              <w:spacing w:after="0" w:line="240" w:lineRule="auto"/>
              <w:jc w:val="center"/>
              <w:rPr>
                <w:rFonts w:ascii="Arial" w:eastAsia="Times New Roman" w:hAnsi="Arial" w:cs="Arial"/>
                <w:sz w:val="24"/>
                <w:szCs w:val="24"/>
                <w:lang w:val="mn-MN"/>
              </w:rPr>
            </w:pPr>
            <w:r w:rsidRPr="00863C12">
              <w:rPr>
                <w:rFonts w:ascii="Arial" w:eastAsia="Times New Roman" w:hAnsi="Arial" w:cs="Arial"/>
                <w:b/>
                <w:bCs/>
                <w:sz w:val="24"/>
                <w:szCs w:val="24"/>
                <w:lang w:val="mn-MN"/>
              </w:rPr>
              <w:t>- 95.8</w:t>
            </w:r>
          </w:p>
        </w:tc>
        <w:tc>
          <w:tcPr>
            <w:tcW w:w="1694" w:type="dxa"/>
            <w:hideMark/>
          </w:tcPr>
          <w:p w14:paraId="36CFD76A" w14:textId="37A0770D" w:rsidR="00640003" w:rsidRPr="00863C12" w:rsidRDefault="00640003" w:rsidP="00640003">
            <w:pPr>
              <w:spacing w:before="100" w:beforeAutospacing="1" w:after="100" w:afterAutospacing="1" w:line="240" w:lineRule="auto"/>
              <w:rPr>
                <w:rFonts w:ascii="Arial" w:eastAsia="Times New Roman" w:hAnsi="Arial" w:cs="Arial"/>
                <w:sz w:val="24"/>
                <w:szCs w:val="24"/>
                <w:lang w:val="mn-MN"/>
              </w:rPr>
            </w:pPr>
            <w:r w:rsidRPr="00863C12">
              <w:rPr>
                <w:rFonts w:ascii="Arial" w:eastAsia="Times New Roman" w:hAnsi="Arial" w:cs="Arial"/>
                <w:sz w:val="24"/>
                <w:szCs w:val="24"/>
                <w:lang w:val="mn-MN"/>
              </w:rPr>
              <w:t>Төсвөөс нөхөн санхүүжүүлэх шаардлагатай </w:t>
            </w:r>
          </w:p>
        </w:tc>
      </w:tr>
      <w:tr w:rsidR="00640003" w:rsidRPr="00863C12" w14:paraId="433308CA" w14:textId="77777777" w:rsidTr="00E91E78">
        <w:tc>
          <w:tcPr>
            <w:tcW w:w="0" w:type="auto"/>
            <w:hideMark/>
          </w:tcPr>
          <w:p w14:paraId="1B7A2D39" w14:textId="77777777" w:rsidR="00640003" w:rsidRPr="00863C12" w:rsidRDefault="00640003" w:rsidP="003E130E">
            <w:pPr>
              <w:spacing w:after="0" w:line="240" w:lineRule="auto"/>
              <w:rPr>
                <w:rFonts w:ascii="Arial" w:eastAsia="Times New Roman" w:hAnsi="Arial" w:cs="Arial"/>
                <w:sz w:val="24"/>
                <w:szCs w:val="24"/>
                <w:lang w:val="mn-MN"/>
              </w:rPr>
            </w:pPr>
            <w:r w:rsidRPr="00863C12">
              <w:rPr>
                <w:rFonts w:ascii="Arial" w:eastAsia="Times New Roman" w:hAnsi="Arial" w:cs="Arial"/>
                <w:b/>
                <w:bCs/>
                <w:sz w:val="24"/>
                <w:szCs w:val="24"/>
                <w:lang w:val="mn-MN"/>
              </w:rPr>
              <w:t>Бусад сангуудын шимтгэлийн алдагдал</w:t>
            </w:r>
          </w:p>
        </w:tc>
        <w:tc>
          <w:tcPr>
            <w:tcW w:w="0" w:type="auto"/>
            <w:hideMark/>
          </w:tcPr>
          <w:p w14:paraId="3925A964" w14:textId="77777777" w:rsidR="00640003" w:rsidRPr="00863C12" w:rsidRDefault="00640003" w:rsidP="00640003">
            <w:pPr>
              <w:spacing w:after="0" w:line="240" w:lineRule="auto"/>
              <w:jc w:val="center"/>
              <w:rPr>
                <w:rFonts w:ascii="Arial" w:eastAsia="Times New Roman" w:hAnsi="Arial" w:cs="Arial"/>
                <w:sz w:val="24"/>
                <w:szCs w:val="24"/>
                <w:lang w:val="mn-MN"/>
              </w:rPr>
            </w:pPr>
            <w:r w:rsidRPr="00863C12">
              <w:rPr>
                <w:rFonts w:ascii="Arial" w:eastAsia="Times New Roman" w:hAnsi="Arial" w:cs="Arial"/>
                <w:sz w:val="24"/>
                <w:szCs w:val="24"/>
                <w:lang w:val="mn-MN"/>
              </w:rPr>
              <w:t>-</w:t>
            </w:r>
          </w:p>
        </w:tc>
        <w:tc>
          <w:tcPr>
            <w:tcW w:w="0" w:type="auto"/>
            <w:hideMark/>
          </w:tcPr>
          <w:p w14:paraId="74E03851" w14:textId="61318EBB" w:rsidR="00640003" w:rsidRPr="00863C12" w:rsidRDefault="002D124D" w:rsidP="00640003">
            <w:pPr>
              <w:spacing w:after="0" w:line="240" w:lineRule="auto"/>
              <w:jc w:val="center"/>
              <w:rPr>
                <w:rFonts w:ascii="Arial" w:eastAsia="Times New Roman" w:hAnsi="Arial" w:cs="Arial"/>
                <w:sz w:val="24"/>
                <w:szCs w:val="24"/>
                <w:lang w:val="mn-MN"/>
              </w:rPr>
            </w:pPr>
            <w:r>
              <w:rPr>
                <w:rFonts w:ascii="Arial" w:eastAsia="Times New Roman" w:hAnsi="Arial" w:cs="Arial"/>
                <w:sz w:val="24"/>
                <w:szCs w:val="24"/>
                <w:lang w:val="mn-MN"/>
              </w:rPr>
              <w:t>нөлөөлөхгүй</w:t>
            </w:r>
          </w:p>
        </w:tc>
        <w:tc>
          <w:tcPr>
            <w:tcW w:w="1694" w:type="dxa"/>
            <w:hideMark/>
          </w:tcPr>
          <w:p w14:paraId="58DD7735" w14:textId="77777777" w:rsidR="00640003" w:rsidRPr="00863C12" w:rsidRDefault="00640003" w:rsidP="003E130E">
            <w:pPr>
              <w:spacing w:before="100" w:beforeAutospacing="1" w:after="100" w:afterAutospacing="1" w:line="240" w:lineRule="auto"/>
              <w:rPr>
                <w:rFonts w:ascii="Arial" w:eastAsia="Times New Roman" w:hAnsi="Arial" w:cs="Arial"/>
                <w:sz w:val="24"/>
                <w:szCs w:val="24"/>
                <w:lang w:val="mn-MN"/>
              </w:rPr>
            </w:pPr>
            <w:r w:rsidRPr="00863C12">
              <w:rPr>
                <w:rFonts w:ascii="Arial" w:eastAsia="Times New Roman" w:hAnsi="Arial" w:cs="Arial"/>
                <w:sz w:val="24"/>
                <w:szCs w:val="24"/>
                <w:lang w:val="mn-MN"/>
              </w:rPr>
              <w:t>Тэтгэмж болон ҮОМШӨ-ний сангууд </w:t>
            </w:r>
          </w:p>
        </w:tc>
      </w:tr>
      <w:tr w:rsidR="00640003" w:rsidRPr="00863C12" w14:paraId="4A252627" w14:textId="77777777" w:rsidTr="00E91E78">
        <w:tc>
          <w:tcPr>
            <w:tcW w:w="0" w:type="auto"/>
            <w:hideMark/>
          </w:tcPr>
          <w:p w14:paraId="17E513BD" w14:textId="77777777" w:rsidR="00640003" w:rsidRPr="00863C12" w:rsidRDefault="00640003" w:rsidP="003E130E">
            <w:pPr>
              <w:spacing w:after="0" w:line="240" w:lineRule="auto"/>
              <w:rPr>
                <w:rFonts w:ascii="Arial" w:eastAsia="Times New Roman" w:hAnsi="Arial" w:cs="Arial"/>
                <w:sz w:val="24"/>
                <w:szCs w:val="24"/>
                <w:lang w:val="mn-MN"/>
              </w:rPr>
            </w:pPr>
            <w:r w:rsidRPr="00863C12">
              <w:rPr>
                <w:rFonts w:ascii="Arial" w:eastAsia="Times New Roman" w:hAnsi="Arial" w:cs="Arial"/>
                <w:b/>
                <w:bCs/>
                <w:sz w:val="24"/>
                <w:szCs w:val="24"/>
                <w:lang w:val="mn-MN"/>
              </w:rPr>
              <w:t>Нийт төсвийн орлогын тасалдал</w:t>
            </w:r>
          </w:p>
        </w:tc>
        <w:tc>
          <w:tcPr>
            <w:tcW w:w="0" w:type="auto"/>
            <w:hideMark/>
          </w:tcPr>
          <w:p w14:paraId="4A32F1C8" w14:textId="77777777" w:rsidR="00640003" w:rsidRPr="00863C12" w:rsidRDefault="00640003" w:rsidP="00640003">
            <w:pPr>
              <w:spacing w:after="0" w:line="240" w:lineRule="auto"/>
              <w:jc w:val="center"/>
              <w:rPr>
                <w:rFonts w:ascii="Arial" w:eastAsia="Times New Roman" w:hAnsi="Arial" w:cs="Arial"/>
                <w:sz w:val="24"/>
                <w:szCs w:val="24"/>
                <w:lang w:val="mn-MN"/>
              </w:rPr>
            </w:pPr>
            <w:r w:rsidRPr="00863C12">
              <w:rPr>
                <w:rFonts w:ascii="Arial" w:eastAsia="Times New Roman" w:hAnsi="Arial" w:cs="Arial"/>
                <w:b/>
                <w:bCs/>
                <w:sz w:val="24"/>
                <w:szCs w:val="24"/>
                <w:lang w:val="mn-MN"/>
              </w:rPr>
              <w:t>29,091</w:t>
            </w:r>
          </w:p>
        </w:tc>
        <w:tc>
          <w:tcPr>
            <w:tcW w:w="0" w:type="auto"/>
            <w:hideMark/>
          </w:tcPr>
          <w:p w14:paraId="1F72615F" w14:textId="192B7FB9" w:rsidR="00640003" w:rsidRPr="00863C12" w:rsidRDefault="00640003" w:rsidP="00640003">
            <w:pPr>
              <w:spacing w:after="0" w:line="240" w:lineRule="auto"/>
              <w:jc w:val="center"/>
              <w:rPr>
                <w:rFonts w:ascii="Arial" w:eastAsia="Times New Roman" w:hAnsi="Arial" w:cs="Arial"/>
                <w:sz w:val="24"/>
                <w:szCs w:val="24"/>
                <w:lang w:val="mn-MN"/>
              </w:rPr>
            </w:pPr>
            <w:r w:rsidRPr="00863C12">
              <w:rPr>
                <w:rFonts w:ascii="Arial" w:eastAsia="Times New Roman" w:hAnsi="Arial" w:cs="Arial"/>
                <w:b/>
                <w:bCs/>
                <w:sz w:val="24"/>
                <w:szCs w:val="24"/>
                <w:lang w:val="mn-MN"/>
              </w:rPr>
              <w:t xml:space="preserve">- </w:t>
            </w:r>
            <w:r w:rsidR="002D124D">
              <w:rPr>
                <w:rFonts w:ascii="Arial" w:eastAsia="Times New Roman" w:hAnsi="Arial" w:cs="Arial"/>
                <w:b/>
                <w:bCs/>
                <w:sz w:val="24"/>
                <w:szCs w:val="24"/>
                <w:lang w:val="mn-MN"/>
              </w:rPr>
              <w:t>95.8</w:t>
            </w:r>
          </w:p>
        </w:tc>
        <w:tc>
          <w:tcPr>
            <w:tcW w:w="1694" w:type="dxa"/>
            <w:hideMark/>
          </w:tcPr>
          <w:p w14:paraId="76C3A1DA" w14:textId="2656C4CC" w:rsidR="00640003" w:rsidRPr="00863C12" w:rsidRDefault="00640003" w:rsidP="00640003">
            <w:pPr>
              <w:spacing w:before="100" w:beforeAutospacing="1" w:after="100" w:afterAutospacing="1" w:line="240" w:lineRule="auto"/>
              <w:rPr>
                <w:rFonts w:ascii="Arial" w:eastAsia="Times New Roman" w:hAnsi="Arial" w:cs="Arial"/>
                <w:sz w:val="24"/>
                <w:szCs w:val="24"/>
                <w:lang w:val="mn-MN"/>
              </w:rPr>
            </w:pPr>
            <w:r w:rsidRPr="00863C12">
              <w:rPr>
                <w:rFonts w:ascii="Arial" w:eastAsia="Times New Roman" w:hAnsi="Arial" w:cs="Arial"/>
                <w:sz w:val="24"/>
                <w:szCs w:val="24"/>
                <w:lang w:val="mn-MN"/>
              </w:rPr>
              <w:t>Жилийн эцсийн хүлээгдэж буй гүйцэтгэлээр </w:t>
            </w:r>
          </w:p>
        </w:tc>
      </w:tr>
    </w:tbl>
    <w:p w14:paraId="7607CF8C" w14:textId="77777777" w:rsidR="00A40E19" w:rsidRPr="00863C12" w:rsidRDefault="00A40E19" w:rsidP="00A40E19">
      <w:pPr>
        <w:pStyle w:val="NormalWeb"/>
        <w:spacing w:before="0" w:beforeAutospacing="0" w:after="0" w:afterAutospacing="0" w:line="26" w:lineRule="atLeast"/>
        <w:jc w:val="both"/>
        <w:rPr>
          <w:rFonts w:ascii="Arial" w:hAnsi="Arial" w:cs="Arial"/>
          <w:lang w:val="mn-MN"/>
        </w:rPr>
      </w:pPr>
    </w:p>
    <w:p w14:paraId="41BBBA08" w14:textId="60A6F856" w:rsidR="0099534C" w:rsidRPr="00863C12" w:rsidRDefault="002A264B" w:rsidP="00A40E19">
      <w:pPr>
        <w:pStyle w:val="NormalWeb"/>
        <w:spacing w:before="0" w:beforeAutospacing="0" w:after="0" w:afterAutospacing="0" w:line="26" w:lineRule="atLeast"/>
        <w:ind w:firstLine="567"/>
        <w:jc w:val="both"/>
        <w:rPr>
          <w:rFonts w:ascii="Arial" w:hAnsi="Arial" w:cs="Arial"/>
          <w:lang w:val="mn-MN"/>
        </w:rPr>
      </w:pPr>
      <w:r w:rsidRPr="00863C12">
        <w:rPr>
          <w:rFonts w:ascii="Arial" w:hAnsi="Arial" w:cs="Arial"/>
          <w:lang w:val="mn-MN"/>
        </w:rPr>
        <w:t xml:space="preserve">Хуулийн төсөлд төрийн байгууллагад </w:t>
      </w:r>
      <w:r w:rsidR="00640003" w:rsidRPr="00863C12">
        <w:rPr>
          <w:rFonts w:ascii="Arial" w:hAnsi="Arial" w:cs="Arial"/>
          <w:lang w:val="mn-MN"/>
        </w:rPr>
        <w:t xml:space="preserve">тэтгэвэрт гарсан иргэдийн ажил, хөдөлмөр эрхлэхэд төлөх шимтгэлээс чөлөөлөх хамрах хүрээг өргөтгөсөн, </w:t>
      </w:r>
      <w:r w:rsidR="00320279" w:rsidRPr="00863C12">
        <w:rPr>
          <w:rFonts w:ascii="Arial" w:hAnsi="Arial" w:cs="Arial"/>
          <w:lang w:val="mn-MN"/>
        </w:rPr>
        <w:t>улсын төсөвт</w:t>
      </w:r>
      <w:r w:rsidR="0022449E" w:rsidRPr="00863C12">
        <w:rPr>
          <w:rFonts w:ascii="Arial" w:hAnsi="Arial" w:cs="Arial"/>
          <w:lang w:val="mn-MN"/>
        </w:rPr>
        <w:t xml:space="preserve"> </w:t>
      </w:r>
      <w:r w:rsidR="00640003" w:rsidRPr="00863C12">
        <w:rPr>
          <w:rFonts w:ascii="Arial" w:hAnsi="Arial" w:cs="Arial"/>
          <w:lang w:val="mn-MN"/>
        </w:rPr>
        <w:t xml:space="preserve">жилд дунджаар </w:t>
      </w:r>
      <w:r w:rsidR="002D124D">
        <w:rPr>
          <w:rFonts w:ascii="Arial" w:hAnsi="Arial" w:cs="Arial"/>
          <w:lang w:val="mn-MN"/>
        </w:rPr>
        <w:t>95.8</w:t>
      </w:r>
      <w:r w:rsidR="00640003" w:rsidRPr="00863C12">
        <w:rPr>
          <w:rFonts w:ascii="Arial" w:hAnsi="Arial" w:cs="Arial"/>
          <w:lang w:val="mn-MN"/>
        </w:rPr>
        <w:t xml:space="preserve"> тэрбум төгрөгийн </w:t>
      </w:r>
      <w:r w:rsidR="00D33BF4" w:rsidRPr="00863C12">
        <w:rPr>
          <w:rFonts w:ascii="Arial" w:hAnsi="Arial" w:cs="Arial"/>
          <w:lang w:val="mn-MN"/>
        </w:rPr>
        <w:t xml:space="preserve">нэмэлт санхүүжилтийн дэмжлэгийн </w:t>
      </w:r>
      <w:r w:rsidR="00320279" w:rsidRPr="00863C12">
        <w:rPr>
          <w:rFonts w:ascii="Arial" w:hAnsi="Arial" w:cs="Arial"/>
          <w:lang w:val="mn-MN"/>
        </w:rPr>
        <w:t xml:space="preserve">зардал </w:t>
      </w:r>
      <w:r w:rsidR="0022449E" w:rsidRPr="00863C12">
        <w:rPr>
          <w:rFonts w:ascii="Arial" w:hAnsi="Arial" w:cs="Arial"/>
          <w:lang w:val="mn-MN"/>
        </w:rPr>
        <w:t>үүсэхээр</w:t>
      </w:r>
      <w:r w:rsidR="00320279" w:rsidRPr="00863C12">
        <w:rPr>
          <w:rFonts w:ascii="Arial" w:hAnsi="Arial" w:cs="Arial"/>
          <w:lang w:val="mn-MN"/>
        </w:rPr>
        <w:t xml:space="preserve"> байна.</w:t>
      </w:r>
    </w:p>
    <w:p w14:paraId="6AC455F1" w14:textId="77777777" w:rsidR="00E91E78" w:rsidRDefault="00E91E78" w:rsidP="00D33BF4">
      <w:pPr>
        <w:spacing w:after="0" w:line="240" w:lineRule="auto"/>
        <w:ind w:firstLine="567"/>
        <w:jc w:val="both"/>
        <w:rPr>
          <w:rFonts w:ascii="Arial" w:hAnsi="Arial" w:cs="Arial"/>
          <w:sz w:val="24"/>
          <w:szCs w:val="24"/>
          <w:lang w:val="mn-MN"/>
        </w:rPr>
      </w:pPr>
    </w:p>
    <w:p w14:paraId="55B56677" w14:textId="74C3FEB1" w:rsidR="00D33BF4" w:rsidRPr="00863C12" w:rsidRDefault="00D33BF4" w:rsidP="00D33BF4">
      <w:pPr>
        <w:spacing w:after="0" w:line="240" w:lineRule="auto"/>
        <w:ind w:firstLine="567"/>
        <w:jc w:val="both"/>
        <w:rPr>
          <w:rFonts w:ascii="Arial" w:hAnsi="Arial" w:cs="Arial"/>
          <w:b/>
          <w:bCs/>
          <w:i/>
          <w:iCs/>
          <w:sz w:val="24"/>
          <w:szCs w:val="24"/>
          <w:lang w:val="mn-MN"/>
        </w:rPr>
      </w:pPr>
      <w:r w:rsidRPr="00863C12">
        <w:rPr>
          <w:rFonts w:ascii="Arial" w:hAnsi="Arial" w:cs="Arial"/>
          <w:sz w:val="24"/>
          <w:szCs w:val="24"/>
          <w:lang w:val="mn-MN"/>
        </w:rPr>
        <w:t xml:space="preserve">Гэсэн хэдий ч ахмад настны тогтвортой орлогын эх үүсвэрийг хангах зорилгоор ахмад настнуудыг үргэлжлүүлэн хөдөлмөр эрхлүүлэхийг дэмжих, эдийн засгийн идэвхийг нь хадгалах, ахмад настнууд өөрийн чадавхыг амьдралынхаа туршид бүрэн дүүрэн ашиглах, тэдний мэргэжил, туршлага, ур чадварт түшиглэж залуу үеийг сургах, нөгөө талаар ахмад настны хөдөлмөр эрхлэлтийг дэмжих зорилгоор Нийгмийн даатгалын ерөнхий хуульд нэмэлт, өөрчлөлт оруулах тухай хуулийн төсөлд тэтгэврийн даатгалын шимтгэл төлөхгүй байх сайн дурын сонголтыг </w:t>
      </w:r>
      <w:r w:rsidRPr="00863C12">
        <w:rPr>
          <w:rFonts w:ascii="Arial" w:hAnsi="Arial" w:cs="Arial"/>
          <w:b/>
          <w:bCs/>
          <w:i/>
          <w:iCs/>
          <w:sz w:val="24"/>
          <w:szCs w:val="24"/>
          <w:lang w:val="mn-MN"/>
        </w:rPr>
        <w:t xml:space="preserve">бүх насны тэтгэвэр авагч иргэнд хамааруулах улмаар ажил олгогчийн төлөх тэтгэврийн даатгалын шимтгэлийн ачаалал буурах ахмад настны хөдөлмөр эрхлэлтийг дэмжих </w:t>
      </w:r>
      <w:r w:rsidR="00E91E78">
        <w:rPr>
          <w:rFonts w:ascii="Arial" w:hAnsi="Arial" w:cs="Arial"/>
          <w:b/>
          <w:bCs/>
          <w:i/>
          <w:iCs/>
          <w:sz w:val="24"/>
          <w:szCs w:val="24"/>
          <w:lang w:val="mn-MN"/>
        </w:rPr>
        <w:t>боломжтой</w:t>
      </w:r>
      <w:r w:rsidRPr="00863C12">
        <w:rPr>
          <w:rFonts w:ascii="Arial" w:hAnsi="Arial" w:cs="Arial"/>
          <w:b/>
          <w:bCs/>
          <w:i/>
          <w:iCs/>
          <w:sz w:val="24"/>
          <w:szCs w:val="24"/>
          <w:lang w:val="mn-MN"/>
        </w:rPr>
        <w:t xml:space="preserve">. </w:t>
      </w:r>
    </w:p>
    <w:p w14:paraId="564D4ED0" w14:textId="0C78B437" w:rsidR="00D33BF4" w:rsidRPr="00863C12" w:rsidRDefault="00D33BF4" w:rsidP="00A40E19">
      <w:pPr>
        <w:spacing w:after="0" w:line="240" w:lineRule="auto"/>
        <w:ind w:firstLine="720"/>
        <w:jc w:val="both"/>
        <w:rPr>
          <w:rFonts w:ascii="Arial" w:hAnsi="Arial" w:cs="Arial"/>
          <w:color w:val="000000"/>
          <w:sz w:val="24"/>
          <w:szCs w:val="24"/>
          <w:lang w:val="mn-MN"/>
        </w:rPr>
      </w:pPr>
      <w:r w:rsidRPr="00863C12">
        <w:rPr>
          <w:rFonts w:ascii="Arial" w:hAnsi="Arial" w:cs="Arial"/>
          <w:color w:val="000000"/>
          <w:sz w:val="24"/>
          <w:szCs w:val="24"/>
          <w:lang w:val="mn-MN"/>
        </w:rPr>
        <w:t>Энэхүү хуулийн төсөл батлагдсанаар өнөөдрийн байдлаар тэтгэврийн даатгалын шимтгэл төлж байгаа 29.1 мянган тэтгэвэр авагч</w:t>
      </w:r>
      <w:r w:rsidRPr="00863C12">
        <w:rPr>
          <w:rFonts w:ascii="Arial" w:eastAsia="Times New Roman" w:hAnsi="Arial" w:cs="Arial"/>
          <w:color w:val="000000"/>
          <w:sz w:val="24"/>
          <w:szCs w:val="24"/>
          <w:lang w:val="mn-MN"/>
        </w:rPr>
        <w:t> </w:t>
      </w:r>
      <w:r w:rsidRPr="00863C12">
        <w:rPr>
          <w:rFonts w:ascii="Arial" w:hAnsi="Arial" w:cs="Arial"/>
          <w:color w:val="000000"/>
          <w:sz w:val="24"/>
          <w:szCs w:val="24"/>
          <w:lang w:val="mn-MN"/>
        </w:rPr>
        <w:t>тэтгэврийн даатгалын шимтгэлээс бүрэн чөлөөлөгдөнө.</w:t>
      </w:r>
      <w:r w:rsidR="00E91E78">
        <w:rPr>
          <w:rFonts w:ascii="Arial" w:hAnsi="Arial" w:cs="Arial"/>
          <w:color w:val="000000"/>
          <w:sz w:val="24"/>
          <w:szCs w:val="24"/>
          <w:lang w:val="mn-MN"/>
        </w:rPr>
        <w:t xml:space="preserve"> </w:t>
      </w:r>
      <w:r w:rsidR="00A40E19" w:rsidRPr="00863C12">
        <w:rPr>
          <w:rFonts w:ascii="Arial" w:hAnsi="Arial" w:cs="Arial"/>
          <w:color w:val="000000"/>
          <w:sz w:val="24"/>
          <w:szCs w:val="24"/>
          <w:lang w:val="mn-MN"/>
        </w:rPr>
        <w:t>Ө</w:t>
      </w:r>
      <w:r w:rsidRPr="00863C12">
        <w:rPr>
          <w:rFonts w:ascii="Arial" w:hAnsi="Arial" w:cs="Arial"/>
          <w:color w:val="000000"/>
          <w:sz w:val="24"/>
          <w:szCs w:val="24"/>
          <w:lang w:val="mn-MN"/>
        </w:rPr>
        <w:t xml:space="preserve">ндөр насны тэтгэвэр тогтоолгосон болон цэргийн тэтгэвэр авагчдыг тэтгэврийн даатгалын шимтгэлээс чөлөөлснөөр ажил олгогчийн зардал ажил олгогч нь ажилтны цалингийн сангаас 8.5%-ийн тэтгэврийн даатгалын шимтгэл төлдөг бол болзол хангаагүй 29.1 мянган тэтгэвэр авагч ажилтны цалингийн сан 563.5 тэрбум төгрөг байна. Үүнээс ажил олгогчийн төлөх тэтгэврийн даатгалын шимтгэлийг тооцвол </w:t>
      </w:r>
      <w:r w:rsidR="00E91E78">
        <w:rPr>
          <w:rFonts w:ascii="Arial" w:hAnsi="Arial" w:cs="Arial"/>
          <w:color w:val="000000"/>
          <w:sz w:val="24"/>
          <w:szCs w:val="24"/>
          <w:lang w:val="mn-MN"/>
        </w:rPr>
        <w:t>56.3</w:t>
      </w:r>
      <w:r w:rsidRPr="00863C12">
        <w:rPr>
          <w:rFonts w:ascii="Arial" w:hAnsi="Arial" w:cs="Arial"/>
          <w:color w:val="000000"/>
          <w:sz w:val="24"/>
          <w:szCs w:val="24"/>
          <w:lang w:val="mn-MN"/>
        </w:rPr>
        <w:t> тэрбум төгрөгийн шимтгэлийн дарамт буурна.</w:t>
      </w:r>
    </w:p>
    <w:p w14:paraId="29C29506" w14:textId="1051F6A3" w:rsidR="00A40E19" w:rsidRPr="00863C12" w:rsidRDefault="00D33BF4" w:rsidP="00D33BF4">
      <w:pPr>
        <w:spacing w:after="0" w:line="240" w:lineRule="auto"/>
        <w:ind w:firstLine="720"/>
        <w:jc w:val="both"/>
        <w:rPr>
          <w:rFonts w:ascii="Arial" w:hAnsi="Arial" w:cs="Arial"/>
          <w:color w:val="000000"/>
          <w:sz w:val="24"/>
          <w:szCs w:val="24"/>
          <w:lang w:val="mn-MN"/>
        </w:rPr>
      </w:pPr>
      <w:r w:rsidRPr="00863C12">
        <w:rPr>
          <w:rFonts w:ascii="Arial" w:hAnsi="Arial" w:cs="Arial"/>
          <w:color w:val="000000"/>
          <w:sz w:val="24"/>
          <w:szCs w:val="24"/>
          <w:lang w:val="mn-MN"/>
        </w:rPr>
        <w:t xml:space="preserve">Улмаар </w:t>
      </w:r>
      <w:r w:rsidR="00A40E19" w:rsidRPr="00863C12">
        <w:rPr>
          <w:rFonts w:ascii="Arial" w:hAnsi="Arial" w:cs="Arial"/>
          <w:color w:val="000000"/>
          <w:sz w:val="24"/>
          <w:szCs w:val="24"/>
          <w:lang w:val="mn-MN"/>
        </w:rPr>
        <w:t xml:space="preserve">өндөр настны тэтгэвэр тогтоолгосон боловч </w:t>
      </w:r>
      <w:r w:rsidR="00D87BAA" w:rsidRPr="00863C12">
        <w:rPr>
          <w:rFonts w:ascii="Arial" w:hAnsi="Arial" w:cs="Arial"/>
          <w:color w:val="000000"/>
          <w:sz w:val="24"/>
          <w:szCs w:val="24"/>
          <w:lang w:val="mn-MN"/>
        </w:rPr>
        <w:t>тэтгэврийн</w:t>
      </w:r>
      <w:r w:rsidR="00A40E19" w:rsidRPr="00863C12">
        <w:rPr>
          <w:rFonts w:ascii="Arial" w:hAnsi="Arial" w:cs="Arial"/>
          <w:color w:val="000000"/>
          <w:sz w:val="24"/>
          <w:szCs w:val="24"/>
          <w:lang w:val="mn-MN"/>
        </w:rPr>
        <w:t xml:space="preserve"> даатгалын шимтгэл төлсөөр байгаа иргэдийн</w:t>
      </w:r>
      <w:r w:rsidRPr="00863C12">
        <w:rPr>
          <w:rFonts w:ascii="Arial" w:hAnsi="Arial" w:cs="Arial"/>
          <w:color w:val="000000"/>
          <w:sz w:val="24"/>
          <w:szCs w:val="24"/>
          <w:lang w:val="mn-MN"/>
        </w:rPr>
        <w:t xml:space="preserve"> бодит орлого сард дунджаар 274 мянган төгрөгөөр нэмэгдэж бага, дунд орлоготой ахмадуудад мэдэгдэхүйц дэмжлэг болно. </w:t>
      </w:r>
    </w:p>
    <w:p w14:paraId="0BDDDC0C" w14:textId="24B13F29" w:rsidR="00D33BF4" w:rsidRPr="00863C12" w:rsidRDefault="00D33BF4" w:rsidP="00A40E19">
      <w:pPr>
        <w:spacing w:after="0" w:line="240" w:lineRule="auto"/>
        <w:jc w:val="both"/>
        <w:rPr>
          <w:rFonts w:ascii="Arial" w:hAnsi="Arial" w:cs="Arial"/>
          <w:sz w:val="24"/>
          <w:szCs w:val="24"/>
          <w:lang w:val="mn-MN"/>
        </w:rPr>
      </w:pPr>
      <w:r w:rsidRPr="00863C12">
        <w:rPr>
          <w:rFonts w:ascii="Arial" w:hAnsi="Arial" w:cs="Arial"/>
          <w:color w:val="000000"/>
          <w:sz w:val="24"/>
          <w:szCs w:val="24"/>
          <w:lang w:val="mn-MN"/>
        </w:rPr>
        <w:t>Ялангуяа өрхийн бусад орлого сул, эмчилгээний зардал өндөр нөхцөлд энэ нь амьжиргаанд шууд нөлөөлнө.</w:t>
      </w:r>
      <w:r w:rsidR="00863C12" w:rsidRPr="00863C12">
        <w:rPr>
          <w:rFonts w:ascii="Arial" w:hAnsi="Arial" w:cs="Arial"/>
          <w:color w:val="000000"/>
          <w:sz w:val="24"/>
          <w:szCs w:val="24"/>
          <w:lang w:val="mn-MN"/>
        </w:rPr>
        <w:t xml:space="preserve"> </w:t>
      </w:r>
      <w:r w:rsidRPr="00863C12">
        <w:rPr>
          <w:rFonts w:ascii="Arial" w:hAnsi="Arial" w:cs="Arial"/>
          <w:color w:val="000000"/>
          <w:sz w:val="24"/>
          <w:szCs w:val="24"/>
          <w:lang w:val="mn-MN"/>
        </w:rPr>
        <w:t xml:space="preserve">Цаашид </w:t>
      </w:r>
      <w:r w:rsidRPr="00863C12">
        <w:rPr>
          <w:rFonts w:ascii="Arial" w:hAnsi="Arial" w:cs="Arial"/>
          <w:sz w:val="24"/>
          <w:szCs w:val="24"/>
          <w:lang w:val="mn-MN"/>
        </w:rPr>
        <w:t xml:space="preserve">аж ахуйн нэгж байгууллагын төлөх тэтгэврийн даатгалын шимтгэл буурч ахмад настны хөдөлмөр эрхлэлт ойролцоогоор 5 хувиар </w:t>
      </w:r>
      <w:r w:rsidR="00D87BAA" w:rsidRPr="00863C12">
        <w:rPr>
          <w:rFonts w:ascii="Arial" w:hAnsi="Arial" w:cs="Arial"/>
          <w:sz w:val="24"/>
          <w:szCs w:val="24"/>
          <w:lang w:val="mn-MN"/>
        </w:rPr>
        <w:t>өсөж</w:t>
      </w:r>
      <w:r w:rsidRPr="00863C12">
        <w:rPr>
          <w:rFonts w:ascii="Arial" w:hAnsi="Arial" w:cs="Arial"/>
          <w:sz w:val="24"/>
          <w:szCs w:val="24"/>
          <w:lang w:val="mn-MN"/>
        </w:rPr>
        <w:t xml:space="preserve">, 3–4 мянган иргэн шинээр хөдөлмөр эрхлэх боломж бүрдэж эдийн засгийн идэвхийг нэмэгдүүлэх замаар нийтдээ 130–140 тэрбум </w:t>
      </w:r>
      <w:r w:rsidRPr="00863C12">
        <w:rPr>
          <w:rFonts w:ascii="Arial" w:hAnsi="Arial" w:cs="Arial"/>
          <w:sz w:val="24"/>
          <w:szCs w:val="24"/>
          <w:lang w:val="mn-MN"/>
        </w:rPr>
        <w:lastRenderedPageBreak/>
        <w:t>төгрөгийн эдийн засгийн үр өгөөж бий бол</w:t>
      </w:r>
      <w:r w:rsidR="00A40E19" w:rsidRPr="00863C12">
        <w:rPr>
          <w:rFonts w:ascii="Arial" w:hAnsi="Arial" w:cs="Arial"/>
          <w:sz w:val="24"/>
          <w:szCs w:val="24"/>
          <w:lang w:val="mn-MN"/>
        </w:rPr>
        <w:t xml:space="preserve">ох, </w:t>
      </w:r>
      <w:r w:rsidR="00A40E19" w:rsidRPr="00863C12">
        <w:rPr>
          <w:rFonts w:ascii="Arial" w:hAnsi="Arial" w:cs="Arial"/>
          <w:color w:val="000000"/>
          <w:sz w:val="24"/>
          <w:szCs w:val="24"/>
          <w:lang w:val="mn-MN"/>
        </w:rPr>
        <w:t xml:space="preserve">ахмад настны </w:t>
      </w:r>
      <w:r w:rsidR="00D87BAA" w:rsidRPr="00863C12">
        <w:rPr>
          <w:rFonts w:ascii="Arial" w:hAnsi="Arial" w:cs="Arial"/>
          <w:color w:val="000000"/>
          <w:sz w:val="24"/>
          <w:szCs w:val="24"/>
          <w:lang w:val="mn-MN"/>
        </w:rPr>
        <w:t>хөдөлмөр</w:t>
      </w:r>
      <w:r w:rsidR="00A40E19" w:rsidRPr="00863C12">
        <w:rPr>
          <w:rFonts w:ascii="Arial" w:hAnsi="Arial" w:cs="Arial"/>
          <w:color w:val="000000"/>
          <w:sz w:val="24"/>
          <w:szCs w:val="24"/>
          <w:lang w:val="mn-MN"/>
        </w:rPr>
        <w:t xml:space="preserve"> эрхлэлт </w:t>
      </w:r>
      <w:r w:rsidR="00D87BAA" w:rsidRPr="00863C12">
        <w:rPr>
          <w:rFonts w:ascii="Arial" w:hAnsi="Arial" w:cs="Arial"/>
          <w:color w:val="000000"/>
          <w:sz w:val="24"/>
          <w:szCs w:val="24"/>
          <w:lang w:val="mn-MN"/>
        </w:rPr>
        <w:t>өсөж</w:t>
      </w:r>
      <w:r w:rsidR="00A40E19" w:rsidRPr="00863C12">
        <w:rPr>
          <w:rFonts w:ascii="Arial" w:hAnsi="Arial" w:cs="Arial"/>
          <w:color w:val="000000"/>
          <w:sz w:val="24"/>
          <w:szCs w:val="24"/>
          <w:lang w:val="mn-MN"/>
        </w:rPr>
        <w:t xml:space="preserve"> хүн амын орлогын албан татварт 10-15 тэрбум төгрөгийн нэмэлт төсвийн орлого бүрдэх олон эерэг талтай</w:t>
      </w:r>
      <w:r w:rsidR="00A40E19" w:rsidRPr="00863C12">
        <w:rPr>
          <w:rFonts w:ascii="Arial" w:hAnsi="Arial" w:cs="Arial"/>
          <w:sz w:val="24"/>
          <w:szCs w:val="24"/>
          <w:lang w:val="mn-MN"/>
        </w:rPr>
        <w:t xml:space="preserve"> </w:t>
      </w:r>
      <w:r w:rsidRPr="00863C12">
        <w:rPr>
          <w:rFonts w:ascii="Arial" w:hAnsi="Arial" w:cs="Arial"/>
          <w:sz w:val="24"/>
          <w:szCs w:val="24"/>
          <w:lang w:val="mn-MN"/>
        </w:rPr>
        <w:t>байна.</w:t>
      </w:r>
    </w:p>
    <w:p w14:paraId="30F7EA75" w14:textId="77777777" w:rsidR="00EE3906" w:rsidRPr="00863C12" w:rsidRDefault="00EE3906" w:rsidP="0099534C">
      <w:pPr>
        <w:pStyle w:val="NormalWeb"/>
        <w:spacing w:before="0" w:beforeAutospacing="0" w:after="0" w:afterAutospacing="0" w:line="26" w:lineRule="atLeast"/>
        <w:ind w:firstLine="720"/>
        <w:jc w:val="both"/>
        <w:rPr>
          <w:rFonts w:ascii="Arial" w:hAnsi="Arial" w:cs="Arial"/>
          <w:lang w:val="mn-MN"/>
        </w:rPr>
      </w:pPr>
    </w:p>
    <w:p w14:paraId="04470D1E" w14:textId="3E0A2AF8" w:rsidR="00EE3906" w:rsidRPr="00863C12" w:rsidRDefault="00EE3906" w:rsidP="00A40E19">
      <w:pPr>
        <w:tabs>
          <w:tab w:val="left" w:pos="567"/>
        </w:tabs>
        <w:spacing w:after="0" w:line="276" w:lineRule="auto"/>
        <w:jc w:val="center"/>
        <w:rPr>
          <w:rFonts w:ascii="Arial" w:hAnsi="Arial" w:cs="Arial"/>
          <w:lang w:val="mn-MN"/>
        </w:rPr>
      </w:pPr>
      <w:r w:rsidRPr="00863C12">
        <w:rPr>
          <w:rFonts w:ascii="Arial" w:hAnsi="Arial" w:cs="Arial"/>
          <w:sz w:val="24"/>
          <w:szCs w:val="24"/>
          <w:lang w:val="mn-MN"/>
        </w:rPr>
        <w:t>---оОо---</w:t>
      </w:r>
    </w:p>
    <w:sectPr w:rsidR="00EE3906" w:rsidRPr="00863C12" w:rsidSect="00EA5917">
      <w:headerReference w:type="even" r:id="rId8"/>
      <w:headerReference w:type="default" r:id="rId9"/>
      <w:footerReference w:type="default" r:id="rId10"/>
      <w:headerReference w:type="first" r:id="rId11"/>
      <w:pgSz w:w="11907" w:h="16840" w:code="9"/>
      <w:pgMar w:top="1138" w:right="850"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6B7F2" w14:textId="77777777" w:rsidR="00815E52" w:rsidRDefault="00815E52" w:rsidP="00801D31">
      <w:pPr>
        <w:spacing w:after="0" w:line="240" w:lineRule="auto"/>
      </w:pPr>
      <w:r>
        <w:separator/>
      </w:r>
    </w:p>
  </w:endnote>
  <w:endnote w:type="continuationSeparator" w:id="0">
    <w:p w14:paraId="720EDDD1" w14:textId="77777777" w:rsidR="00815E52" w:rsidRDefault="00815E52" w:rsidP="00801D31">
      <w:pPr>
        <w:spacing w:after="0" w:line="240" w:lineRule="auto"/>
      </w:pPr>
      <w:r>
        <w:continuationSeparator/>
      </w:r>
    </w:p>
  </w:endnote>
  <w:endnote w:type="continuationNotice" w:id="1">
    <w:p w14:paraId="77267E6D" w14:textId="77777777" w:rsidR="00815E52" w:rsidRDefault="00815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A956" w14:textId="77777777" w:rsidR="00F21170" w:rsidRPr="00F21170" w:rsidRDefault="00F21170">
    <w:pPr>
      <w:pStyle w:val="Footer"/>
      <w:jc w:val="center"/>
      <w:rPr>
        <w:rFonts w:ascii="Arial" w:hAnsi="Arial" w:cs="Arial"/>
        <w:sz w:val="24"/>
        <w:szCs w:val="24"/>
      </w:rPr>
    </w:pPr>
    <w:r w:rsidRPr="00F21170">
      <w:rPr>
        <w:rFonts w:ascii="Arial" w:hAnsi="Arial" w:cs="Arial"/>
        <w:sz w:val="24"/>
        <w:szCs w:val="24"/>
      </w:rPr>
      <w:fldChar w:fldCharType="begin"/>
    </w:r>
    <w:r w:rsidRPr="00F21170">
      <w:rPr>
        <w:rFonts w:ascii="Arial" w:hAnsi="Arial" w:cs="Arial"/>
        <w:sz w:val="24"/>
        <w:szCs w:val="24"/>
      </w:rPr>
      <w:instrText xml:space="preserve"> PAGE   \* MERGEFORMAT </w:instrText>
    </w:r>
    <w:r w:rsidRPr="00F21170">
      <w:rPr>
        <w:rFonts w:ascii="Arial" w:hAnsi="Arial" w:cs="Arial"/>
        <w:sz w:val="24"/>
        <w:szCs w:val="24"/>
      </w:rPr>
      <w:fldChar w:fldCharType="separate"/>
    </w:r>
    <w:r w:rsidR="00FB46A4">
      <w:rPr>
        <w:rFonts w:ascii="Arial" w:hAnsi="Arial" w:cs="Arial"/>
        <w:noProof/>
        <w:sz w:val="24"/>
        <w:szCs w:val="24"/>
      </w:rPr>
      <w:t>2</w:t>
    </w:r>
    <w:r w:rsidRPr="00F21170">
      <w:rPr>
        <w:rFonts w:ascii="Arial" w:hAnsi="Arial" w:cs="Arial"/>
        <w:noProof/>
        <w:sz w:val="24"/>
        <w:szCs w:val="24"/>
      </w:rPr>
      <w:fldChar w:fldCharType="end"/>
    </w:r>
  </w:p>
  <w:p w14:paraId="56E112A5" w14:textId="77777777" w:rsidR="00F21170" w:rsidRPr="00F21170" w:rsidRDefault="00F21170">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C96A0" w14:textId="77777777" w:rsidR="00815E52" w:rsidRDefault="00815E52" w:rsidP="00801D31">
      <w:pPr>
        <w:spacing w:after="0" w:line="240" w:lineRule="auto"/>
      </w:pPr>
      <w:r>
        <w:separator/>
      </w:r>
    </w:p>
  </w:footnote>
  <w:footnote w:type="continuationSeparator" w:id="0">
    <w:p w14:paraId="0C13AB12" w14:textId="77777777" w:rsidR="00815E52" w:rsidRDefault="00815E52" w:rsidP="00801D31">
      <w:pPr>
        <w:spacing w:after="0" w:line="240" w:lineRule="auto"/>
      </w:pPr>
      <w:r>
        <w:continuationSeparator/>
      </w:r>
    </w:p>
  </w:footnote>
  <w:footnote w:type="continuationNotice" w:id="1">
    <w:p w14:paraId="4F8ACFD7" w14:textId="77777777" w:rsidR="00815E52" w:rsidRDefault="00815E52">
      <w:pPr>
        <w:spacing w:after="0" w:line="240" w:lineRule="auto"/>
      </w:pPr>
    </w:p>
  </w:footnote>
  <w:footnote w:id="2">
    <w:p w14:paraId="338703D5" w14:textId="55BBE62C" w:rsidR="00404F97" w:rsidRPr="00264338" w:rsidRDefault="00404F97" w:rsidP="00264338">
      <w:pPr>
        <w:pStyle w:val="FootnoteText"/>
        <w:jc w:val="both"/>
        <w:rPr>
          <w:rFonts w:ascii="Arial" w:hAnsi="Arial" w:cs="Arial"/>
          <w:lang w:val="mn-MN"/>
        </w:rPr>
      </w:pPr>
      <w:r w:rsidRPr="00264338">
        <w:rPr>
          <w:rStyle w:val="FootnoteReference"/>
          <w:rFonts w:ascii="Arial" w:hAnsi="Arial" w:cs="Arial"/>
        </w:rPr>
        <w:footnoteRef/>
      </w:r>
      <w:r w:rsidRPr="00264338">
        <w:rPr>
          <w:rFonts w:ascii="Arial" w:hAnsi="Arial" w:cs="Arial"/>
        </w:rPr>
        <w:t xml:space="preserve"> </w:t>
      </w:r>
      <w:r w:rsidRPr="00264338">
        <w:rPr>
          <w:rFonts w:ascii="Arial" w:hAnsi="Arial" w:cs="Arial"/>
          <w:lang w:val="mn-MN"/>
        </w:rPr>
        <w:t xml:space="preserve">2015 оны 5 дугаар сарын 29-ний өдөр батлагдаж, тухай бүр нэмэлт, өөрчлөлт орсон Хууль тогтоомжийн тухай Монгол Улсын хууль </w:t>
      </w:r>
      <w:hyperlink r:id="rId1" w:history="1">
        <w:r w:rsidRPr="00264338">
          <w:rPr>
            <w:rStyle w:val="Hyperlink"/>
            <w:rFonts w:ascii="Arial" w:hAnsi="Arial" w:cs="Arial"/>
            <w:lang w:val="mn-MN"/>
          </w:rPr>
          <w:t>https://legalinfo.mn/mn/detail?lawId=11119</w:t>
        </w:r>
      </w:hyperlink>
      <w:r w:rsidRPr="00264338">
        <w:rPr>
          <w:rFonts w:ascii="Arial" w:hAnsi="Arial" w:cs="Arial"/>
          <w:lang w:val="mn-MN"/>
        </w:rPr>
        <w:t xml:space="preserve"> </w:t>
      </w:r>
    </w:p>
  </w:footnote>
  <w:footnote w:id="3">
    <w:p w14:paraId="103F937E" w14:textId="5748DCE9" w:rsidR="00E816D9" w:rsidRPr="00264338" w:rsidRDefault="00E816D9" w:rsidP="00264338">
      <w:pPr>
        <w:pStyle w:val="FootnoteText"/>
        <w:jc w:val="both"/>
        <w:rPr>
          <w:rFonts w:ascii="Arial" w:hAnsi="Arial" w:cs="Arial"/>
          <w:lang w:val="mn-MN"/>
        </w:rPr>
      </w:pPr>
      <w:r w:rsidRPr="00264338">
        <w:rPr>
          <w:rStyle w:val="FootnoteReference"/>
          <w:rFonts w:ascii="Arial" w:hAnsi="Arial" w:cs="Arial"/>
        </w:rPr>
        <w:footnoteRef/>
      </w:r>
      <w:r w:rsidRPr="00264338">
        <w:rPr>
          <w:rFonts w:ascii="Arial" w:hAnsi="Arial" w:cs="Arial"/>
        </w:rPr>
        <w:t xml:space="preserve"> </w:t>
      </w:r>
      <w:r w:rsidR="001666BE" w:rsidRPr="00264338">
        <w:rPr>
          <w:rFonts w:ascii="Arial" w:hAnsi="Arial" w:cs="Arial"/>
        </w:rPr>
        <w:t xml:space="preserve"> </w:t>
      </w:r>
      <w:r w:rsidR="00B01D51" w:rsidRPr="00264338">
        <w:rPr>
          <w:rFonts w:ascii="Arial" w:hAnsi="Arial" w:cs="Arial"/>
        </w:rPr>
        <w:t xml:space="preserve">2023 </w:t>
      </w:r>
      <w:r w:rsidR="00B01D51" w:rsidRPr="00264338">
        <w:rPr>
          <w:rFonts w:ascii="Arial" w:hAnsi="Arial" w:cs="Arial"/>
          <w:lang w:val="mn-MN"/>
        </w:rPr>
        <w:t xml:space="preserve">оны </w:t>
      </w:r>
      <w:r w:rsidR="00B836AB" w:rsidRPr="00264338">
        <w:rPr>
          <w:rFonts w:ascii="Arial" w:hAnsi="Arial" w:cs="Arial"/>
          <w:lang w:val="mn-MN"/>
        </w:rPr>
        <w:t xml:space="preserve">7 </w:t>
      </w:r>
      <w:r w:rsidR="006F2132" w:rsidRPr="00264338">
        <w:rPr>
          <w:rFonts w:ascii="Arial" w:hAnsi="Arial" w:cs="Arial"/>
          <w:lang w:val="mn-MN"/>
        </w:rPr>
        <w:t xml:space="preserve">дугаар </w:t>
      </w:r>
      <w:r w:rsidR="00B836AB" w:rsidRPr="00264338">
        <w:rPr>
          <w:rFonts w:ascii="Arial" w:hAnsi="Arial" w:cs="Arial"/>
          <w:lang w:val="mn-MN"/>
        </w:rPr>
        <w:t>сарын 7-ны өдөр батлагдаж, 2024 о</w:t>
      </w:r>
      <w:r w:rsidR="006F2132" w:rsidRPr="00264338">
        <w:rPr>
          <w:rFonts w:ascii="Arial" w:hAnsi="Arial" w:cs="Arial"/>
          <w:lang w:val="mn-MN"/>
        </w:rPr>
        <w:t xml:space="preserve">ны 1 дүгээр сарын 1-ний өдрөөс хүчин төгөлдөр болсон </w:t>
      </w:r>
      <w:r w:rsidR="00264338" w:rsidRPr="00264338">
        <w:rPr>
          <w:rFonts w:ascii="Arial" w:hAnsi="Arial" w:cs="Arial"/>
          <w:lang w:val="mn-MN"/>
        </w:rPr>
        <w:t xml:space="preserve">Монгол Улсын Нийгмийн даатгалын ерөнхий хууль </w:t>
      </w:r>
      <w:hyperlink r:id="rId2" w:history="1">
        <w:r w:rsidR="00264338" w:rsidRPr="00264338">
          <w:rPr>
            <w:rStyle w:val="Hyperlink"/>
            <w:rFonts w:ascii="Arial" w:hAnsi="Arial" w:cs="Arial"/>
          </w:rPr>
          <w:t>https://legalinfo.mn/mn/detail?lawId=16760148379551</w:t>
        </w:r>
      </w:hyperlink>
      <w:r w:rsidR="001666BE" w:rsidRPr="00264338">
        <w:rPr>
          <w:rFonts w:ascii="Arial" w:hAnsi="Arial" w:cs="Arial"/>
        </w:rPr>
        <w:t xml:space="preserve"> </w:t>
      </w:r>
    </w:p>
  </w:footnote>
  <w:footnote w:id="4">
    <w:p w14:paraId="5719C43D" w14:textId="1579D18E"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w:t>
      </w:r>
      <w:r w:rsidRPr="00264338">
        <w:rPr>
          <w:rFonts w:ascii="Arial" w:hAnsi="Arial" w:cs="Arial"/>
          <w:lang w:val="mn-MN"/>
        </w:rPr>
        <w:t xml:space="preserve">Аргачлалын 2.3, 4.3 дахь </w:t>
      </w:r>
      <w:r w:rsidR="003164BA" w:rsidRPr="00264338">
        <w:rPr>
          <w:rFonts w:ascii="Arial" w:hAnsi="Arial" w:cs="Arial"/>
          <w:lang w:val="mn-MN"/>
        </w:rPr>
        <w:t>хэсэг</w:t>
      </w:r>
    </w:p>
  </w:footnote>
  <w:footnote w:id="5">
    <w:p w14:paraId="128A46D5" w14:textId="7D690488"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w:t>
      </w:r>
      <w:r w:rsidRPr="00264338">
        <w:rPr>
          <w:rFonts w:ascii="Arial" w:hAnsi="Arial" w:cs="Arial"/>
          <w:lang w:val="mn-MN"/>
        </w:rPr>
        <w:t xml:space="preserve">Аргачлалын 2.4.4, 4.4 дэх </w:t>
      </w:r>
      <w:r w:rsidR="003164BA" w:rsidRPr="00264338">
        <w:rPr>
          <w:rFonts w:ascii="Arial" w:hAnsi="Arial" w:cs="Arial"/>
          <w:lang w:val="mn-MN"/>
        </w:rPr>
        <w:t>хэсэг</w:t>
      </w:r>
    </w:p>
  </w:footnote>
  <w:footnote w:id="6">
    <w:p w14:paraId="5DCC17B8" w14:textId="40DFCE57"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w:t>
      </w:r>
      <w:r w:rsidRPr="00264338">
        <w:rPr>
          <w:rFonts w:ascii="Arial" w:hAnsi="Arial" w:cs="Arial"/>
          <w:lang w:val="mn-MN"/>
        </w:rPr>
        <w:t xml:space="preserve">Аргачлалын 4.4.3.1 дэх </w:t>
      </w:r>
      <w:r w:rsidR="003164BA" w:rsidRPr="00264338">
        <w:rPr>
          <w:rFonts w:ascii="Arial" w:hAnsi="Arial" w:cs="Arial"/>
          <w:lang w:val="mn-MN"/>
        </w:rPr>
        <w:t xml:space="preserve">дэд </w:t>
      </w:r>
      <w:r w:rsidRPr="00264338">
        <w:rPr>
          <w:rFonts w:ascii="Arial" w:hAnsi="Arial" w:cs="Arial"/>
          <w:lang w:val="mn-MN"/>
        </w:rPr>
        <w:t>заалт</w:t>
      </w:r>
    </w:p>
  </w:footnote>
  <w:footnote w:id="7">
    <w:p w14:paraId="79B6CC7A" w14:textId="64FBC009" w:rsidR="002E133C" w:rsidRPr="00D32EF1"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w:t>
      </w:r>
      <w:r w:rsidRPr="00264338">
        <w:rPr>
          <w:rFonts w:ascii="Arial" w:hAnsi="Arial" w:cs="Arial"/>
          <w:lang w:val="mn-MN"/>
        </w:rPr>
        <w:t xml:space="preserve">Аргачлалын 2.1, 4.1 дэх </w:t>
      </w:r>
      <w:r w:rsidR="003164BA" w:rsidRPr="00264338">
        <w:rPr>
          <w:rFonts w:ascii="Arial" w:hAnsi="Arial" w:cs="Arial"/>
          <w:lang w:val="mn-MN"/>
        </w:rPr>
        <w:t>хэсэг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38A9" w14:textId="511FB4FF" w:rsidR="0017221B" w:rsidRDefault="0017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98B6" w14:textId="486F7CCB" w:rsidR="0017221B" w:rsidRDefault="00172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5EC9" w14:textId="557052A7" w:rsidR="003F53F9" w:rsidRPr="001C211D" w:rsidRDefault="003F53F9" w:rsidP="003F53F9">
    <w:pPr>
      <w:pStyle w:val="Header"/>
      <w:jc w:val="right"/>
      <w:rPr>
        <w:rFonts w:ascii="Arial" w:hAnsi="Arial" w:cs="Arial"/>
        <w:sz w:val="18"/>
        <w:szCs w:val="18"/>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C0D11"/>
    <w:multiLevelType w:val="hybridMultilevel"/>
    <w:tmpl w:val="D554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0154F"/>
    <w:multiLevelType w:val="multilevel"/>
    <w:tmpl w:val="341215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FD400A"/>
    <w:multiLevelType w:val="hybridMultilevel"/>
    <w:tmpl w:val="E878C340"/>
    <w:lvl w:ilvl="0" w:tplc="74846C34">
      <w:start w:val="12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0E5143"/>
    <w:multiLevelType w:val="hybridMultilevel"/>
    <w:tmpl w:val="94B46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834F67"/>
    <w:multiLevelType w:val="multilevel"/>
    <w:tmpl w:val="C4E4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F6549A"/>
    <w:multiLevelType w:val="multilevel"/>
    <w:tmpl w:val="CD72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1139934">
    <w:abstractNumId w:val="0"/>
  </w:num>
  <w:num w:numId="2" w16cid:durableId="1640958928">
    <w:abstractNumId w:val="3"/>
  </w:num>
  <w:num w:numId="3" w16cid:durableId="760763631">
    <w:abstractNumId w:val="2"/>
  </w:num>
  <w:num w:numId="4" w16cid:durableId="1410347093">
    <w:abstractNumId w:val="1"/>
  </w:num>
  <w:num w:numId="5" w16cid:durableId="1590429260">
    <w:abstractNumId w:val="5"/>
  </w:num>
  <w:num w:numId="6" w16cid:durableId="804350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C3"/>
    <w:rsid w:val="00007DB5"/>
    <w:rsid w:val="00013F7C"/>
    <w:rsid w:val="00043630"/>
    <w:rsid w:val="00043EC9"/>
    <w:rsid w:val="000514EB"/>
    <w:rsid w:val="00051DE4"/>
    <w:rsid w:val="000574B3"/>
    <w:rsid w:val="00061516"/>
    <w:rsid w:val="00065165"/>
    <w:rsid w:val="0008786B"/>
    <w:rsid w:val="000A061D"/>
    <w:rsid w:val="000A1F48"/>
    <w:rsid w:val="000B2F91"/>
    <w:rsid w:val="000C0113"/>
    <w:rsid w:val="000D496F"/>
    <w:rsid w:val="000E1456"/>
    <w:rsid w:val="000E428A"/>
    <w:rsid w:val="0012641A"/>
    <w:rsid w:val="001559C6"/>
    <w:rsid w:val="001636FD"/>
    <w:rsid w:val="001666BE"/>
    <w:rsid w:val="0017221B"/>
    <w:rsid w:val="001776C0"/>
    <w:rsid w:val="001873AD"/>
    <w:rsid w:val="001B515B"/>
    <w:rsid w:val="001C211D"/>
    <w:rsid w:val="001D7248"/>
    <w:rsid w:val="001E1912"/>
    <w:rsid w:val="001E3FD5"/>
    <w:rsid w:val="00200DB7"/>
    <w:rsid w:val="002010C7"/>
    <w:rsid w:val="00203F4E"/>
    <w:rsid w:val="002143D0"/>
    <w:rsid w:val="002243C8"/>
    <w:rsid w:val="0022449E"/>
    <w:rsid w:val="002446C2"/>
    <w:rsid w:val="00264338"/>
    <w:rsid w:val="00285E2B"/>
    <w:rsid w:val="002A264B"/>
    <w:rsid w:val="002C38B7"/>
    <w:rsid w:val="002C7A57"/>
    <w:rsid w:val="002D124D"/>
    <w:rsid w:val="002D3E93"/>
    <w:rsid w:val="002E133C"/>
    <w:rsid w:val="00304A25"/>
    <w:rsid w:val="00311A95"/>
    <w:rsid w:val="003129DA"/>
    <w:rsid w:val="003164BA"/>
    <w:rsid w:val="00320279"/>
    <w:rsid w:val="00322CE2"/>
    <w:rsid w:val="0034343E"/>
    <w:rsid w:val="003523AD"/>
    <w:rsid w:val="00354CC3"/>
    <w:rsid w:val="003754F3"/>
    <w:rsid w:val="00392281"/>
    <w:rsid w:val="003B5086"/>
    <w:rsid w:val="003D581B"/>
    <w:rsid w:val="003D5FD1"/>
    <w:rsid w:val="003F53F9"/>
    <w:rsid w:val="00404F97"/>
    <w:rsid w:val="004230E9"/>
    <w:rsid w:val="00424881"/>
    <w:rsid w:val="004462DF"/>
    <w:rsid w:val="004565FB"/>
    <w:rsid w:val="00473531"/>
    <w:rsid w:val="004A7D2C"/>
    <w:rsid w:val="004B15FA"/>
    <w:rsid w:val="004E47ED"/>
    <w:rsid w:val="004F529A"/>
    <w:rsid w:val="00537321"/>
    <w:rsid w:val="00587F8A"/>
    <w:rsid w:val="005C36B1"/>
    <w:rsid w:val="005D7A34"/>
    <w:rsid w:val="005F1386"/>
    <w:rsid w:val="005F5D0F"/>
    <w:rsid w:val="005F653B"/>
    <w:rsid w:val="005F6715"/>
    <w:rsid w:val="00614549"/>
    <w:rsid w:val="00621FDA"/>
    <w:rsid w:val="00640003"/>
    <w:rsid w:val="00652150"/>
    <w:rsid w:val="006729B5"/>
    <w:rsid w:val="00684F3F"/>
    <w:rsid w:val="00690862"/>
    <w:rsid w:val="00693E9F"/>
    <w:rsid w:val="006B0E0B"/>
    <w:rsid w:val="006E6B6C"/>
    <w:rsid w:val="006E7A9C"/>
    <w:rsid w:val="006F2132"/>
    <w:rsid w:val="006F461A"/>
    <w:rsid w:val="00701933"/>
    <w:rsid w:val="00735496"/>
    <w:rsid w:val="0075075F"/>
    <w:rsid w:val="00780DC4"/>
    <w:rsid w:val="00785E1D"/>
    <w:rsid w:val="00787E9F"/>
    <w:rsid w:val="00795A32"/>
    <w:rsid w:val="007B5700"/>
    <w:rsid w:val="007E7F70"/>
    <w:rsid w:val="00801D31"/>
    <w:rsid w:val="00806544"/>
    <w:rsid w:val="00812543"/>
    <w:rsid w:val="00815202"/>
    <w:rsid w:val="00815E52"/>
    <w:rsid w:val="00820F9B"/>
    <w:rsid w:val="00822B2A"/>
    <w:rsid w:val="008408C2"/>
    <w:rsid w:val="0085270B"/>
    <w:rsid w:val="00863C12"/>
    <w:rsid w:val="0088103D"/>
    <w:rsid w:val="008957B8"/>
    <w:rsid w:val="008B6E91"/>
    <w:rsid w:val="008C0C54"/>
    <w:rsid w:val="008C162C"/>
    <w:rsid w:val="008C1C3D"/>
    <w:rsid w:val="008E0BA4"/>
    <w:rsid w:val="008F7FB3"/>
    <w:rsid w:val="00984790"/>
    <w:rsid w:val="00985A5F"/>
    <w:rsid w:val="0099377C"/>
    <w:rsid w:val="0099534C"/>
    <w:rsid w:val="00996641"/>
    <w:rsid w:val="009D6623"/>
    <w:rsid w:val="009E49DA"/>
    <w:rsid w:val="009F2349"/>
    <w:rsid w:val="009F4B4A"/>
    <w:rsid w:val="00A06BAC"/>
    <w:rsid w:val="00A115A7"/>
    <w:rsid w:val="00A40E19"/>
    <w:rsid w:val="00A4166A"/>
    <w:rsid w:val="00A578D1"/>
    <w:rsid w:val="00A72705"/>
    <w:rsid w:val="00A77D09"/>
    <w:rsid w:val="00A80677"/>
    <w:rsid w:val="00A96B06"/>
    <w:rsid w:val="00AA1699"/>
    <w:rsid w:val="00B01D51"/>
    <w:rsid w:val="00B129E8"/>
    <w:rsid w:val="00B65357"/>
    <w:rsid w:val="00B836AB"/>
    <w:rsid w:val="00B910DB"/>
    <w:rsid w:val="00BB1C99"/>
    <w:rsid w:val="00BB4658"/>
    <w:rsid w:val="00BD5955"/>
    <w:rsid w:val="00C068BB"/>
    <w:rsid w:val="00C07B08"/>
    <w:rsid w:val="00C10E5E"/>
    <w:rsid w:val="00C265E8"/>
    <w:rsid w:val="00C306D5"/>
    <w:rsid w:val="00C30DEC"/>
    <w:rsid w:val="00C347ED"/>
    <w:rsid w:val="00C95088"/>
    <w:rsid w:val="00CC43AC"/>
    <w:rsid w:val="00CD5508"/>
    <w:rsid w:val="00CE0689"/>
    <w:rsid w:val="00CE4E35"/>
    <w:rsid w:val="00CE7CEC"/>
    <w:rsid w:val="00D0567B"/>
    <w:rsid w:val="00D10D63"/>
    <w:rsid w:val="00D17FF4"/>
    <w:rsid w:val="00D32EF1"/>
    <w:rsid w:val="00D33BF4"/>
    <w:rsid w:val="00D35DEF"/>
    <w:rsid w:val="00D777EF"/>
    <w:rsid w:val="00D80C03"/>
    <w:rsid w:val="00D87BAA"/>
    <w:rsid w:val="00DC6423"/>
    <w:rsid w:val="00E001A7"/>
    <w:rsid w:val="00E04264"/>
    <w:rsid w:val="00E27FA3"/>
    <w:rsid w:val="00E61B1B"/>
    <w:rsid w:val="00E66B69"/>
    <w:rsid w:val="00E67966"/>
    <w:rsid w:val="00E816D9"/>
    <w:rsid w:val="00E91E78"/>
    <w:rsid w:val="00E96667"/>
    <w:rsid w:val="00EA2300"/>
    <w:rsid w:val="00EA3A1B"/>
    <w:rsid w:val="00EA5917"/>
    <w:rsid w:val="00ED060E"/>
    <w:rsid w:val="00ED1370"/>
    <w:rsid w:val="00ED7F8D"/>
    <w:rsid w:val="00EE3906"/>
    <w:rsid w:val="00F21170"/>
    <w:rsid w:val="00F45FA9"/>
    <w:rsid w:val="00F46169"/>
    <w:rsid w:val="00F467E9"/>
    <w:rsid w:val="00F96670"/>
    <w:rsid w:val="00FA5197"/>
    <w:rsid w:val="00FB46A4"/>
    <w:rsid w:val="00FC5864"/>
    <w:rsid w:val="00FD1739"/>
    <w:rsid w:val="00FE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0145B"/>
  <w15:chartTrackingRefBased/>
  <w15:docId w15:val="{2D99C7FF-1392-48BB-804A-355CDF6B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CC3"/>
    <w:pPr>
      <w:spacing w:after="160" w:line="259" w:lineRule="auto"/>
    </w:pPr>
    <w:rPr>
      <w:sz w:val="22"/>
      <w:szCs w:val="22"/>
    </w:rPr>
  </w:style>
  <w:style w:type="paragraph" w:styleId="Heading1">
    <w:name w:val="heading 1"/>
    <w:basedOn w:val="Normal"/>
    <w:next w:val="Normal"/>
    <w:link w:val="Heading1Char"/>
    <w:uiPriority w:val="9"/>
    <w:qFormat/>
    <w:rsid w:val="002E133C"/>
    <w:pPr>
      <w:keepNext/>
      <w:keepLines/>
      <w:spacing w:before="240" w:after="0"/>
      <w:jc w:val="both"/>
      <w:outlineLvl w:val="0"/>
    </w:pPr>
    <w:rPr>
      <w:rFonts w:ascii="Arial" w:eastAsia="Times New Roman" w:hAnsi="Arial"/>
      <w:b/>
      <w:sz w:val="24"/>
      <w:szCs w:val="32"/>
    </w:rPr>
  </w:style>
  <w:style w:type="paragraph" w:styleId="Heading2">
    <w:name w:val="heading 2"/>
    <w:basedOn w:val="Normal"/>
    <w:next w:val="Normal"/>
    <w:link w:val="Heading2Char"/>
    <w:uiPriority w:val="9"/>
    <w:semiHidden/>
    <w:unhideWhenUsed/>
    <w:qFormat/>
    <w:rsid w:val="0064000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2E133C"/>
    <w:pPr>
      <w:keepNext/>
      <w:keepLines/>
      <w:spacing w:before="40" w:after="0"/>
      <w:outlineLvl w:val="2"/>
    </w:pPr>
    <w:rPr>
      <w:rFonts w:ascii="Arial" w:eastAsia="Times New Roman" w:hAnsi="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54CC3"/>
    <w:rPr>
      <w:b/>
      <w:bCs/>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801D31"/>
    <w:pPr>
      <w:spacing w:after="0" w:line="240" w:lineRule="auto"/>
    </w:pPr>
    <w:rPr>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link w:val="FootnoteText"/>
    <w:uiPriority w:val="99"/>
    <w:rsid w:val="00801D31"/>
    <w:rPr>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link w:val="BVIfnrCharCar1CarCharChar"/>
    <w:uiPriority w:val="99"/>
    <w:unhideWhenUsed/>
    <w:qFormat/>
    <w:rsid w:val="00801D31"/>
    <w:rPr>
      <w:vertAlign w:val="superscript"/>
    </w:rPr>
  </w:style>
  <w:style w:type="paragraph" w:styleId="ListParagraph">
    <w:name w:val="List Paragraph"/>
    <w:aliases w:val="List Paragraph 1,List Paragraph nowy,References,Numbered List Paragraph,Subtitle1,Subtitle11,Bullet,Numbered Paragraph,Main numbered paragraph,List_Paragraph,Multilevel para_II,List Paragraph-ExecSummary,normal,Normal1,Normal2,Normal3,a."/>
    <w:basedOn w:val="Normal"/>
    <w:uiPriority w:val="34"/>
    <w:qFormat/>
    <w:rsid w:val="00801D31"/>
    <w:pPr>
      <w:ind w:left="720"/>
      <w:contextualSpacing/>
    </w:pPr>
  </w:style>
  <w:style w:type="table" w:styleId="TableGrid">
    <w:name w:val="Table Grid"/>
    <w:basedOn w:val="TableNormal"/>
    <w:uiPriority w:val="39"/>
    <w:rsid w:val="00B91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6670"/>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21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170"/>
  </w:style>
  <w:style w:type="paragraph" w:styleId="Footer">
    <w:name w:val="footer"/>
    <w:basedOn w:val="Normal"/>
    <w:link w:val="FooterChar"/>
    <w:uiPriority w:val="99"/>
    <w:unhideWhenUsed/>
    <w:rsid w:val="00F21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170"/>
  </w:style>
  <w:style w:type="paragraph" w:styleId="BalloonText">
    <w:name w:val="Balloon Text"/>
    <w:basedOn w:val="Normal"/>
    <w:link w:val="BalloonTextChar"/>
    <w:uiPriority w:val="99"/>
    <w:semiHidden/>
    <w:unhideWhenUsed/>
    <w:rsid w:val="001873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73AD"/>
    <w:rPr>
      <w:rFonts w:ascii="Segoe UI" w:hAnsi="Segoe UI" w:cs="Segoe UI"/>
      <w:sz w:val="18"/>
      <w:szCs w:val="18"/>
    </w:rPr>
  </w:style>
  <w:style w:type="character" w:customStyle="1" w:styleId="Heading1Char">
    <w:name w:val="Heading 1 Char"/>
    <w:link w:val="Heading1"/>
    <w:uiPriority w:val="9"/>
    <w:rsid w:val="002E133C"/>
    <w:rPr>
      <w:rFonts w:ascii="Arial" w:eastAsia="Times New Roman" w:hAnsi="Arial"/>
      <w:b/>
      <w:sz w:val="24"/>
      <w:szCs w:val="32"/>
    </w:rPr>
  </w:style>
  <w:style w:type="character" w:customStyle="1" w:styleId="Heading3Char">
    <w:name w:val="Heading 3 Char"/>
    <w:link w:val="Heading3"/>
    <w:uiPriority w:val="9"/>
    <w:rsid w:val="002E133C"/>
    <w:rPr>
      <w:rFonts w:ascii="Arial" w:eastAsia="Times New Roman" w:hAnsi="Arial"/>
      <w:color w:val="000000"/>
      <w:sz w:val="24"/>
      <w:szCs w:val="24"/>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996641"/>
    <w:pPr>
      <w:spacing w:line="240" w:lineRule="exact"/>
      <w:ind w:left="714" w:hanging="357"/>
      <w:jc w:val="both"/>
    </w:pPr>
    <w:rPr>
      <w:sz w:val="20"/>
      <w:szCs w:val="20"/>
      <w:vertAlign w:val="superscript"/>
    </w:rPr>
  </w:style>
  <w:style w:type="paragraph" w:styleId="Caption">
    <w:name w:val="caption"/>
    <w:basedOn w:val="Normal"/>
    <w:next w:val="Normal"/>
    <w:uiPriority w:val="35"/>
    <w:unhideWhenUsed/>
    <w:qFormat/>
    <w:rsid w:val="00996641"/>
    <w:pPr>
      <w:spacing w:after="200" w:line="240" w:lineRule="auto"/>
    </w:pPr>
    <w:rPr>
      <w:i/>
      <w:iCs/>
      <w:color w:val="44546A"/>
      <w:kern w:val="2"/>
      <w:sz w:val="18"/>
      <w:szCs w:val="18"/>
      <w:lang w:val="mn-MN"/>
    </w:rPr>
  </w:style>
  <w:style w:type="paragraph" w:styleId="Revision">
    <w:name w:val="Revision"/>
    <w:hidden/>
    <w:uiPriority w:val="99"/>
    <w:semiHidden/>
    <w:rsid w:val="00A578D1"/>
    <w:rPr>
      <w:sz w:val="22"/>
      <w:szCs w:val="22"/>
    </w:rPr>
  </w:style>
  <w:style w:type="character" w:styleId="CommentReference">
    <w:name w:val="annotation reference"/>
    <w:basedOn w:val="DefaultParagraphFont"/>
    <w:uiPriority w:val="99"/>
    <w:semiHidden/>
    <w:unhideWhenUsed/>
    <w:rsid w:val="00D17FF4"/>
    <w:rPr>
      <w:sz w:val="16"/>
      <w:szCs w:val="16"/>
    </w:rPr>
  </w:style>
  <w:style w:type="paragraph" w:styleId="CommentText">
    <w:name w:val="annotation text"/>
    <w:basedOn w:val="Normal"/>
    <w:link w:val="CommentTextChar"/>
    <w:uiPriority w:val="99"/>
    <w:unhideWhenUsed/>
    <w:rsid w:val="00D17FF4"/>
    <w:pPr>
      <w:spacing w:line="240" w:lineRule="auto"/>
    </w:pPr>
    <w:rPr>
      <w:sz w:val="20"/>
      <w:szCs w:val="20"/>
    </w:rPr>
  </w:style>
  <w:style w:type="character" w:customStyle="1" w:styleId="CommentTextChar">
    <w:name w:val="Comment Text Char"/>
    <w:basedOn w:val="DefaultParagraphFont"/>
    <w:link w:val="CommentText"/>
    <w:uiPriority w:val="99"/>
    <w:rsid w:val="00D17FF4"/>
  </w:style>
  <w:style w:type="paragraph" w:styleId="CommentSubject">
    <w:name w:val="annotation subject"/>
    <w:basedOn w:val="CommentText"/>
    <w:next w:val="CommentText"/>
    <w:link w:val="CommentSubjectChar"/>
    <w:uiPriority w:val="99"/>
    <w:semiHidden/>
    <w:unhideWhenUsed/>
    <w:rsid w:val="00D17FF4"/>
    <w:rPr>
      <w:b/>
      <w:bCs/>
    </w:rPr>
  </w:style>
  <w:style w:type="character" w:customStyle="1" w:styleId="CommentSubjectChar">
    <w:name w:val="Comment Subject Char"/>
    <w:basedOn w:val="CommentTextChar"/>
    <w:link w:val="CommentSubject"/>
    <w:uiPriority w:val="99"/>
    <w:semiHidden/>
    <w:rsid w:val="00D17FF4"/>
    <w:rPr>
      <w:b/>
      <w:bCs/>
    </w:rPr>
  </w:style>
  <w:style w:type="character" w:styleId="Hyperlink">
    <w:name w:val="Hyperlink"/>
    <w:basedOn w:val="DefaultParagraphFont"/>
    <w:uiPriority w:val="99"/>
    <w:unhideWhenUsed/>
    <w:rsid w:val="00404F97"/>
    <w:rPr>
      <w:color w:val="467886" w:themeColor="hyperlink"/>
      <w:u w:val="single"/>
    </w:rPr>
  </w:style>
  <w:style w:type="character" w:styleId="UnresolvedMention">
    <w:name w:val="Unresolved Mention"/>
    <w:basedOn w:val="DefaultParagraphFont"/>
    <w:uiPriority w:val="99"/>
    <w:semiHidden/>
    <w:unhideWhenUsed/>
    <w:rsid w:val="00404F97"/>
    <w:rPr>
      <w:color w:val="605E5C"/>
      <w:shd w:val="clear" w:color="auto" w:fill="E1DFDD"/>
    </w:rPr>
  </w:style>
  <w:style w:type="character" w:customStyle="1" w:styleId="Heading2Char">
    <w:name w:val="Heading 2 Char"/>
    <w:basedOn w:val="DefaultParagraphFont"/>
    <w:link w:val="Heading2"/>
    <w:uiPriority w:val="9"/>
    <w:semiHidden/>
    <w:rsid w:val="00640003"/>
    <w:rPr>
      <w:rFonts w:asciiTheme="majorHAnsi" w:eastAsiaTheme="majorEastAsia" w:hAnsiTheme="majorHAnsi" w:cstheme="majorBidi"/>
      <w:color w:val="0F4761" w:themeColor="accent1" w:themeShade="BF"/>
      <w:sz w:val="26"/>
      <w:szCs w:val="26"/>
    </w:rPr>
  </w:style>
  <w:style w:type="character" w:customStyle="1" w:styleId="apple-converted-space">
    <w:name w:val="apple-converted-space"/>
    <w:basedOn w:val="DefaultParagraphFont"/>
    <w:rsid w:val="00640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617166">
      <w:bodyDiv w:val="1"/>
      <w:marLeft w:val="0"/>
      <w:marRight w:val="0"/>
      <w:marTop w:val="0"/>
      <w:marBottom w:val="0"/>
      <w:divBdr>
        <w:top w:val="none" w:sz="0" w:space="0" w:color="auto"/>
        <w:left w:val="none" w:sz="0" w:space="0" w:color="auto"/>
        <w:bottom w:val="none" w:sz="0" w:space="0" w:color="auto"/>
        <w:right w:val="none" w:sz="0" w:space="0" w:color="auto"/>
      </w:divBdr>
      <w:divsChild>
        <w:div w:id="2079663731">
          <w:marLeft w:val="0"/>
          <w:marRight w:val="0"/>
          <w:marTop w:val="0"/>
          <w:marBottom w:val="0"/>
          <w:divBdr>
            <w:top w:val="none" w:sz="0" w:space="0" w:color="auto"/>
            <w:left w:val="none" w:sz="0" w:space="0" w:color="auto"/>
            <w:bottom w:val="none" w:sz="0" w:space="0" w:color="auto"/>
            <w:right w:val="none" w:sz="0" w:space="0" w:color="auto"/>
          </w:divBdr>
          <w:divsChild>
            <w:div w:id="552888123">
              <w:marLeft w:val="0"/>
              <w:marRight w:val="0"/>
              <w:marTop w:val="0"/>
              <w:marBottom w:val="0"/>
              <w:divBdr>
                <w:top w:val="none" w:sz="0" w:space="0" w:color="auto"/>
                <w:left w:val="none" w:sz="0" w:space="0" w:color="auto"/>
                <w:bottom w:val="none" w:sz="0" w:space="0" w:color="auto"/>
                <w:right w:val="none" w:sz="0" w:space="0" w:color="auto"/>
              </w:divBdr>
            </w:div>
          </w:divsChild>
        </w:div>
        <w:div w:id="1387683824">
          <w:marLeft w:val="0"/>
          <w:marRight w:val="0"/>
          <w:marTop w:val="0"/>
          <w:marBottom w:val="0"/>
          <w:divBdr>
            <w:top w:val="none" w:sz="0" w:space="0" w:color="auto"/>
            <w:left w:val="none" w:sz="0" w:space="0" w:color="auto"/>
            <w:bottom w:val="none" w:sz="0" w:space="0" w:color="auto"/>
            <w:right w:val="none" w:sz="0" w:space="0" w:color="auto"/>
          </w:divBdr>
          <w:divsChild>
            <w:div w:id="19604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legalinfo.mn/mn/detail?lawId=16760148379551" TargetMode="External"/><Relationship Id="rId1" Type="http://schemas.openxmlformats.org/officeDocument/2006/relationships/hyperlink" Target="https://legalinfo.mn/mn/detail?lawId=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AADB0-306F-794F-8A80-6FE44C66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Attorney MN</dc:creator>
  <cp:keywords/>
  <dc:description/>
  <cp:lastModifiedBy>batsuuri battsetseg</cp:lastModifiedBy>
  <cp:revision>2</cp:revision>
  <cp:lastPrinted>2026-05-27T02:26:00Z</cp:lastPrinted>
  <dcterms:created xsi:type="dcterms:W3CDTF">2026-05-27T02:34:00Z</dcterms:created>
  <dcterms:modified xsi:type="dcterms:W3CDTF">2026-05-27T02:34:00Z</dcterms:modified>
</cp:coreProperties>
</file>