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0203B" w14:textId="77777777" w:rsidR="00F35293" w:rsidRPr="00DF4CB8" w:rsidRDefault="00F35293" w:rsidP="00F35293">
      <w:pPr>
        <w:ind w:firstLine="720"/>
        <w:jc w:val="center"/>
        <w:rPr>
          <w:b/>
          <w:bCs/>
          <w:noProof/>
          <w:sz w:val="24"/>
          <w:szCs w:val="24"/>
          <w:lang w:val="en-US"/>
        </w:rPr>
      </w:pPr>
      <w:bookmarkStart w:id="0" w:name="_Hlk209707232"/>
      <w:r w:rsidRPr="00DF4CB8">
        <w:rPr>
          <w:b/>
          <w:bCs/>
          <w:noProof/>
          <w:sz w:val="24"/>
          <w:szCs w:val="24"/>
          <w:lang w:val="en-US"/>
        </w:rPr>
        <w:t>ТОВЧ ТАНИЛЦУУЛГА</w:t>
      </w:r>
    </w:p>
    <w:p w14:paraId="494160B5" w14:textId="77777777" w:rsidR="00F35293" w:rsidRPr="00DF4CB8" w:rsidRDefault="00F35293" w:rsidP="00F35293">
      <w:pPr>
        <w:ind w:right="-34"/>
        <w:rPr>
          <w:b/>
          <w:bCs/>
          <w:noProof/>
          <w:sz w:val="24"/>
          <w:szCs w:val="24"/>
          <w:lang w:val="en-US"/>
        </w:rPr>
      </w:pPr>
    </w:p>
    <w:p w14:paraId="7262FB38" w14:textId="77777777" w:rsidR="000A2040" w:rsidRDefault="003C288E" w:rsidP="00DF4CB8">
      <w:pPr>
        <w:spacing w:line="240" w:lineRule="auto"/>
        <w:jc w:val="right"/>
        <w:rPr>
          <w:noProof/>
          <w:sz w:val="24"/>
          <w:szCs w:val="24"/>
          <w:lang w:val="en-US"/>
        </w:rPr>
      </w:pPr>
      <w:r w:rsidRPr="00DF4CB8">
        <w:rPr>
          <w:noProof/>
          <w:sz w:val="24"/>
          <w:szCs w:val="24"/>
          <w:lang w:val="mn-MN"/>
        </w:rPr>
        <w:t xml:space="preserve">Факторингийн </w:t>
      </w:r>
      <w:r w:rsidR="00F35293" w:rsidRPr="00DF4CB8">
        <w:rPr>
          <w:noProof/>
          <w:sz w:val="24"/>
          <w:szCs w:val="24"/>
          <w:lang w:val="mn-MN"/>
        </w:rPr>
        <w:t>тухай</w:t>
      </w:r>
      <w:r w:rsidR="00F35293" w:rsidRPr="00DF4CB8">
        <w:rPr>
          <w:noProof/>
          <w:sz w:val="24"/>
          <w:szCs w:val="24"/>
          <w:lang w:val="en-US"/>
        </w:rPr>
        <w:t xml:space="preserve"> </w:t>
      </w:r>
    </w:p>
    <w:p w14:paraId="5104202E" w14:textId="5ED37CAE" w:rsidR="00F35293" w:rsidRPr="00DF4CB8" w:rsidRDefault="00F35293" w:rsidP="00DF4CB8">
      <w:pPr>
        <w:spacing w:line="240" w:lineRule="auto"/>
        <w:jc w:val="right"/>
        <w:rPr>
          <w:noProof/>
          <w:sz w:val="24"/>
          <w:szCs w:val="24"/>
          <w:lang w:val="en-US"/>
        </w:rPr>
      </w:pPr>
      <w:r w:rsidRPr="00DF4CB8">
        <w:rPr>
          <w:noProof/>
          <w:sz w:val="24"/>
          <w:szCs w:val="24"/>
          <w:lang w:val="en-US"/>
        </w:rPr>
        <w:t>хуулийн төслийн талаар</w:t>
      </w:r>
    </w:p>
    <w:p w14:paraId="265375A1" w14:textId="77777777" w:rsidR="006D5269" w:rsidRPr="00DF4CB8" w:rsidRDefault="006D5269" w:rsidP="006D5269">
      <w:pPr>
        <w:ind w:right="-34"/>
        <w:jc w:val="center"/>
        <w:rPr>
          <w:noProof/>
          <w:sz w:val="24"/>
          <w:szCs w:val="24"/>
          <w:lang w:val="en-US"/>
        </w:rPr>
      </w:pPr>
    </w:p>
    <w:p w14:paraId="3E12EF1A" w14:textId="77777777" w:rsidR="00532E89" w:rsidRDefault="00F35293" w:rsidP="00EE22CE">
      <w:pPr>
        <w:ind w:right="-34"/>
        <w:jc w:val="center"/>
        <w:rPr>
          <w:b/>
          <w:bCs/>
          <w:noProof/>
          <w:sz w:val="24"/>
          <w:szCs w:val="24"/>
          <w:lang w:val="en-US"/>
        </w:rPr>
      </w:pPr>
      <w:r w:rsidRPr="00593F21">
        <w:rPr>
          <w:b/>
          <w:bCs/>
          <w:noProof/>
          <w:sz w:val="24"/>
          <w:szCs w:val="24"/>
          <w:lang w:val="en-US"/>
        </w:rPr>
        <w:t>Хуулийн төслийн ерөн</w:t>
      </w:r>
      <w:r w:rsidR="00EE22CE" w:rsidRPr="00593F21">
        <w:rPr>
          <w:b/>
          <w:bCs/>
          <w:noProof/>
          <w:sz w:val="24"/>
          <w:szCs w:val="24"/>
          <w:lang w:val="en-US"/>
        </w:rPr>
        <w:t xml:space="preserve">хий агуулга, </w:t>
      </w:r>
    </w:p>
    <w:p w14:paraId="6AD4710F" w14:textId="79E76B79" w:rsidR="00714201" w:rsidRPr="00593F21" w:rsidRDefault="00EE22CE" w:rsidP="00EE22CE">
      <w:pPr>
        <w:ind w:right="-34"/>
        <w:jc w:val="center"/>
        <w:rPr>
          <w:b/>
          <w:bCs/>
          <w:noProof/>
          <w:sz w:val="24"/>
          <w:szCs w:val="24"/>
          <w:lang w:val="mn-MN"/>
        </w:rPr>
      </w:pPr>
      <w:r w:rsidRPr="00593F21">
        <w:rPr>
          <w:b/>
          <w:bCs/>
          <w:noProof/>
          <w:sz w:val="24"/>
          <w:szCs w:val="24"/>
          <w:lang w:val="en-US"/>
        </w:rPr>
        <w:t>зохицуулах харилца</w:t>
      </w:r>
      <w:r w:rsidRPr="00593F21">
        <w:rPr>
          <w:b/>
          <w:bCs/>
          <w:noProof/>
          <w:sz w:val="24"/>
          <w:szCs w:val="24"/>
          <w:lang w:val="mn-MN"/>
        </w:rPr>
        <w:t>а</w:t>
      </w:r>
    </w:p>
    <w:p w14:paraId="730248E7" w14:textId="77777777" w:rsidR="00FA0D93" w:rsidRPr="003C288E" w:rsidRDefault="00FA0D93" w:rsidP="00FA0D93">
      <w:pPr>
        <w:ind w:right="-34"/>
        <w:rPr>
          <w:b/>
          <w:bCs/>
          <w:noProof/>
          <w:sz w:val="24"/>
          <w:szCs w:val="24"/>
          <w:highlight w:val="yellow"/>
          <w:lang w:val="mn-MN"/>
        </w:rPr>
      </w:pPr>
    </w:p>
    <w:p w14:paraId="39B3BAE2" w14:textId="77777777" w:rsidR="007105F9" w:rsidRDefault="007105F9" w:rsidP="001750AA">
      <w:pPr>
        <w:spacing w:line="240" w:lineRule="auto"/>
        <w:ind w:firstLine="720"/>
        <w:jc w:val="both"/>
        <w:rPr>
          <w:sz w:val="24"/>
          <w:szCs w:val="24"/>
          <w:lang w:val="mn-MN"/>
        </w:rPr>
      </w:pPr>
      <w:bookmarkStart w:id="1" w:name="_Hlk229475397"/>
      <w:bookmarkEnd w:id="0"/>
      <w:r w:rsidRPr="007105F9">
        <w:rPr>
          <w:sz w:val="24"/>
          <w:szCs w:val="24"/>
          <w:lang w:val="mn-MN"/>
        </w:rPr>
        <w:t>Монгол Улсын Үндсэн хуулийн тавдугаар зүйлийн 1 дэх хэсэгт “Монгол Улс дэлхийн эдийн засгийн хөгжлийн түгээмэл хандлага, өөрийн орны өвөрмөц онцлогт нийцсэн олон хэвшил бүхий эдийн засагтай байна”, 2 дахь хэсэгт “Төр нь нийтийн болон хувийн өмчийн аливаа хэлбэрийг хүлээн зөвшөөрч, өмчлөгчийн эрхийг хуулиар хамгаална”, 4 дэх хэсэгт “Төр нь үндэсний эдийн засгийн аюулгүй байдал, аж ахуйн бүх хэвшлийн болон хүн амын нийгмийн хөгжлийг хангах зорилгод нийцүүлэн эдийн засгийг зохицуулна” хэмээн үндсэн хуулиар бататган бэхжүүлсэн.</w:t>
      </w:r>
    </w:p>
    <w:p w14:paraId="3F153868" w14:textId="77777777" w:rsidR="007105F9" w:rsidRDefault="007105F9" w:rsidP="001750AA">
      <w:pPr>
        <w:spacing w:line="240" w:lineRule="auto"/>
        <w:ind w:firstLine="720"/>
        <w:jc w:val="both"/>
        <w:rPr>
          <w:sz w:val="24"/>
          <w:szCs w:val="24"/>
          <w:lang w:val="mn-MN"/>
        </w:rPr>
      </w:pPr>
    </w:p>
    <w:p w14:paraId="2C21D27D" w14:textId="77777777" w:rsidR="001750AA" w:rsidRPr="003C288E" w:rsidRDefault="00593F21" w:rsidP="001750AA">
      <w:pPr>
        <w:spacing w:line="240" w:lineRule="auto"/>
        <w:ind w:firstLine="720"/>
        <w:jc w:val="both"/>
        <w:rPr>
          <w:sz w:val="24"/>
          <w:szCs w:val="24"/>
          <w:highlight w:val="yellow"/>
          <w:lang w:val="mn-MN"/>
        </w:rPr>
      </w:pPr>
      <w:r w:rsidRPr="00593F21">
        <w:rPr>
          <w:sz w:val="24"/>
          <w:szCs w:val="24"/>
          <w:lang w:val="mn-MN"/>
        </w:rPr>
        <w:t>Монгол Улсын Их Хурлын 2020 оны 52 дугаар тогтоолоор баталсан “Алсын хараа -2050” Монгол Улсын урт хугацааны хөгжлийн бодлогын баримт бичигт ухаалаг санхүүгийн зах зээлийг хөгжүүлэх зорилгын хүрээнд “Олон улсын санхүүгийн зах зээлтэй холбогдсон, олон тулгуурт, хүртээмжтэй санхүүгийн системийг хөгжүүлэх” зорилтыг дэвшүүлж, энэ хүрээнд “Зах зээлийн бүтээгдэхүүн, үйлчилгээний эрэлт болон нийлүүлэлтийг дэмжиж, хөрөнгө оруулагчдын төрөл, оролцоог нэмэгдүүлэх, бүтээгдэхүүний шинж чанараас хамаарсан ялгаатай зах зээлүүдийг хөгжүүлэх” зорилтыг дэвшүүлсэн</w:t>
      </w:r>
      <w:r w:rsidR="001750AA" w:rsidRPr="007105F9">
        <w:rPr>
          <w:sz w:val="24"/>
          <w:szCs w:val="24"/>
          <w:lang w:val="mn-MN"/>
        </w:rPr>
        <w:t>.</w:t>
      </w:r>
    </w:p>
    <w:p w14:paraId="2894BDAF" w14:textId="77777777" w:rsidR="001750AA" w:rsidRPr="003C288E" w:rsidRDefault="001750AA" w:rsidP="001750AA">
      <w:pPr>
        <w:spacing w:line="240" w:lineRule="auto"/>
        <w:ind w:firstLine="720"/>
        <w:jc w:val="both"/>
        <w:rPr>
          <w:sz w:val="24"/>
          <w:szCs w:val="24"/>
          <w:highlight w:val="yellow"/>
          <w:lang w:val="mn-MN"/>
        </w:rPr>
      </w:pPr>
    </w:p>
    <w:p w14:paraId="6D3DA5DB" w14:textId="40359294" w:rsidR="001750AA" w:rsidRPr="003C288E" w:rsidRDefault="001750AA" w:rsidP="00242821">
      <w:pPr>
        <w:spacing w:line="240" w:lineRule="auto"/>
        <w:ind w:firstLine="720"/>
        <w:jc w:val="both"/>
        <w:rPr>
          <w:sz w:val="24"/>
          <w:szCs w:val="24"/>
          <w:highlight w:val="yellow"/>
          <w:lang w:val="mn-MN"/>
        </w:rPr>
      </w:pPr>
      <w:r w:rsidRPr="00A47D5E">
        <w:rPr>
          <w:sz w:val="24"/>
          <w:szCs w:val="24"/>
          <w:lang w:val="mn-MN"/>
        </w:rPr>
        <w:t>Монгол Улсын Засгийн газрын 2024-2028 оны үйл ажиллагааны хөтөлбөр</w:t>
      </w:r>
      <w:r w:rsidR="00242821" w:rsidRPr="00A47D5E">
        <w:rPr>
          <w:sz w:val="24"/>
          <w:szCs w:val="24"/>
          <w:lang w:val="mn-MN"/>
        </w:rPr>
        <w:t>ийн</w:t>
      </w:r>
      <w:r w:rsidRPr="00A47D5E">
        <w:rPr>
          <w:sz w:val="24"/>
          <w:szCs w:val="24"/>
          <w:lang w:val="mn-MN"/>
        </w:rPr>
        <w:t xml:space="preserve"> </w:t>
      </w:r>
      <w:r w:rsidR="00242821" w:rsidRPr="00A47D5E">
        <w:rPr>
          <w:sz w:val="24"/>
          <w:szCs w:val="24"/>
          <w:lang w:val="mn-MN"/>
        </w:rPr>
        <w:t xml:space="preserve">3.1.3-т “Банк, санхүү, даатгалын салбарын шинэчлэл”-ийн хүрээнд “Санхүү, даатгал, хөрөнгийн зах зээлийн хууль, эрх зүйн орчныг олон улсын жишигт нийцүүлэн </w:t>
      </w:r>
      <w:r w:rsidR="00F03D75" w:rsidRPr="00A47D5E">
        <w:rPr>
          <w:sz w:val="24"/>
          <w:szCs w:val="24"/>
          <w:lang w:val="mn-MN"/>
        </w:rPr>
        <w:t>шинэчлэх</w:t>
      </w:r>
      <w:r w:rsidR="00242821" w:rsidRPr="00A47D5E">
        <w:rPr>
          <w:sz w:val="24"/>
          <w:szCs w:val="24"/>
          <w:lang w:val="mn-MN"/>
        </w:rPr>
        <w:t>”, “</w:t>
      </w:r>
      <w:r w:rsidR="002D27F0" w:rsidRPr="00A47D5E">
        <w:rPr>
          <w:sz w:val="24"/>
          <w:szCs w:val="24"/>
          <w:lang w:val="mn-MN"/>
        </w:rPr>
        <w:t>Бичил, жижиг, дунд бизнес эрхлэгчдэд таатай нөхцөлөөр санал болгох санхүүгийн бүтээгдэхүүнийг дэмжи</w:t>
      </w:r>
      <w:r w:rsidR="00242821" w:rsidRPr="00A47D5E">
        <w:rPr>
          <w:sz w:val="24"/>
          <w:szCs w:val="24"/>
          <w:lang w:val="mn-MN"/>
        </w:rPr>
        <w:t>х”-ээр тус тус тус</w:t>
      </w:r>
      <w:r w:rsidR="00A47D5E" w:rsidRPr="00A47D5E">
        <w:rPr>
          <w:sz w:val="24"/>
          <w:szCs w:val="24"/>
          <w:lang w:val="mn-MN"/>
        </w:rPr>
        <w:t>гагдсан</w:t>
      </w:r>
      <w:r w:rsidRPr="00A47D5E">
        <w:rPr>
          <w:sz w:val="24"/>
          <w:szCs w:val="24"/>
          <w:lang w:val="mn-MN"/>
        </w:rPr>
        <w:t xml:space="preserve">. </w:t>
      </w:r>
    </w:p>
    <w:p w14:paraId="7110C71B" w14:textId="77777777" w:rsidR="00FA0D93" w:rsidRPr="003C288E" w:rsidRDefault="00FA0D93" w:rsidP="00FA0D93">
      <w:pPr>
        <w:spacing w:line="240" w:lineRule="auto"/>
        <w:jc w:val="both"/>
        <w:rPr>
          <w:sz w:val="24"/>
          <w:szCs w:val="24"/>
          <w:highlight w:val="yellow"/>
          <w:lang w:val="mn-MN"/>
        </w:rPr>
      </w:pPr>
    </w:p>
    <w:p w14:paraId="2BB33D16" w14:textId="0EEF36EA" w:rsidR="00A47D5E" w:rsidRPr="00A47D5E" w:rsidRDefault="00A47D5E" w:rsidP="00A47D5E">
      <w:pPr>
        <w:spacing w:line="240" w:lineRule="auto"/>
        <w:ind w:firstLine="720"/>
        <w:jc w:val="both"/>
        <w:rPr>
          <w:sz w:val="24"/>
          <w:szCs w:val="24"/>
          <w:lang w:val="mn-MN"/>
        </w:rPr>
      </w:pPr>
      <w:r w:rsidRPr="00A47D5E">
        <w:rPr>
          <w:sz w:val="24"/>
          <w:szCs w:val="24"/>
          <w:lang w:val="mn-MN"/>
        </w:rPr>
        <w:t xml:space="preserve">Манай улсын хувьд </w:t>
      </w:r>
      <w:r w:rsidR="001276CA">
        <w:rPr>
          <w:sz w:val="24"/>
          <w:szCs w:val="24"/>
          <w:lang w:val="mn-MN"/>
        </w:rPr>
        <w:t xml:space="preserve">факторингийн үйлчилгээг </w:t>
      </w:r>
      <w:r w:rsidRPr="00A47D5E">
        <w:rPr>
          <w:sz w:val="24"/>
          <w:szCs w:val="24"/>
          <w:lang w:val="mn-MN"/>
        </w:rPr>
        <w:t xml:space="preserve">Иргэний хууль тогтоомжид шаардах эрхийг шилжүүлэх, худалдах гэрээний нэг төрөл болохын хувьд пандектийн систем бүхий иргэнлэг эрх зүйн тогтолцооны зарчимтай холбоотойгоор Иргэний хуулийн гэрээний эрх зүйн хэм хэмжээгээр зохицуулагдах боломжтой гэж үзэн анх </w:t>
      </w:r>
      <w:r w:rsidR="00F03D75" w:rsidRPr="00A47D5E">
        <w:rPr>
          <w:sz w:val="24"/>
          <w:szCs w:val="24"/>
          <w:lang w:val="mn-MN"/>
        </w:rPr>
        <w:t>хуульчлагдаж</w:t>
      </w:r>
      <w:r w:rsidRPr="00A47D5E">
        <w:rPr>
          <w:sz w:val="24"/>
          <w:szCs w:val="24"/>
          <w:lang w:val="mn-MN"/>
        </w:rPr>
        <w:t xml:space="preserve">, улмаар 2002 онд батлагдсан Банк бус санхүүгийн үйл ажиллагааны тухай хуульд санхүүгийн үйлчилгээний нэг төрөл хэмээн үзсэн. </w:t>
      </w:r>
    </w:p>
    <w:p w14:paraId="163B4C96" w14:textId="77777777" w:rsidR="00A47D5E" w:rsidRPr="00A47D5E" w:rsidRDefault="00A47D5E" w:rsidP="00A47D5E">
      <w:pPr>
        <w:spacing w:line="240" w:lineRule="auto"/>
        <w:ind w:firstLine="720"/>
        <w:jc w:val="both"/>
        <w:rPr>
          <w:sz w:val="24"/>
          <w:szCs w:val="24"/>
          <w:lang w:val="mn-MN"/>
        </w:rPr>
      </w:pPr>
    </w:p>
    <w:p w14:paraId="7BF5D6ED" w14:textId="77777777" w:rsidR="009147F3" w:rsidRDefault="00A47D5E" w:rsidP="00A47D5E">
      <w:pPr>
        <w:spacing w:line="240" w:lineRule="auto"/>
        <w:ind w:firstLine="720"/>
        <w:jc w:val="both"/>
        <w:rPr>
          <w:sz w:val="24"/>
          <w:szCs w:val="24"/>
          <w:lang w:val="mn-MN"/>
        </w:rPr>
      </w:pPr>
      <w:r w:rsidRPr="00A47D5E">
        <w:rPr>
          <w:sz w:val="24"/>
          <w:szCs w:val="24"/>
          <w:lang w:val="mn-MN"/>
        </w:rPr>
        <w:t>Гэвч Банк бус санхүүгийн үйл ажиллагааны тухай хуулийн 4.1.2-т “факторингийн үйлчилгээ” гэж зээлдүүлэгч буюу үүрэг гүйцэтгүүлэгчээс мөнгөн төлбөрийн үүргийг шаардах эрхээ гуравдагч этгээдэд бүхэлд нь худалдах /шилжүүлэх/, энэхүү эрхийг хүлээн авагч нь эрхээ хэрэгжүүлэх болон үүсэн гарах үр дагаврыг бүрэн хариуцах үйл ажиллагаа</w:t>
      </w:r>
      <w:r w:rsidR="006249F4">
        <w:rPr>
          <w:sz w:val="24"/>
          <w:szCs w:val="24"/>
          <w:lang w:val="mn-MN"/>
        </w:rPr>
        <w:t xml:space="preserve"> гэж </w:t>
      </w:r>
      <w:r w:rsidRPr="00A47D5E">
        <w:rPr>
          <w:sz w:val="24"/>
          <w:szCs w:val="24"/>
          <w:lang w:val="mn-MN"/>
        </w:rPr>
        <w:t>тодорхойлсон нь талуудын хооронд үүсэх харилцааг хууль зүйн хувьд оновчтой тодорхойлж чадаагүй</w:t>
      </w:r>
      <w:r>
        <w:rPr>
          <w:sz w:val="24"/>
          <w:szCs w:val="24"/>
          <w:lang w:val="mn-MN"/>
        </w:rPr>
        <w:t xml:space="preserve">, эрх зүйн зохицуулалт </w:t>
      </w:r>
      <w:r w:rsidR="009147F3">
        <w:rPr>
          <w:sz w:val="24"/>
          <w:szCs w:val="24"/>
          <w:lang w:val="mn-MN"/>
        </w:rPr>
        <w:t>дутмаг байгаагийн улмаас</w:t>
      </w:r>
      <w:r>
        <w:rPr>
          <w:sz w:val="24"/>
          <w:szCs w:val="24"/>
          <w:lang w:val="mn-MN"/>
        </w:rPr>
        <w:t xml:space="preserve"> </w:t>
      </w:r>
      <w:r w:rsidR="009147F3">
        <w:rPr>
          <w:sz w:val="24"/>
          <w:szCs w:val="24"/>
          <w:lang w:val="mn-MN"/>
        </w:rPr>
        <w:t xml:space="preserve">энэ төрлийн бүтээгдэхүүн үйлчилгээ </w:t>
      </w:r>
      <w:r w:rsidR="00C62D8A">
        <w:rPr>
          <w:sz w:val="24"/>
          <w:szCs w:val="24"/>
          <w:lang w:val="mn-MN"/>
        </w:rPr>
        <w:t xml:space="preserve">чөлөөтэй </w:t>
      </w:r>
      <w:r w:rsidR="009147F3">
        <w:rPr>
          <w:sz w:val="24"/>
          <w:szCs w:val="24"/>
          <w:lang w:val="mn-MN"/>
        </w:rPr>
        <w:t>хөгжих</w:t>
      </w:r>
      <w:r w:rsidR="00C62D8A">
        <w:rPr>
          <w:sz w:val="24"/>
          <w:szCs w:val="24"/>
          <w:lang w:val="mn-MN"/>
        </w:rPr>
        <w:t>, зах зээлд үүргээ гүйцэтгэх</w:t>
      </w:r>
      <w:r w:rsidR="009147F3">
        <w:rPr>
          <w:sz w:val="24"/>
          <w:szCs w:val="24"/>
          <w:lang w:val="mn-MN"/>
        </w:rPr>
        <w:t xml:space="preserve"> боломж</w:t>
      </w:r>
      <w:r w:rsidR="00C62D8A">
        <w:rPr>
          <w:sz w:val="24"/>
          <w:szCs w:val="24"/>
          <w:lang w:val="mn-MN"/>
        </w:rPr>
        <w:t xml:space="preserve"> бүрдэхгүй </w:t>
      </w:r>
      <w:r w:rsidR="009147F3">
        <w:rPr>
          <w:sz w:val="24"/>
          <w:szCs w:val="24"/>
          <w:lang w:val="mn-MN"/>
        </w:rPr>
        <w:t xml:space="preserve">байна. </w:t>
      </w:r>
    </w:p>
    <w:p w14:paraId="21434A65" w14:textId="77777777" w:rsidR="009147F3" w:rsidRDefault="009147F3" w:rsidP="00A47D5E">
      <w:pPr>
        <w:spacing w:line="240" w:lineRule="auto"/>
        <w:ind w:firstLine="720"/>
        <w:jc w:val="both"/>
        <w:rPr>
          <w:sz w:val="24"/>
          <w:szCs w:val="24"/>
          <w:lang w:val="mn-MN"/>
        </w:rPr>
      </w:pPr>
    </w:p>
    <w:p w14:paraId="2D89C7C1" w14:textId="77777777" w:rsidR="00FA0D93" w:rsidRDefault="00CB02E2" w:rsidP="00A47D5E">
      <w:pPr>
        <w:spacing w:line="240" w:lineRule="auto"/>
        <w:ind w:firstLine="720"/>
        <w:jc w:val="both"/>
        <w:rPr>
          <w:sz w:val="24"/>
          <w:szCs w:val="24"/>
          <w:lang w:val="mn-MN"/>
        </w:rPr>
      </w:pPr>
      <w:r>
        <w:rPr>
          <w:sz w:val="24"/>
          <w:szCs w:val="24"/>
          <w:lang w:val="mn-MN"/>
        </w:rPr>
        <w:t xml:space="preserve">Өөрөөр хэлбэл, </w:t>
      </w:r>
      <w:r w:rsidR="009147F3" w:rsidRPr="009147F3">
        <w:rPr>
          <w:sz w:val="24"/>
          <w:szCs w:val="24"/>
          <w:lang w:val="mn-MN"/>
        </w:rPr>
        <w:t xml:space="preserve">Банк бус санхүүгийн үйл ажиллагааны тухай хууль батлагдсанаас хойших 14 жилийн хугацаанд буюу 2016 онд 22 ББСБ-ын факторингийн тооцооноос үүссэн авлага 37.8 сая төгрөг байсан бол 2025 оны жилийн эцэст үйлчилгээ эрхлэгчдийн тоо 64-д хүрч, 2016 оны мөн үеэс 1.8 дахин </w:t>
      </w:r>
      <w:r w:rsidR="009147F3" w:rsidRPr="009147F3">
        <w:rPr>
          <w:sz w:val="24"/>
          <w:szCs w:val="24"/>
          <w:lang w:val="mn-MN"/>
        </w:rPr>
        <w:lastRenderedPageBreak/>
        <w:t>өссөн хэдий ч 27 ББСБ үйл ажиллагаа эрхлээгүй байна. Харин 33 ББСБ-ын факторингийн тооцооноос үүссэн авлага 107.4 тэрбум төгрөгт хүрч өссөн үзүүлэлттэй байна.</w:t>
      </w:r>
    </w:p>
    <w:p w14:paraId="19C10065" w14:textId="77777777" w:rsidR="00CB02E2" w:rsidRDefault="00CB02E2" w:rsidP="00A47D5E">
      <w:pPr>
        <w:spacing w:line="240" w:lineRule="auto"/>
        <w:ind w:firstLine="720"/>
        <w:jc w:val="both"/>
        <w:rPr>
          <w:sz w:val="24"/>
          <w:szCs w:val="24"/>
          <w:lang w:val="mn-MN"/>
        </w:rPr>
      </w:pPr>
    </w:p>
    <w:p w14:paraId="3C6BF38E" w14:textId="68F94400" w:rsidR="00C62D8A" w:rsidRDefault="00C62D8A" w:rsidP="00C62D8A">
      <w:pPr>
        <w:spacing w:line="240" w:lineRule="auto"/>
        <w:ind w:firstLine="720"/>
        <w:jc w:val="both"/>
        <w:rPr>
          <w:sz w:val="24"/>
          <w:szCs w:val="24"/>
          <w:highlight w:val="yellow"/>
          <w:lang w:val="mn-MN"/>
        </w:rPr>
      </w:pPr>
      <w:r w:rsidRPr="00C62D8A">
        <w:rPr>
          <w:sz w:val="24"/>
          <w:szCs w:val="24"/>
          <w:lang w:val="mn-MN"/>
        </w:rPr>
        <w:t>Дэлхийн факторингийн зах зээл 3.6 их наяд ам.</w:t>
      </w:r>
      <w:r w:rsidR="00F03D75" w:rsidRPr="00C62D8A">
        <w:rPr>
          <w:sz w:val="24"/>
          <w:szCs w:val="24"/>
          <w:lang w:val="mn-MN"/>
        </w:rPr>
        <w:t>доллароор</w:t>
      </w:r>
      <w:r w:rsidRPr="00C62D8A">
        <w:rPr>
          <w:sz w:val="24"/>
          <w:szCs w:val="24"/>
          <w:lang w:val="mn-MN"/>
        </w:rPr>
        <w:t xml:space="preserve"> хэмжигдэж байгаа өнөө цаг үед европын зах зээл 60-65%, Азийн зах зээл 25-30%, Хойд Америкийн зах зээл 5-7%,  </w:t>
      </w:r>
      <w:r w:rsidR="00F03D75" w:rsidRPr="00C62D8A">
        <w:rPr>
          <w:sz w:val="24"/>
          <w:szCs w:val="24"/>
          <w:lang w:val="mn-MN"/>
        </w:rPr>
        <w:t>Ойрх</w:t>
      </w:r>
      <w:r w:rsidRPr="00C62D8A">
        <w:rPr>
          <w:sz w:val="24"/>
          <w:szCs w:val="24"/>
          <w:lang w:val="mn-MN"/>
        </w:rPr>
        <w:t xml:space="preserve"> дорнодын орнууд 3-5 орчим хувийг тус тус эзэлж байна.</w:t>
      </w:r>
    </w:p>
    <w:p w14:paraId="146B655B" w14:textId="77777777" w:rsidR="00C62D8A" w:rsidRPr="00C62D8A" w:rsidRDefault="00C62D8A" w:rsidP="00C62D8A">
      <w:pPr>
        <w:spacing w:line="240" w:lineRule="auto"/>
        <w:ind w:firstLine="720"/>
        <w:jc w:val="both"/>
        <w:rPr>
          <w:sz w:val="24"/>
          <w:szCs w:val="24"/>
          <w:lang w:val="mn-MN"/>
        </w:rPr>
      </w:pPr>
    </w:p>
    <w:p w14:paraId="771C1492" w14:textId="77777777" w:rsidR="00EB1B73" w:rsidRDefault="00C62D8A" w:rsidP="00EB1B73">
      <w:pPr>
        <w:spacing w:line="240" w:lineRule="auto"/>
        <w:ind w:firstLine="720"/>
        <w:jc w:val="both"/>
        <w:rPr>
          <w:sz w:val="24"/>
          <w:szCs w:val="24"/>
          <w:lang w:val="mn-MN"/>
        </w:rPr>
      </w:pPr>
      <w:r w:rsidRPr="00C62D8A">
        <w:rPr>
          <w:sz w:val="24"/>
          <w:szCs w:val="24"/>
          <w:lang w:val="mn-MN"/>
        </w:rPr>
        <w:t xml:space="preserve">Монгол Улсын хувьд факторингийн зах зээлийг нийлүүлэлт талаас нь тооцохдоо төр болон томоохон аж ахуйн нэгжүүдийн худалдан авалттай уялдуулах боломжтой </w:t>
      </w:r>
      <w:r w:rsidR="00EB1B73">
        <w:rPr>
          <w:sz w:val="24"/>
          <w:szCs w:val="24"/>
          <w:lang w:val="mn-MN"/>
        </w:rPr>
        <w:t>бөгөөд эдгээрийн</w:t>
      </w:r>
      <w:r w:rsidR="00EB1B73" w:rsidRPr="00C62D8A">
        <w:rPr>
          <w:sz w:val="24"/>
          <w:szCs w:val="24"/>
          <w:lang w:val="mn-MN"/>
        </w:rPr>
        <w:t xml:space="preserve"> худалдан авалтын нийлбэр дүн хамгийн багадаа 50.0 гаруй их наяд төгрөгт хүрч байгаа нь факторинг болон нийлүүлэлтийн сүлжээний санхүүжилтийг хөгжүүлэх эдийн засгийн суурь орон зай байгааг илтгэж байна.</w:t>
      </w:r>
    </w:p>
    <w:p w14:paraId="0B4E0DF1" w14:textId="77777777" w:rsidR="00C62D8A" w:rsidRPr="00C62D8A" w:rsidRDefault="00C62D8A" w:rsidP="00C62D8A">
      <w:pPr>
        <w:spacing w:line="240" w:lineRule="auto"/>
        <w:ind w:firstLine="720"/>
        <w:jc w:val="both"/>
        <w:rPr>
          <w:sz w:val="24"/>
          <w:szCs w:val="24"/>
          <w:lang w:val="mn-MN"/>
        </w:rPr>
      </w:pPr>
    </w:p>
    <w:p w14:paraId="4C79956A" w14:textId="77777777" w:rsidR="00C62D8A" w:rsidRDefault="00C62D8A" w:rsidP="00C62D8A">
      <w:pPr>
        <w:spacing w:line="240" w:lineRule="auto"/>
        <w:ind w:firstLine="720"/>
        <w:jc w:val="both"/>
        <w:rPr>
          <w:sz w:val="24"/>
          <w:szCs w:val="24"/>
          <w:lang w:val="mn-MN"/>
        </w:rPr>
      </w:pPr>
      <w:r w:rsidRPr="00C62D8A">
        <w:rPr>
          <w:sz w:val="24"/>
          <w:szCs w:val="24"/>
          <w:lang w:val="mn-MN"/>
        </w:rPr>
        <w:t>Тухайлбал,</w:t>
      </w:r>
      <w:r w:rsidR="00EB1B73">
        <w:rPr>
          <w:sz w:val="24"/>
          <w:szCs w:val="24"/>
          <w:lang w:val="mn-MN"/>
        </w:rPr>
        <w:t xml:space="preserve"> </w:t>
      </w:r>
      <w:r w:rsidRPr="00C62D8A">
        <w:rPr>
          <w:sz w:val="24"/>
          <w:szCs w:val="24"/>
          <w:lang w:val="mn-MN"/>
        </w:rPr>
        <w:t>2024 оны байдлаар улсын хэмжээнд  108,378 аж ахуйн нэгж байгууллага бүртгэлтэй байгаагийн 76,561 буюу 70.6 хувь нь жижиг, дунд үйлдвэр, үйлчилгээ эрхлэгч байх  ба 2009-2024 оны хооронд 33 458 төсөлд 5,0 их наяд төгрөгийн хүсэлт ирснээс зээл хүсэгчийн 26.7 хувь, санхүүжилтийн 22 хувийг шийдвэрлэсэн буюу шаардлагатай санхүүжилтийн 78 хувь буюу 3.9 их наяд төгрөгийн эх үүсвэрийн дутагдалтай байна.</w:t>
      </w:r>
    </w:p>
    <w:p w14:paraId="6F65EC8E" w14:textId="77777777" w:rsidR="00C62D8A" w:rsidRPr="00C62D8A" w:rsidRDefault="00C62D8A" w:rsidP="00C62D8A">
      <w:pPr>
        <w:spacing w:line="240" w:lineRule="auto"/>
        <w:ind w:firstLine="720"/>
        <w:jc w:val="both"/>
        <w:rPr>
          <w:sz w:val="24"/>
          <w:szCs w:val="24"/>
          <w:lang w:val="mn-MN"/>
        </w:rPr>
      </w:pPr>
    </w:p>
    <w:p w14:paraId="3430F6C0" w14:textId="77777777" w:rsidR="00C62D8A" w:rsidRDefault="00C62D8A" w:rsidP="00C62D8A">
      <w:pPr>
        <w:spacing w:line="240" w:lineRule="auto"/>
        <w:ind w:firstLine="720"/>
        <w:jc w:val="both"/>
        <w:rPr>
          <w:sz w:val="24"/>
          <w:szCs w:val="24"/>
          <w:lang w:val="mn-MN"/>
        </w:rPr>
      </w:pPr>
      <w:r w:rsidRPr="00C62D8A">
        <w:rPr>
          <w:sz w:val="24"/>
          <w:szCs w:val="24"/>
          <w:lang w:val="mn-MN"/>
        </w:rPr>
        <w:t>Факторингийн үйлчилгээ нь худалдан авагч, борлуулагч талын хамтын ажиллагаанд тулгуурлан эргэлтийн хөрөнгийг санхүүжүүлэх, барааны эргэлтийг сайжруулах санхүүгийн гол шийдэл болсноор дотоодын нийт бүтээгдэхүүн нэмэгдэж, эдийн засаг тэлэх эерэг нөлөөтэй юм.</w:t>
      </w:r>
    </w:p>
    <w:p w14:paraId="557704A2" w14:textId="77777777" w:rsidR="00C62D8A" w:rsidRDefault="00C62D8A" w:rsidP="00C62D8A">
      <w:pPr>
        <w:spacing w:line="240" w:lineRule="auto"/>
        <w:ind w:firstLine="720"/>
        <w:jc w:val="both"/>
        <w:rPr>
          <w:sz w:val="24"/>
          <w:szCs w:val="24"/>
          <w:lang w:val="mn-MN"/>
        </w:rPr>
      </w:pPr>
    </w:p>
    <w:p w14:paraId="51F98F5F" w14:textId="6C06FBAB" w:rsidR="00C62D8A" w:rsidRPr="00C62D8A" w:rsidRDefault="00C62D8A" w:rsidP="00C62D8A">
      <w:pPr>
        <w:spacing w:line="240" w:lineRule="auto"/>
        <w:ind w:firstLine="720"/>
        <w:jc w:val="both"/>
        <w:rPr>
          <w:sz w:val="24"/>
          <w:szCs w:val="24"/>
          <w:lang w:val="mn-MN"/>
        </w:rPr>
      </w:pPr>
      <w:r w:rsidRPr="00C62D8A">
        <w:rPr>
          <w:sz w:val="24"/>
          <w:szCs w:val="24"/>
          <w:lang w:val="mn-MN"/>
        </w:rPr>
        <w:t>Жижиг, дунд үйлдвэрлэл, бизнес эрхлэгчид барьцаа хөрөнгө шаард</w:t>
      </w:r>
      <w:r w:rsidR="00BC0E4F">
        <w:rPr>
          <w:sz w:val="24"/>
          <w:szCs w:val="24"/>
          <w:lang w:val="mn-MN"/>
        </w:rPr>
        <w:t>ах</w:t>
      </w:r>
      <w:r w:rsidRPr="00C62D8A">
        <w:rPr>
          <w:sz w:val="24"/>
          <w:szCs w:val="24"/>
          <w:lang w:val="mn-MN"/>
        </w:rPr>
        <w:t>гүйгээр санхүүжилт авах боломж</w:t>
      </w:r>
      <w:r w:rsidR="00CB02E2">
        <w:rPr>
          <w:sz w:val="24"/>
          <w:szCs w:val="24"/>
          <w:lang w:val="mn-MN"/>
        </w:rPr>
        <w:t>ийг</w:t>
      </w:r>
      <w:r w:rsidRPr="00C62D8A">
        <w:rPr>
          <w:sz w:val="24"/>
          <w:szCs w:val="24"/>
          <w:lang w:val="mn-MN"/>
        </w:rPr>
        <w:t xml:space="preserve"> бүрд</w:t>
      </w:r>
      <w:r>
        <w:rPr>
          <w:sz w:val="24"/>
          <w:szCs w:val="24"/>
          <w:lang w:val="mn-MN"/>
        </w:rPr>
        <w:t xml:space="preserve">үүлэх, худалдааны эргэлтийн </w:t>
      </w:r>
      <w:r w:rsidRPr="00C62D8A">
        <w:rPr>
          <w:sz w:val="24"/>
          <w:szCs w:val="24"/>
          <w:lang w:val="mn-MN"/>
        </w:rPr>
        <w:t>шуурхай, үл тасалдах байдлыг хангах</w:t>
      </w:r>
      <w:r>
        <w:rPr>
          <w:sz w:val="24"/>
          <w:szCs w:val="24"/>
          <w:lang w:val="mn-MN"/>
        </w:rPr>
        <w:t>, ж</w:t>
      </w:r>
      <w:r w:rsidRPr="00C62D8A">
        <w:rPr>
          <w:sz w:val="24"/>
          <w:szCs w:val="24"/>
          <w:lang w:val="mn-MN"/>
        </w:rPr>
        <w:t xml:space="preserve">ижиг, дунд үйлдвэрлэл эрхлэгчдийн эргэлтийг зээлээр бус факторингийн үйлчилгээгээр </w:t>
      </w:r>
      <w:r w:rsidR="00F03D75">
        <w:rPr>
          <w:sz w:val="24"/>
          <w:szCs w:val="24"/>
          <w:lang w:val="mn-MN"/>
        </w:rPr>
        <w:t>урьдчилан</w:t>
      </w:r>
      <w:r w:rsidR="00CB02E2">
        <w:rPr>
          <w:sz w:val="24"/>
          <w:szCs w:val="24"/>
          <w:lang w:val="mn-MN"/>
        </w:rPr>
        <w:t xml:space="preserve"> </w:t>
      </w:r>
      <w:r w:rsidRPr="00C62D8A">
        <w:rPr>
          <w:sz w:val="24"/>
          <w:szCs w:val="24"/>
          <w:lang w:val="mn-MN"/>
        </w:rPr>
        <w:t>санхүүжүүлэх</w:t>
      </w:r>
      <w:r w:rsidR="00CB02E2">
        <w:rPr>
          <w:sz w:val="24"/>
          <w:szCs w:val="24"/>
          <w:lang w:val="mn-MN"/>
        </w:rPr>
        <w:t>,</w:t>
      </w:r>
      <w:r w:rsidRPr="00C62D8A">
        <w:rPr>
          <w:sz w:val="24"/>
          <w:szCs w:val="24"/>
          <w:lang w:val="mn-MN"/>
        </w:rPr>
        <w:t xml:space="preserve"> </w:t>
      </w:r>
      <w:r w:rsidR="00CB02E2">
        <w:rPr>
          <w:sz w:val="24"/>
          <w:szCs w:val="24"/>
          <w:lang w:val="mn-MN"/>
        </w:rPr>
        <w:t xml:space="preserve">нийлүүлэлтийн санхүүжилтийн </w:t>
      </w:r>
      <w:r w:rsidRPr="00C62D8A">
        <w:rPr>
          <w:sz w:val="24"/>
          <w:szCs w:val="24"/>
          <w:lang w:val="mn-MN"/>
        </w:rPr>
        <w:t>зах зээлий</w:t>
      </w:r>
      <w:r w:rsidR="00CB02E2">
        <w:rPr>
          <w:sz w:val="24"/>
          <w:szCs w:val="24"/>
          <w:lang w:val="mn-MN"/>
        </w:rPr>
        <w:t>г бэхжүүлэх үйл ажиллааг төрөөс дэмжих зорилгоор Факторингийн тухай анхдагч хуулийн төслийг боловсрууллаа</w:t>
      </w:r>
      <w:r w:rsidRPr="00C62D8A">
        <w:rPr>
          <w:sz w:val="24"/>
          <w:szCs w:val="24"/>
          <w:lang w:val="mn-MN"/>
        </w:rPr>
        <w:t>.</w:t>
      </w:r>
    </w:p>
    <w:p w14:paraId="6DFE0527" w14:textId="77777777" w:rsidR="00FA0D93" w:rsidRPr="003C288E" w:rsidRDefault="00FA0D93" w:rsidP="00FA0D93">
      <w:pPr>
        <w:spacing w:line="240" w:lineRule="auto"/>
        <w:ind w:firstLine="720"/>
        <w:jc w:val="both"/>
        <w:rPr>
          <w:sz w:val="24"/>
          <w:szCs w:val="24"/>
          <w:highlight w:val="yellow"/>
          <w:lang w:val="mn-MN"/>
        </w:rPr>
      </w:pPr>
    </w:p>
    <w:p w14:paraId="45189A9C" w14:textId="77777777" w:rsidR="00FA0D93" w:rsidRPr="00EB1B73" w:rsidRDefault="00FA0D93" w:rsidP="00FA0D93">
      <w:pPr>
        <w:spacing w:line="240" w:lineRule="auto"/>
        <w:ind w:firstLine="720"/>
        <w:jc w:val="both"/>
        <w:rPr>
          <w:sz w:val="24"/>
          <w:szCs w:val="24"/>
          <w:lang w:val="mn-MN"/>
        </w:rPr>
      </w:pPr>
      <w:r w:rsidRPr="00EB1B73">
        <w:rPr>
          <w:sz w:val="24"/>
          <w:szCs w:val="24"/>
          <w:lang w:val="mn-MN"/>
        </w:rPr>
        <w:t>Хуулийн төсөл нь 5 бүлэг, 2</w:t>
      </w:r>
      <w:r w:rsidR="00EB1B73" w:rsidRPr="00EB1B73">
        <w:rPr>
          <w:sz w:val="24"/>
          <w:szCs w:val="24"/>
          <w:lang w:val="mn-MN"/>
        </w:rPr>
        <w:t>1</w:t>
      </w:r>
      <w:r w:rsidRPr="00EB1B73">
        <w:rPr>
          <w:sz w:val="24"/>
          <w:szCs w:val="24"/>
          <w:lang w:val="mn-MN"/>
        </w:rPr>
        <w:t xml:space="preserve"> зүйлтэй бөгөөд дараах </w:t>
      </w:r>
      <w:r w:rsidR="00EB1B73" w:rsidRPr="00EB1B73">
        <w:rPr>
          <w:sz w:val="24"/>
          <w:szCs w:val="24"/>
          <w:lang w:val="mn-MN"/>
        </w:rPr>
        <w:t>нийгмийн харилцааг</w:t>
      </w:r>
      <w:r w:rsidRPr="00EB1B73">
        <w:rPr>
          <w:sz w:val="24"/>
          <w:szCs w:val="24"/>
          <w:lang w:val="mn-MN"/>
        </w:rPr>
        <w:t xml:space="preserve"> зохицуул</w:t>
      </w:r>
      <w:r w:rsidR="00EB1B73" w:rsidRPr="00EB1B73">
        <w:rPr>
          <w:sz w:val="24"/>
          <w:szCs w:val="24"/>
          <w:lang w:val="mn-MN"/>
        </w:rPr>
        <w:t>на</w:t>
      </w:r>
      <w:r w:rsidRPr="00EB1B73">
        <w:rPr>
          <w:sz w:val="24"/>
          <w:szCs w:val="24"/>
          <w:lang w:val="mn-MN"/>
        </w:rPr>
        <w:t>. Үүнд:</w:t>
      </w:r>
    </w:p>
    <w:p w14:paraId="5BF02CCF" w14:textId="77777777" w:rsidR="00FA0D93" w:rsidRPr="003C288E" w:rsidRDefault="00FA0D93" w:rsidP="00FA0D93">
      <w:pPr>
        <w:spacing w:line="240" w:lineRule="auto"/>
        <w:jc w:val="both"/>
        <w:rPr>
          <w:sz w:val="24"/>
          <w:szCs w:val="24"/>
          <w:highlight w:val="yellow"/>
          <w:lang w:val="mn-MN"/>
        </w:rPr>
      </w:pPr>
    </w:p>
    <w:p w14:paraId="27F3EEBF" w14:textId="77777777" w:rsidR="00EB1B73" w:rsidRDefault="00EB1B73" w:rsidP="00EB1B73">
      <w:pPr>
        <w:spacing w:line="240" w:lineRule="auto"/>
        <w:ind w:firstLine="720"/>
        <w:jc w:val="both"/>
        <w:rPr>
          <w:sz w:val="24"/>
          <w:szCs w:val="24"/>
          <w:lang w:val="mn-MN"/>
        </w:rPr>
      </w:pPr>
      <w:r w:rsidRPr="00EB1B73">
        <w:rPr>
          <w:sz w:val="24"/>
          <w:szCs w:val="24"/>
          <w:lang w:val="mn-MN"/>
        </w:rPr>
        <w:t>Хуулийн төслийн нэгдүгээр бүлэг буюу нийтлэг үндэслэлд хуулийн төслийн зорилт, үйлчлэх хүрээ, хуульд хэрэглэсэн нэр томьёог тодорхойл</w:t>
      </w:r>
      <w:r w:rsidR="006249F4">
        <w:rPr>
          <w:sz w:val="24"/>
          <w:szCs w:val="24"/>
          <w:lang w:val="mn-MN"/>
        </w:rPr>
        <w:t>сон</w:t>
      </w:r>
      <w:r w:rsidRPr="00EB1B73">
        <w:rPr>
          <w:sz w:val="24"/>
          <w:szCs w:val="24"/>
          <w:lang w:val="mn-MN"/>
        </w:rPr>
        <w:t>.</w:t>
      </w:r>
    </w:p>
    <w:p w14:paraId="541ADE4B" w14:textId="77777777" w:rsidR="00EB1B73" w:rsidRPr="00EB1B73" w:rsidRDefault="00EB1B73" w:rsidP="00EB1B73">
      <w:pPr>
        <w:spacing w:line="240" w:lineRule="auto"/>
        <w:ind w:firstLine="720"/>
        <w:jc w:val="both"/>
        <w:rPr>
          <w:sz w:val="24"/>
          <w:szCs w:val="24"/>
          <w:lang w:val="mn-MN"/>
        </w:rPr>
      </w:pPr>
    </w:p>
    <w:p w14:paraId="25CEB2F9" w14:textId="77777777" w:rsidR="00EB1B73" w:rsidRDefault="00EB1B73" w:rsidP="00EB1B73">
      <w:pPr>
        <w:spacing w:line="240" w:lineRule="auto"/>
        <w:ind w:firstLine="720"/>
        <w:jc w:val="both"/>
        <w:rPr>
          <w:sz w:val="24"/>
          <w:szCs w:val="24"/>
          <w:lang w:val="mn-MN"/>
        </w:rPr>
      </w:pPr>
      <w:r w:rsidRPr="00EB1B73">
        <w:rPr>
          <w:sz w:val="24"/>
          <w:szCs w:val="24"/>
          <w:lang w:val="mn-MN"/>
        </w:rPr>
        <w:t>Хуулийн төслийн хоёрдугаар бүлэгт факторингийн төрөл, гэрээний агуулга, авлага шилжүүлсэн талаар мэдэгдэх, төлбөр барагдуулах, факторингийн үйлчилгээний нөхцө</w:t>
      </w:r>
      <w:r w:rsidR="00BC0E4F">
        <w:rPr>
          <w:sz w:val="24"/>
          <w:szCs w:val="24"/>
          <w:lang w:val="mn-MN"/>
        </w:rPr>
        <w:t>лийг</w:t>
      </w:r>
      <w:r w:rsidRPr="00EB1B73">
        <w:rPr>
          <w:sz w:val="24"/>
          <w:szCs w:val="24"/>
          <w:lang w:val="mn-MN"/>
        </w:rPr>
        <w:t xml:space="preserve"> олон улсын жишигт тулгуурлан тодорхойл</w:t>
      </w:r>
      <w:r w:rsidR="006249F4">
        <w:rPr>
          <w:sz w:val="24"/>
          <w:szCs w:val="24"/>
          <w:lang w:val="mn-MN"/>
        </w:rPr>
        <w:t>сон</w:t>
      </w:r>
      <w:r w:rsidRPr="00EB1B73">
        <w:rPr>
          <w:sz w:val="24"/>
          <w:szCs w:val="24"/>
          <w:lang w:val="mn-MN"/>
        </w:rPr>
        <w:t>.</w:t>
      </w:r>
    </w:p>
    <w:p w14:paraId="05B4B820" w14:textId="77777777" w:rsidR="00EB1B73" w:rsidRPr="00EB1B73" w:rsidRDefault="00EB1B73" w:rsidP="00EB1B73">
      <w:pPr>
        <w:spacing w:line="240" w:lineRule="auto"/>
        <w:ind w:firstLine="720"/>
        <w:jc w:val="both"/>
        <w:rPr>
          <w:sz w:val="24"/>
          <w:szCs w:val="24"/>
          <w:lang w:val="mn-MN"/>
        </w:rPr>
      </w:pPr>
    </w:p>
    <w:p w14:paraId="010869E9" w14:textId="77777777" w:rsidR="00EB1B73" w:rsidRDefault="00EB1B73" w:rsidP="00EB1B73">
      <w:pPr>
        <w:spacing w:line="240" w:lineRule="auto"/>
        <w:ind w:firstLine="720"/>
        <w:jc w:val="both"/>
        <w:rPr>
          <w:sz w:val="24"/>
          <w:szCs w:val="24"/>
          <w:lang w:val="mn-MN"/>
        </w:rPr>
      </w:pPr>
      <w:r w:rsidRPr="00EB1B73">
        <w:rPr>
          <w:sz w:val="24"/>
          <w:szCs w:val="24"/>
          <w:lang w:val="mn-MN"/>
        </w:rPr>
        <w:t>Хуулийн төслийн гуравдугаар бүлэгт факторингийн үйл ажиллагаа эрхлэх этгээд, түүний оноосон нэр, зөвшөөрөл хүсэгчид тавигдах шаардлага, бүрдүүлэх баримт бичиг, зөвшөөрөл олгох, түдгэлзүүлэх, хүчингүй болгох, зөвшөөрөл эзэмшигчийн мэдээлэлд өөрчлөлт оруулах, үйл ажиллагаа эрхлэгчид хориглох хэм хэмжээний зохицуулалтыг тусга</w:t>
      </w:r>
      <w:r w:rsidR="006249F4">
        <w:rPr>
          <w:sz w:val="24"/>
          <w:szCs w:val="24"/>
          <w:lang w:val="mn-MN"/>
        </w:rPr>
        <w:t>сан</w:t>
      </w:r>
      <w:r w:rsidRPr="00EB1B73">
        <w:rPr>
          <w:sz w:val="24"/>
          <w:szCs w:val="24"/>
          <w:lang w:val="mn-MN"/>
        </w:rPr>
        <w:t>.</w:t>
      </w:r>
    </w:p>
    <w:p w14:paraId="3AD3D1A8" w14:textId="77777777" w:rsidR="00EB1B73" w:rsidRPr="00EB1B73" w:rsidRDefault="00EB1B73" w:rsidP="00EB1B73">
      <w:pPr>
        <w:spacing w:line="240" w:lineRule="auto"/>
        <w:ind w:firstLine="720"/>
        <w:jc w:val="both"/>
        <w:rPr>
          <w:sz w:val="24"/>
          <w:szCs w:val="24"/>
          <w:lang w:val="mn-MN"/>
        </w:rPr>
      </w:pPr>
    </w:p>
    <w:p w14:paraId="6B1EF4D8" w14:textId="77777777" w:rsidR="00EB1B73" w:rsidRDefault="00EB1B73" w:rsidP="00EB1B73">
      <w:pPr>
        <w:spacing w:line="240" w:lineRule="auto"/>
        <w:ind w:firstLine="720"/>
        <w:jc w:val="both"/>
        <w:rPr>
          <w:sz w:val="24"/>
          <w:szCs w:val="24"/>
          <w:lang w:val="mn-MN"/>
        </w:rPr>
      </w:pPr>
      <w:r w:rsidRPr="00EB1B73">
        <w:rPr>
          <w:sz w:val="24"/>
          <w:szCs w:val="24"/>
          <w:lang w:val="mn-MN"/>
        </w:rPr>
        <w:t xml:space="preserve">Хуулийн төслийн дөрөвдүгээр бүлэгт факторингийн үйлчилгээнд тавих хязгаарлалт, хяналт тавих эрх бүхий этгээдийг тодорхойлж, үйлчлүүлэгчийн эрх </w:t>
      </w:r>
      <w:r w:rsidRPr="00EB1B73">
        <w:rPr>
          <w:sz w:val="24"/>
          <w:szCs w:val="24"/>
          <w:lang w:val="mn-MN"/>
        </w:rPr>
        <w:lastRenderedPageBreak/>
        <w:t>ашгийг хамгаалах, санхүүгийн тайлагнал, ил тод байдалтай холбоотой харилцааг зохицуул</w:t>
      </w:r>
      <w:r w:rsidR="000D3E3D">
        <w:rPr>
          <w:sz w:val="24"/>
          <w:szCs w:val="24"/>
          <w:lang w:val="mn-MN"/>
        </w:rPr>
        <w:t>сан</w:t>
      </w:r>
      <w:r w:rsidRPr="00EB1B73">
        <w:rPr>
          <w:sz w:val="24"/>
          <w:szCs w:val="24"/>
          <w:lang w:val="mn-MN"/>
        </w:rPr>
        <w:t>.</w:t>
      </w:r>
    </w:p>
    <w:p w14:paraId="1DA3ED78" w14:textId="77777777" w:rsidR="00EB1B73" w:rsidRPr="00EB1B73" w:rsidRDefault="00EB1B73" w:rsidP="00EB1B73">
      <w:pPr>
        <w:spacing w:line="240" w:lineRule="auto"/>
        <w:ind w:firstLine="720"/>
        <w:jc w:val="both"/>
        <w:rPr>
          <w:sz w:val="24"/>
          <w:szCs w:val="24"/>
          <w:lang w:val="mn-MN"/>
        </w:rPr>
      </w:pPr>
    </w:p>
    <w:p w14:paraId="34D9D6C2" w14:textId="77777777" w:rsidR="0074545F" w:rsidRDefault="00EB1B73" w:rsidP="00EB1B73">
      <w:pPr>
        <w:spacing w:line="240" w:lineRule="auto"/>
        <w:ind w:firstLine="720"/>
        <w:jc w:val="both"/>
        <w:rPr>
          <w:sz w:val="24"/>
          <w:szCs w:val="24"/>
          <w:lang w:val="mn-MN"/>
        </w:rPr>
      </w:pPr>
      <w:r w:rsidRPr="00EB1B73">
        <w:rPr>
          <w:sz w:val="24"/>
          <w:szCs w:val="24"/>
          <w:lang w:val="mn-MN"/>
        </w:rPr>
        <w:t>Хуулийн төслийн тавдугаар бүлэгт хууль зөрчигчид хүлээлгэх хариуцлага, хуулийн хүчин төгөлдөр болох хугацааг тусга</w:t>
      </w:r>
      <w:r w:rsidR="0008510E">
        <w:rPr>
          <w:sz w:val="24"/>
          <w:szCs w:val="24"/>
          <w:lang w:val="mn-MN"/>
        </w:rPr>
        <w:t>лаа</w:t>
      </w:r>
      <w:r w:rsidRPr="00EB1B73">
        <w:rPr>
          <w:sz w:val="24"/>
          <w:szCs w:val="24"/>
          <w:lang w:val="mn-MN"/>
        </w:rPr>
        <w:t>.</w:t>
      </w:r>
    </w:p>
    <w:p w14:paraId="241092DD" w14:textId="77777777" w:rsidR="00EB1B73" w:rsidRPr="003C288E" w:rsidRDefault="00EB1B73" w:rsidP="00EB1B73">
      <w:pPr>
        <w:spacing w:line="240" w:lineRule="auto"/>
        <w:ind w:firstLine="720"/>
        <w:jc w:val="both"/>
        <w:rPr>
          <w:b/>
          <w:sz w:val="24"/>
          <w:szCs w:val="24"/>
          <w:highlight w:val="yellow"/>
          <w:lang w:val="mn-MN"/>
        </w:rPr>
      </w:pPr>
    </w:p>
    <w:p w14:paraId="2ADEFF94" w14:textId="77777777" w:rsidR="00EB1B73" w:rsidRPr="00BE3AE4" w:rsidRDefault="00FA0D93" w:rsidP="00FA0D93">
      <w:pPr>
        <w:shd w:val="clear" w:color="auto" w:fill="FFFFFF"/>
        <w:spacing w:line="240" w:lineRule="auto"/>
        <w:ind w:firstLine="720"/>
        <w:jc w:val="both"/>
        <w:rPr>
          <w:sz w:val="24"/>
          <w:szCs w:val="24"/>
          <w:lang w:val="mn-MN"/>
        </w:rPr>
      </w:pPr>
      <w:r w:rsidRPr="00BE3AE4">
        <w:rPr>
          <w:sz w:val="24"/>
          <w:szCs w:val="24"/>
          <w:lang w:val="mn-MN"/>
        </w:rPr>
        <w:t xml:space="preserve">Хуулийн төсөл батлагдсанаар </w:t>
      </w:r>
      <w:r w:rsidR="00EB1B73" w:rsidRPr="00BE3AE4">
        <w:rPr>
          <w:sz w:val="24"/>
          <w:szCs w:val="24"/>
          <w:lang w:val="mn-MN"/>
        </w:rPr>
        <w:t>жижиг, дунд үйлдвэрлэл эрхлэгчдий</w:t>
      </w:r>
      <w:r w:rsidR="00BE3AE4" w:rsidRPr="00BE3AE4">
        <w:rPr>
          <w:sz w:val="24"/>
          <w:szCs w:val="24"/>
          <w:lang w:val="mn-MN"/>
        </w:rPr>
        <w:t>н</w:t>
      </w:r>
      <w:r w:rsidR="00EB1B73" w:rsidRPr="00BE3AE4">
        <w:rPr>
          <w:sz w:val="24"/>
          <w:szCs w:val="24"/>
          <w:lang w:val="mn-MN"/>
        </w:rPr>
        <w:t xml:space="preserve"> эргэлтийн хөрөнгийн санхүүжилтийн у</w:t>
      </w:r>
      <w:r w:rsidR="00BE3AE4" w:rsidRPr="00BE3AE4">
        <w:rPr>
          <w:sz w:val="24"/>
          <w:szCs w:val="24"/>
          <w:lang w:val="mn-MN"/>
        </w:rPr>
        <w:t>рсгалыг нэмэгдүүлэх замаар худалдааны эргэлтийг сайжруулж, эдийн засаг тэр дундаа дотоодын нийт бүтээгдэхүүн</w:t>
      </w:r>
      <w:r w:rsidR="00847BA2">
        <w:rPr>
          <w:sz w:val="24"/>
          <w:szCs w:val="24"/>
          <w:lang w:val="mn-MN"/>
        </w:rPr>
        <w:t>,</w:t>
      </w:r>
      <w:r w:rsidR="001F0020">
        <w:rPr>
          <w:sz w:val="24"/>
          <w:szCs w:val="24"/>
          <w:lang w:val="mn-MN"/>
        </w:rPr>
        <w:t xml:space="preserve"> экспортын худалдааны санхүүжилт тэлэх</w:t>
      </w:r>
      <w:r w:rsidR="00BE3AE4" w:rsidRPr="00BE3AE4">
        <w:rPr>
          <w:sz w:val="24"/>
          <w:szCs w:val="24"/>
          <w:lang w:val="mn-MN"/>
        </w:rPr>
        <w:t xml:space="preserve"> эерэг нөлөө үзүүлнэ.</w:t>
      </w:r>
    </w:p>
    <w:p w14:paraId="47FF9BB2" w14:textId="77777777" w:rsidR="00BE3AE4" w:rsidRPr="00BE3AE4" w:rsidRDefault="00BE3AE4" w:rsidP="00FA0D93">
      <w:pPr>
        <w:shd w:val="clear" w:color="auto" w:fill="FFFFFF"/>
        <w:spacing w:line="240" w:lineRule="auto"/>
        <w:ind w:firstLine="720"/>
        <w:jc w:val="both"/>
        <w:rPr>
          <w:sz w:val="24"/>
          <w:szCs w:val="24"/>
          <w:lang w:val="mn-MN"/>
        </w:rPr>
      </w:pPr>
    </w:p>
    <w:p w14:paraId="3404C7B8" w14:textId="08AEE3A6" w:rsidR="00BE3AE4" w:rsidRPr="00BE3AE4" w:rsidRDefault="00BE3AE4" w:rsidP="00FA0D93">
      <w:pPr>
        <w:shd w:val="clear" w:color="auto" w:fill="FFFFFF"/>
        <w:spacing w:line="240" w:lineRule="auto"/>
        <w:ind w:firstLine="720"/>
        <w:jc w:val="both"/>
        <w:rPr>
          <w:sz w:val="24"/>
          <w:szCs w:val="24"/>
          <w:lang w:val="mn-MN"/>
        </w:rPr>
      </w:pPr>
      <w:r w:rsidRPr="00BE3AE4">
        <w:rPr>
          <w:sz w:val="24"/>
          <w:szCs w:val="24"/>
          <w:lang w:val="mn-MN"/>
        </w:rPr>
        <w:t xml:space="preserve">Жижиг, дунд үйлдвэрлэл эрхлэгчид барьцаа хөрөнгө шаардахгүйгээр </w:t>
      </w:r>
      <w:r>
        <w:rPr>
          <w:sz w:val="24"/>
          <w:szCs w:val="24"/>
          <w:lang w:val="mn-MN"/>
        </w:rPr>
        <w:t xml:space="preserve">зээлийн бүтээгдэхүүнээс хямд өртөгтэй </w:t>
      </w:r>
      <w:r w:rsidRPr="00BE3AE4">
        <w:rPr>
          <w:sz w:val="24"/>
          <w:szCs w:val="24"/>
          <w:lang w:val="mn-MN"/>
        </w:rPr>
        <w:t>санхүүжилтийн бүтээгдэхүүн үйлчилгээ авах, төлбөр төлөх хугацаа хүлээхгүйгээр мөнгөн урсгалаа зөв оновчтой удирдах, бизнесийн циклийн шуурхай үл тасалдах найдвартай байд</w:t>
      </w:r>
      <w:r>
        <w:rPr>
          <w:sz w:val="24"/>
          <w:szCs w:val="24"/>
          <w:lang w:val="mn-MN"/>
        </w:rPr>
        <w:t>ал хангагдаж</w:t>
      </w:r>
      <w:r w:rsidRPr="00BE3AE4">
        <w:rPr>
          <w:sz w:val="24"/>
          <w:szCs w:val="24"/>
          <w:lang w:val="mn-MN"/>
        </w:rPr>
        <w:t xml:space="preserve">, бизнес эрхлэх эрх зүйн таатай </w:t>
      </w:r>
      <w:r w:rsidR="00BC0E4F">
        <w:rPr>
          <w:sz w:val="24"/>
          <w:szCs w:val="24"/>
          <w:lang w:val="mn-MN"/>
        </w:rPr>
        <w:t>орчин</w:t>
      </w:r>
      <w:r w:rsidRPr="00BE3AE4">
        <w:rPr>
          <w:sz w:val="24"/>
          <w:szCs w:val="24"/>
          <w:lang w:val="mn-MN"/>
        </w:rPr>
        <w:t xml:space="preserve"> бүрд</w:t>
      </w:r>
      <w:r>
        <w:rPr>
          <w:sz w:val="24"/>
          <w:szCs w:val="24"/>
          <w:lang w:val="mn-MN"/>
        </w:rPr>
        <w:t>э</w:t>
      </w:r>
      <w:r w:rsidRPr="00BE3AE4">
        <w:rPr>
          <w:sz w:val="24"/>
          <w:szCs w:val="24"/>
          <w:lang w:val="mn-MN"/>
        </w:rPr>
        <w:t>нэ.</w:t>
      </w:r>
    </w:p>
    <w:bookmarkEnd w:id="1"/>
    <w:p w14:paraId="12743624" w14:textId="4019302A" w:rsidR="001750AA" w:rsidRPr="002C2078" w:rsidRDefault="001750AA" w:rsidP="00B579DB">
      <w:pPr>
        <w:shd w:val="clear" w:color="auto" w:fill="FFFFFF"/>
        <w:spacing w:line="240" w:lineRule="auto"/>
        <w:jc w:val="center"/>
        <w:rPr>
          <w:sz w:val="24"/>
          <w:szCs w:val="24"/>
          <w:lang w:val="mn-MN"/>
        </w:rPr>
      </w:pPr>
      <w:r w:rsidRPr="00BE3AE4">
        <w:rPr>
          <w:sz w:val="24"/>
          <w:szCs w:val="24"/>
          <w:lang w:val="mn-MN"/>
        </w:rPr>
        <w:t>---оОо---</w:t>
      </w:r>
    </w:p>
    <w:p w14:paraId="0F4DB7C2" w14:textId="77777777" w:rsidR="001750AA" w:rsidRPr="002C2078" w:rsidRDefault="001750AA" w:rsidP="001750AA">
      <w:pPr>
        <w:spacing w:after="120" w:line="240" w:lineRule="auto"/>
        <w:ind w:right="-240" w:firstLine="20"/>
        <w:jc w:val="both"/>
        <w:rPr>
          <w:sz w:val="24"/>
          <w:szCs w:val="24"/>
          <w:lang w:val="mn-MN"/>
        </w:rPr>
      </w:pPr>
    </w:p>
    <w:p w14:paraId="338F3531" w14:textId="77777777" w:rsidR="001750AA" w:rsidRPr="002C2078" w:rsidRDefault="001750AA" w:rsidP="001750AA">
      <w:pPr>
        <w:spacing w:line="240" w:lineRule="auto"/>
        <w:ind w:right="-240"/>
        <w:jc w:val="both"/>
        <w:rPr>
          <w:sz w:val="24"/>
          <w:szCs w:val="24"/>
          <w:lang w:val="mn-MN"/>
        </w:rPr>
      </w:pPr>
      <w:r w:rsidRPr="002C2078">
        <w:rPr>
          <w:sz w:val="24"/>
          <w:szCs w:val="24"/>
          <w:lang w:val="mn-MN"/>
        </w:rPr>
        <w:t xml:space="preserve"> </w:t>
      </w:r>
    </w:p>
    <w:p w14:paraId="17F8569F" w14:textId="77777777" w:rsidR="001750AA" w:rsidRPr="002C2078" w:rsidRDefault="001750AA" w:rsidP="001750AA">
      <w:pPr>
        <w:spacing w:line="240" w:lineRule="auto"/>
        <w:rPr>
          <w:lang w:val="mn-MN"/>
        </w:rPr>
      </w:pPr>
    </w:p>
    <w:p w14:paraId="2D1FBF9F" w14:textId="77777777" w:rsidR="001750AA" w:rsidRPr="002C2078" w:rsidRDefault="001750AA" w:rsidP="001750AA">
      <w:pPr>
        <w:spacing w:line="240" w:lineRule="auto"/>
        <w:rPr>
          <w:lang w:val="mn-MN"/>
        </w:rPr>
      </w:pPr>
    </w:p>
    <w:p w14:paraId="3606F088" w14:textId="77777777" w:rsidR="00D64D1A" w:rsidRPr="00F35293" w:rsidRDefault="00D64D1A" w:rsidP="00F35293">
      <w:pPr>
        <w:rPr>
          <w:sz w:val="24"/>
          <w:szCs w:val="24"/>
        </w:rPr>
      </w:pPr>
    </w:p>
    <w:sectPr w:rsidR="00D64D1A" w:rsidRPr="00F35293" w:rsidSect="009147F3">
      <w:pgSz w:w="11906" w:h="16838" w:code="9"/>
      <w:pgMar w:top="1134" w:right="851" w:bottom="1134" w:left="1701"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79302" w14:textId="77777777" w:rsidR="00CC79AC" w:rsidRDefault="00CC79AC" w:rsidP="00F35293">
      <w:pPr>
        <w:spacing w:line="240" w:lineRule="auto"/>
      </w:pPr>
      <w:r>
        <w:separator/>
      </w:r>
    </w:p>
  </w:endnote>
  <w:endnote w:type="continuationSeparator" w:id="0">
    <w:p w14:paraId="1D3CA633" w14:textId="77777777" w:rsidR="00CC79AC" w:rsidRDefault="00CC79AC" w:rsidP="00F352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71FAE" w14:textId="77777777" w:rsidR="00CC79AC" w:rsidRDefault="00CC79AC" w:rsidP="00F35293">
      <w:pPr>
        <w:spacing w:line="240" w:lineRule="auto"/>
      </w:pPr>
      <w:r>
        <w:separator/>
      </w:r>
    </w:p>
  </w:footnote>
  <w:footnote w:type="continuationSeparator" w:id="0">
    <w:p w14:paraId="30C98959" w14:textId="77777777" w:rsidR="00CC79AC" w:rsidRDefault="00CC79AC" w:rsidP="00F3529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57834"/>
    <w:multiLevelType w:val="hybridMultilevel"/>
    <w:tmpl w:val="641E52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8477527"/>
    <w:multiLevelType w:val="multilevel"/>
    <w:tmpl w:val="56FA2A58"/>
    <w:lvl w:ilvl="0">
      <w:start w:val="1"/>
      <w:numFmt w:val="decimal"/>
      <w:lvlText w:val="%1"/>
      <w:lvlJc w:val="left"/>
      <w:pPr>
        <w:ind w:left="400" w:hanging="400"/>
      </w:pPr>
      <w:rPr>
        <w:rFonts w:hint="default"/>
        <w:u w:val="none"/>
      </w:rPr>
    </w:lvl>
    <w:lvl w:ilvl="1">
      <w:start w:val="1"/>
      <w:numFmt w:val="decimal"/>
      <w:lvlText w:val="%1.%2"/>
      <w:lvlJc w:val="left"/>
      <w:pPr>
        <w:ind w:left="1120" w:hanging="40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3240" w:hanging="108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5040" w:hanging="144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840" w:hanging="1800"/>
      </w:pPr>
      <w:rPr>
        <w:rFonts w:hint="default"/>
        <w:u w:val="none"/>
      </w:rPr>
    </w:lvl>
    <w:lvl w:ilvl="8">
      <w:start w:val="1"/>
      <w:numFmt w:val="decimal"/>
      <w:lvlText w:val="%1.%2.%3.%4.%5.%6.%7.%8.%9"/>
      <w:lvlJc w:val="left"/>
      <w:pPr>
        <w:ind w:left="7560" w:hanging="1800"/>
      </w:pPr>
      <w:rPr>
        <w:rFonts w:hint="default"/>
        <w:u w:val="none"/>
      </w:rPr>
    </w:lvl>
  </w:abstractNum>
  <w:abstractNum w:abstractNumId="2" w15:restartNumberingAfterBreak="0">
    <w:nsid w:val="2F91097B"/>
    <w:multiLevelType w:val="multilevel"/>
    <w:tmpl w:val="C152DCF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18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18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180"/>
      </w:pPr>
      <w:rPr>
        <w:u w:val="none"/>
      </w:rPr>
    </w:lvl>
  </w:abstractNum>
  <w:abstractNum w:abstractNumId="3" w15:restartNumberingAfterBreak="0">
    <w:nsid w:val="3DF64946"/>
    <w:multiLevelType w:val="hybridMultilevel"/>
    <w:tmpl w:val="886E6144"/>
    <w:lvl w:ilvl="0" w:tplc="5F7A3A3C">
      <w:start w:val="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CC166C"/>
    <w:multiLevelType w:val="hybridMultilevel"/>
    <w:tmpl w:val="30244B28"/>
    <w:lvl w:ilvl="0" w:tplc="2C181F32">
      <w:start w:val="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9387720">
    <w:abstractNumId w:val="2"/>
  </w:num>
  <w:num w:numId="2" w16cid:durableId="586814919">
    <w:abstractNumId w:val="4"/>
  </w:num>
  <w:num w:numId="3" w16cid:durableId="1789202584">
    <w:abstractNumId w:val="3"/>
  </w:num>
  <w:num w:numId="4" w16cid:durableId="1350259110">
    <w:abstractNumId w:val="1"/>
  </w:num>
  <w:num w:numId="5" w16cid:durableId="776215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0B6"/>
    <w:rsid w:val="0008510E"/>
    <w:rsid w:val="000A2040"/>
    <w:rsid w:val="000D3E3D"/>
    <w:rsid w:val="000D701A"/>
    <w:rsid w:val="00120DFC"/>
    <w:rsid w:val="001240F3"/>
    <w:rsid w:val="001276CA"/>
    <w:rsid w:val="001550EE"/>
    <w:rsid w:val="001750AA"/>
    <w:rsid w:val="001F0020"/>
    <w:rsid w:val="00222559"/>
    <w:rsid w:val="002346EE"/>
    <w:rsid w:val="00242821"/>
    <w:rsid w:val="002D038D"/>
    <w:rsid w:val="002D27F0"/>
    <w:rsid w:val="00311D1F"/>
    <w:rsid w:val="00355CBE"/>
    <w:rsid w:val="003C288E"/>
    <w:rsid w:val="003C31A2"/>
    <w:rsid w:val="00446B67"/>
    <w:rsid w:val="004731FB"/>
    <w:rsid w:val="004F72C1"/>
    <w:rsid w:val="00532E89"/>
    <w:rsid w:val="00593F21"/>
    <w:rsid w:val="005F7171"/>
    <w:rsid w:val="006249F4"/>
    <w:rsid w:val="00652413"/>
    <w:rsid w:val="006D5269"/>
    <w:rsid w:val="007105F9"/>
    <w:rsid w:val="00714201"/>
    <w:rsid w:val="0074545F"/>
    <w:rsid w:val="00803241"/>
    <w:rsid w:val="00847BA2"/>
    <w:rsid w:val="009147F3"/>
    <w:rsid w:val="00935C77"/>
    <w:rsid w:val="00A06000"/>
    <w:rsid w:val="00A26F6B"/>
    <w:rsid w:val="00A47D5E"/>
    <w:rsid w:val="00A61D63"/>
    <w:rsid w:val="00AA450B"/>
    <w:rsid w:val="00B579DB"/>
    <w:rsid w:val="00BC0E4F"/>
    <w:rsid w:val="00BE3AE4"/>
    <w:rsid w:val="00C62D8A"/>
    <w:rsid w:val="00C70719"/>
    <w:rsid w:val="00C95DA3"/>
    <w:rsid w:val="00CB02E2"/>
    <w:rsid w:val="00CC79AC"/>
    <w:rsid w:val="00D64D1A"/>
    <w:rsid w:val="00DE5868"/>
    <w:rsid w:val="00DF4CB8"/>
    <w:rsid w:val="00E17F2A"/>
    <w:rsid w:val="00E83033"/>
    <w:rsid w:val="00E950B6"/>
    <w:rsid w:val="00EB1B73"/>
    <w:rsid w:val="00EE1C9B"/>
    <w:rsid w:val="00EE22CE"/>
    <w:rsid w:val="00F03D75"/>
    <w:rsid w:val="00F1358A"/>
    <w:rsid w:val="00F2689B"/>
    <w:rsid w:val="00F35293"/>
    <w:rsid w:val="00F743C9"/>
    <w:rsid w:val="00FA0D93"/>
    <w:rsid w:val="00FA1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C6EF6"/>
  <w15:chartTrackingRefBased/>
  <w15:docId w15:val="{47B4DBBC-21A4-454A-98CE-79F887A0A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293"/>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5293"/>
    <w:pPr>
      <w:ind w:left="720"/>
      <w:contextualSpacing/>
    </w:pPr>
  </w:style>
  <w:style w:type="character" w:styleId="FootnoteReference">
    <w:name w:val="footnote reference"/>
    <w:basedOn w:val="DefaultParagraphFont"/>
    <w:uiPriority w:val="99"/>
    <w:semiHidden/>
    <w:unhideWhenUsed/>
    <w:rsid w:val="00F35293"/>
    <w:rPr>
      <w:vertAlign w:val="superscript"/>
    </w:rPr>
  </w:style>
  <w:style w:type="paragraph" w:styleId="NormalWeb">
    <w:name w:val="Normal (Web)"/>
    <w:basedOn w:val="Normal"/>
    <w:uiPriority w:val="99"/>
    <w:unhideWhenUsed/>
    <w:rsid w:val="00F3529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F35293"/>
  </w:style>
  <w:style w:type="character" w:customStyle="1" w:styleId="Bodytext2">
    <w:name w:val="Body text (2)_"/>
    <w:basedOn w:val="DefaultParagraphFont"/>
    <w:link w:val="Bodytext20"/>
    <w:rsid w:val="00F35293"/>
    <w:rPr>
      <w:rFonts w:eastAsia="Arial"/>
      <w:shd w:val="clear" w:color="auto" w:fill="FFFFFF"/>
    </w:rPr>
  </w:style>
  <w:style w:type="paragraph" w:customStyle="1" w:styleId="Bodytext20">
    <w:name w:val="Body text (2)"/>
    <w:basedOn w:val="Normal"/>
    <w:link w:val="Bodytext2"/>
    <w:rsid w:val="00F35293"/>
    <w:pPr>
      <w:widowControl w:val="0"/>
      <w:shd w:val="clear" w:color="auto" w:fill="FFFFFF"/>
      <w:spacing w:after="240" w:line="274" w:lineRule="exact"/>
      <w:jc w:val="both"/>
    </w:pPr>
    <w:rPr>
      <w:rFonts w:asciiTheme="minorHAnsi" w:hAnsiTheme="minorHAnsi"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5499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823</Words>
  <Characters>5623</Characters>
  <Application>Microsoft Office Word</Application>
  <DocSecurity>0</DocSecurity>
  <Lines>124</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Delger Delgerbat</cp:lastModifiedBy>
  <cp:revision>17</cp:revision>
  <cp:lastPrinted>2026-05-26T06:09:00Z</cp:lastPrinted>
  <dcterms:created xsi:type="dcterms:W3CDTF">2026-05-12T02:43:00Z</dcterms:created>
  <dcterms:modified xsi:type="dcterms:W3CDTF">2026-06-08T10:54:00Z</dcterms:modified>
</cp:coreProperties>
</file>