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877"/>
      </w:tblGrid>
      <w:tr w:rsidR="004A68F2" w:rsidRPr="004A68F2" w14:paraId="6B8E7929" w14:textId="77777777" w:rsidTr="004A68F2">
        <w:tc>
          <w:tcPr>
            <w:tcW w:w="4882" w:type="dxa"/>
            <w:vAlign w:val="center"/>
          </w:tcPr>
          <w:p w14:paraId="058008BF" w14:textId="77777777" w:rsidR="004A68F2" w:rsidRPr="004A68F2" w:rsidRDefault="004A68F2" w:rsidP="00EF72FC">
            <w:pPr>
              <w:pStyle w:val="NormalWeb"/>
              <w:spacing w:line="276" w:lineRule="auto"/>
              <w:contextualSpacing/>
              <w:jc w:val="center"/>
              <w:rPr>
                <w:rFonts w:ascii="Arial" w:hAnsi="Arial" w:cs="Arial"/>
                <w:b/>
                <w:lang w:val="mn-MN"/>
              </w:rPr>
            </w:pPr>
            <w:bookmarkStart w:id="0" w:name="_Hlk231741839"/>
            <w:r w:rsidRPr="004A68F2">
              <w:rPr>
                <w:rFonts w:ascii="Arial" w:hAnsi="Arial" w:cs="Arial"/>
                <w:b/>
                <w:noProof/>
                <w:lang w:val="mn-MN"/>
              </w:rPr>
              <w:drawing>
                <wp:inline distT="0" distB="0" distL="0" distR="0" wp14:anchorId="53CB0DF5" wp14:editId="2FE357C8">
                  <wp:extent cx="2108200" cy="49894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o_brandbook_logo_h58g9k.jpg"/>
                          <pic:cNvPicPr/>
                        </pic:nvPicPr>
                        <pic:blipFill>
                          <a:blip r:embed="rId8">
                            <a:extLst>
                              <a:ext uri="{28A0092B-C50C-407E-A947-70E740481C1C}">
                                <a14:useLocalDpi xmlns:a14="http://schemas.microsoft.com/office/drawing/2010/main" val="0"/>
                              </a:ext>
                            </a:extLst>
                          </a:blip>
                          <a:stretch>
                            <a:fillRect/>
                          </a:stretch>
                        </pic:blipFill>
                        <pic:spPr>
                          <a:xfrm>
                            <a:off x="0" y="0"/>
                            <a:ext cx="2120232" cy="501789"/>
                          </a:xfrm>
                          <a:prstGeom prst="rect">
                            <a:avLst/>
                          </a:prstGeom>
                        </pic:spPr>
                      </pic:pic>
                    </a:graphicData>
                  </a:graphic>
                </wp:inline>
              </w:drawing>
            </w:r>
          </w:p>
        </w:tc>
        <w:tc>
          <w:tcPr>
            <w:tcW w:w="4877" w:type="dxa"/>
            <w:vAlign w:val="center"/>
          </w:tcPr>
          <w:p w14:paraId="1BDC3FF6" w14:textId="77777777" w:rsidR="004A68F2" w:rsidRPr="004A68F2" w:rsidRDefault="004A68F2" w:rsidP="00EF72FC">
            <w:pPr>
              <w:pStyle w:val="NormalWeb"/>
              <w:spacing w:line="276" w:lineRule="auto"/>
              <w:contextualSpacing/>
              <w:jc w:val="center"/>
              <w:rPr>
                <w:rFonts w:ascii="Arial" w:hAnsi="Arial" w:cs="Arial"/>
                <w:b/>
                <w:lang w:val="mn-MN"/>
              </w:rPr>
            </w:pPr>
            <w:r w:rsidRPr="004A68F2">
              <w:rPr>
                <w:rFonts w:ascii="Arial" w:hAnsi="Arial" w:cs="Arial"/>
                <w:b/>
                <w:noProof/>
                <w:lang w:val="mn-MN"/>
                <w14:ligatures w14:val="standardContextual"/>
              </w:rPr>
              <w:drawing>
                <wp:inline distT="0" distB="0" distL="0" distR="0" wp14:anchorId="3FAB5D16" wp14:editId="2C1EEF22">
                  <wp:extent cx="713338" cy="79564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347" cy="820195"/>
                          </a:xfrm>
                          <a:prstGeom prst="rect">
                            <a:avLst/>
                          </a:prstGeom>
                        </pic:spPr>
                      </pic:pic>
                    </a:graphicData>
                  </a:graphic>
                </wp:inline>
              </w:drawing>
            </w:r>
          </w:p>
        </w:tc>
      </w:tr>
      <w:bookmarkEnd w:id="0"/>
    </w:tbl>
    <w:p w14:paraId="3B40DB47" w14:textId="422907C3" w:rsidR="00F32F08" w:rsidRPr="004A68F2" w:rsidRDefault="00F32F08" w:rsidP="002C5654">
      <w:pPr>
        <w:spacing w:after="0" w:line="276" w:lineRule="auto"/>
        <w:rPr>
          <w:rFonts w:ascii="Arial" w:hAnsi="Arial" w:cs="Arial"/>
          <w:noProof/>
          <w:szCs w:val="24"/>
          <w:lang w:val="mn-MN"/>
        </w:rPr>
      </w:pPr>
    </w:p>
    <w:p w14:paraId="3B1B9CEE" w14:textId="481F97DE" w:rsidR="00F32F08" w:rsidRPr="004A68F2" w:rsidRDefault="00F32F08" w:rsidP="002C5654">
      <w:pPr>
        <w:spacing w:after="0" w:line="276" w:lineRule="auto"/>
        <w:rPr>
          <w:rFonts w:ascii="Arial" w:hAnsi="Arial" w:cs="Arial"/>
          <w:noProof/>
          <w:szCs w:val="24"/>
          <w:lang w:val="mn-MN"/>
        </w:rPr>
      </w:pPr>
    </w:p>
    <w:p w14:paraId="7F11EE78" w14:textId="77777777" w:rsidR="002C5654" w:rsidRPr="004A68F2" w:rsidRDefault="002C5654" w:rsidP="002C5654">
      <w:pPr>
        <w:spacing w:after="0" w:line="276" w:lineRule="auto"/>
        <w:rPr>
          <w:rFonts w:ascii="Arial" w:hAnsi="Arial" w:cs="Arial"/>
          <w:noProof/>
          <w:szCs w:val="24"/>
          <w:lang w:val="mn-MN"/>
        </w:rPr>
      </w:pPr>
    </w:p>
    <w:p w14:paraId="5DFEAD95" w14:textId="77777777" w:rsidR="00F32F08" w:rsidRPr="004A68F2" w:rsidRDefault="00F32F08" w:rsidP="002C5654">
      <w:pPr>
        <w:spacing w:after="0" w:line="276" w:lineRule="auto"/>
        <w:rPr>
          <w:rFonts w:ascii="Arial" w:hAnsi="Arial" w:cs="Arial"/>
          <w:noProof/>
          <w:szCs w:val="24"/>
          <w:lang w:val="mn-MN"/>
        </w:rPr>
      </w:pPr>
    </w:p>
    <w:p w14:paraId="7596F507" w14:textId="77777777" w:rsidR="00834A13" w:rsidRPr="004A68F2" w:rsidRDefault="00834A13" w:rsidP="002C5654">
      <w:pPr>
        <w:spacing w:after="0" w:line="276" w:lineRule="auto"/>
        <w:rPr>
          <w:rFonts w:ascii="Arial" w:hAnsi="Arial" w:cs="Arial"/>
          <w:noProof/>
          <w:szCs w:val="24"/>
          <w:lang w:val="mn-MN"/>
        </w:rPr>
      </w:pPr>
    </w:p>
    <w:p w14:paraId="1242FA73" w14:textId="06562C54" w:rsidR="00834A13" w:rsidRPr="004A68F2" w:rsidRDefault="00834A13" w:rsidP="002C5654">
      <w:pPr>
        <w:spacing w:after="0" w:line="276" w:lineRule="auto"/>
        <w:rPr>
          <w:rFonts w:ascii="Arial" w:hAnsi="Arial" w:cs="Arial"/>
          <w:noProof/>
          <w:szCs w:val="24"/>
          <w:lang w:val="mn-MN"/>
        </w:rPr>
      </w:pPr>
    </w:p>
    <w:p w14:paraId="32EF4DDC" w14:textId="218AC55E" w:rsidR="004A68F2" w:rsidRPr="004A68F2" w:rsidRDefault="004A68F2" w:rsidP="002C5654">
      <w:pPr>
        <w:spacing w:after="0" w:line="276" w:lineRule="auto"/>
        <w:rPr>
          <w:rFonts w:ascii="Arial" w:hAnsi="Arial" w:cs="Arial"/>
          <w:noProof/>
          <w:szCs w:val="24"/>
          <w:lang w:val="mn-MN"/>
        </w:rPr>
      </w:pPr>
    </w:p>
    <w:p w14:paraId="63C275D2" w14:textId="362EEEDA" w:rsidR="004A68F2" w:rsidRPr="004A68F2" w:rsidRDefault="004A68F2" w:rsidP="002C5654">
      <w:pPr>
        <w:spacing w:after="0" w:line="276" w:lineRule="auto"/>
        <w:rPr>
          <w:rFonts w:ascii="Arial" w:hAnsi="Arial" w:cs="Arial"/>
          <w:noProof/>
          <w:szCs w:val="24"/>
          <w:lang w:val="mn-MN"/>
        </w:rPr>
      </w:pPr>
    </w:p>
    <w:p w14:paraId="418DFACF" w14:textId="77777777" w:rsidR="004A68F2" w:rsidRPr="004A68F2" w:rsidRDefault="004A68F2" w:rsidP="002C5654">
      <w:pPr>
        <w:spacing w:after="0" w:line="276" w:lineRule="auto"/>
        <w:rPr>
          <w:rFonts w:ascii="Arial" w:hAnsi="Arial" w:cs="Arial"/>
          <w:noProof/>
          <w:szCs w:val="24"/>
          <w:lang w:val="mn-MN"/>
        </w:rPr>
      </w:pPr>
    </w:p>
    <w:p w14:paraId="140DB979" w14:textId="14C08CE6" w:rsidR="00834A13" w:rsidRPr="004A68F2" w:rsidRDefault="00834A13" w:rsidP="002C5654">
      <w:pPr>
        <w:spacing w:after="0" w:line="276" w:lineRule="auto"/>
        <w:jc w:val="center"/>
        <w:rPr>
          <w:rFonts w:ascii="Arial" w:hAnsi="Arial" w:cs="Arial"/>
          <w:b/>
          <w:bCs/>
          <w:noProof/>
          <w:sz w:val="40"/>
          <w:szCs w:val="40"/>
          <w:lang w:val="mn-MN"/>
        </w:rPr>
      </w:pPr>
    </w:p>
    <w:p w14:paraId="39EA04A2" w14:textId="77777777" w:rsidR="004A68F2" w:rsidRPr="004A68F2" w:rsidRDefault="004A68F2" w:rsidP="002C5654">
      <w:pPr>
        <w:spacing w:after="0" w:line="276" w:lineRule="auto"/>
        <w:jc w:val="center"/>
        <w:rPr>
          <w:rFonts w:ascii="Arial" w:hAnsi="Arial" w:cs="Arial"/>
          <w:b/>
          <w:bCs/>
          <w:noProof/>
          <w:sz w:val="40"/>
          <w:szCs w:val="40"/>
          <w:lang w:val="mn-MN"/>
        </w:rPr>
      </w:pPr>
    </w:p>
    <w:p w14:paraId="3802B07B" w14:textId="0A10AE3E" w:rsidR="00834A13" w:rsidRPr="004A68F2" w:rsidRDefault="00E548DC" w:rsidP="002C5654">
      <w:pPr>
        <w:spacing w:after="0" w:line="276" w:lineRule="auto"/>
        <w:jc w:val="center"/>
        <w:rPr>
          <w:rFonts w:ascii="Arial" w:hAnsi="Arial" w:cs="Arial"/>
          <w:b/>
          <w:bCs/>
          <w:noProof/>
          <w:sz w:val="40"/>
          <w:szCs w:val="40"/>
          <w:lang w:val="mn-MN"/>
        </w:rPr>
      </w:pPr>
      <w:r w:rsidRPr="004A68F2">
        <w:rPr>
          <w:rFonts w:ascii="Arial" w:hAnsi="Arial" w:cs="Arial"/>
          <w:b/>
          <w:bCs/>
          <w:noProof/>
          <w:sz w:val="40"/>
          <w:szCs w:val="40"/>
          <w:lang w:val="mn-MN"/>
        </w:rPr>
        <w:t xml:space="preserve">НИЙГМИЙН ДААТГАЛЫН САНГААС ОЛГОХ ТЭТГЭВРИЙН ТУХАЙ </w:t>
      </w:r>
      <w:r w:rsidR="00834A13" w:rsidRPr="004A68F2">
        <w:rPr>
          <w:rFonts w:ascii="Arial" w:hAnsi="Arial" w:cs="Arial"/>
          <w:b/>
          <w:bCs/>
          <w:noProof/>
          <w:sz w:val="40"/>
          <w:szCs w:val="40"/>
          <w:lang w:val="mn-MN"/>
        </w:rPr>
        <w:t>ХУУЛИЙН ХЭРЭГЖИЛТИЙН ҮР ДАГАВАРТ ХИЙСЭН ҮНЭЛГЭЭНИЙ ТАЙЛАН</w:t>
      </w:r>
    </w:p>
    <w:p w14:paraId="710D8D83" w14:textId="77777777" w:rsidR="00834A13" w:rsidRPr="004A68F2" w:rsidRDefault="00834A13" w:rsidP="002C5654">
      <w:pPr>
        <w:spacing w:after="0" w:line="276" w:lineRule="auto"/>
        <w:jc w:val="center"/>
        <w:rPr>
          <w:rFonts w:ascii="Arial" w:hAnsi="Arial" w:cs="Arial"/>
          <w:b/>
          <w:bCs/>
          <w:noProof/>
          <w:sz w:val="40"/>
          <w:szCs w:val="40"/>
          <w:lang w:val="mn-MN"/>
        </w:rPr>
      </w:pPr>
    </w:p>
    <w:p w14:paraId="43B725F1" w14:textId="77777777" w:rsidR="00834A13" w:rsidRPr="004A68F2" w:rsidRDefault="00834A13" w:rsidP="002C5654">
      <w:pPr>
        <w:spacing w:after="0" w:line="276" w:lineRule="auto"/>
        <w:jc w:val="center"/>
        <w:rPr>
          <w:rFonts w:ascii="Arial" w:hAnsi="Arial" w:cs="Arial"/>
          <w:b/>
          <w:bCs/>
          <w:noProof/>
          <w:sz w:val="40"/>
          <w:szCs w:val="40"/>
          <w:lang w:val="mn-MN"/>
        </w:rPr>
      </w:pPr>
    </w:p>
    <w:p w14:paraId="3C4DBA45" w14:textId="77777777" w:rsidR="00834A13" w:rsidRPr="004A68F2" w:rsidRDefault="00834A13" w:rsidP="002C5654">
      <w:pPr>
        <w:spacing w:after="0" w:line="276" w:lineRule="auto"/>
        <w:jc w:val="center"/>
        <w:rPr>
          <w:rFonts w:ascii="Arial" w:hAnsi="Arial" w:cs="Arial"/>
          <w:b/>
          <w:bCs/>
          <w:noProof/>
          <w:szCs w:val="24"/>
          <w:lang w:val="mn-MN"/>
        </w:rPr>
      </w:pPr>
    </w:p>
    <w:p w14:paraId="7505AE13" w14:textId="71B2FD1F" w:rsidR="0036373D" w:rsidRPr="004A68F2" w:rsidRDefault="0036373D" w:rsidP="002C5654">
      <w:pPr>
        <w:spacing w:after="0" w:line="276" w:lineRule="auto"/>
        <w:jc w:val="center"/>
        <w:rPr>
          <w:rFonts w:ascii="Arial" w:hAnsi="Arial" w:cs="Arial"/>
          <w:b/>
          <w:bCs/>
          <w:noProof/>
          <w:szCs w:val="24"/>
          <w:lang w:val="mn-MN"/>
        </w:rPr>
      </w:pPr>
    </w:p>
    <w:p w14:paraId="7AA58432" w14:textId="3ACD6EC5" w:rsidR="00F32F08" w:rsidRPr="004A68F2" w:rsidRDefault="00F32F08" w:rsidP="002C5654">
      <w:pPr>
        <w:spacing w:after="0" w:line="276" w:lineRule="auto"/>
        <w:jc w:val="center"/>
        <w:rPr>
          <w:rFonts w:ascii="Arial" w:hAnsi="Arial" w:cs="Arial"/>
          <w:b/>
          <w:bCs/>
          <w:noProof/>
          <w:szCs w:val="24"/>
          <w:lang w:val="mn-MN"/>
        </w:rPr>
      </w:pPr>
    </w:p>
    <w:p w14:paraId="761F581A" w14:textId="2B83C3CD" w:rsidR="00F32F08" w:rsidRPr="004A68F2" w:rsidRDefault="00F32F08" w:rsidP="002C5654">
      <w:pPr>
        <w:spacing w:after="0" w:line="276" w:lineRule="auto"/>
        <w:jc w:val="center"/>
        <w:rPr>
          <w:rFonts w:ascii="Arial" w:hAnsi="Arial" w:cs="Arial"/>
          <w:b/>
          <w:bCs/>
          <w:noProof/>
          <w:szCs w:val="24"/>
          <w:lang w:val="mn-MN"/>
        </w:rPr>
      </w:pPr>
    </w:p>
    <w:p w14:paraId="78FB47BE" w14:textId="5AFC2DAC" w:rsidR="00F32F08" w:rsidRPr="004A68F2" w:rsidRDefault="00F32F08" w:rsidP="002C5654">
      <w:pPr>
        <w:spacing w:after="0" w:line="276" w:lineRule="auto"/>
        <w:jc w:val="center"/>
        <w:rPr>
          <w:rFonts w:ascii="Arial" w:hAnsi="Arial" w:cs="Arial"/>
          <w:b/>
          <w:bCs/>
          <w:noProof/>
          <w:szCs w:val="24"/>
          <w:lang w:val="mn-MN"/>
        </w:rPr>
      </w:pPr>
    </w:p>
    <w:p w14:paraId="5035EE12" w14:textId="77777777" w:rsidR="004C0268" w:rsidRPr="004A68F2" w:rsidRDefault="004C0268" w:rsidP="002C5654">
      <w:pPr>
        <w:spacing w:after="0" w:line="276" w:lineRule="auto"/>
        <w:jc w:val="center"/>
        <w:rPr>
          <w:rFonts w:ascii="Arial" w:hAnsi="Arial" w:cs="Arial"/>
          <w:b/>
          <w:bCs/>
          <w:noProof/>
          <w:szCs w:val="24"/>
          <w:lang w:val="mn-MN"/>
        </w:rPr>
      </w:pPr>
    </w:p>
    <w:p w14:paraId="1D6E7FB4" w14:textId="77777777" w:rsidR="004C0268" w:rsidRPr="004A68F2" w:rsidRDefault="004C0268" w:rsidP="002C5654">
      <w:pPr>
        <w:spacing w:after="0" w:line="276" w:lineRule="auto"/>
        <w:jc w:val="center"/>
        <w:rPr>
          <w:rFonts w:ascii="Arial" w:hAnsi="Arial" w:cs="Arial"/>
          <w:b/>
          <w:bCs/>
          <w:noProof/>
          <w:szCs w:val="24"/>
          <w:lang w:val="mn-MN"/>
        </w:rPr>
      </w:pPr>
    </w:p>
    <w:p w14:paraId="4EC670BF" w14:textId="77777777" w:rsidR="004C0268" w:rsidRPr="004A68F2" w:rsidRDefault="004C0268" w:rsidP="002C5654">
      <w:pPr>
        <w:spacing w:after="0" w:line="276" w:lineRule="auto"/>
        <w:jc w:val="center"/>
        <w:rPr>
          <w:rFonts w:ascii="Arial" w:hAnsi="Arial" w:cs="Arial"/>
          <w:b/>
          <w:bCs/>
          <w:noProof/>
          <w:szCs w:val="24"/>
          <w:lang w:val="mn-MN"/>
        </w:rPr>
      </w:pPr>
    </w:p>
    <w:p w14:paraId="0EED4177" w14:textId="77777777" w:rsidR="004C0268" w:rsidRPr="004A68F2" w:rsidRDefault="004C0268" w:rsidP="002C5654">
      <w:pPr>
        <w:spacing w:after="0" w:line="276" w:lineRule="auto"/>
        <w:jc w:val="center"/>
        <w:rPr>
          <w:rFonts w:ascii="Arial" w:hAnsi="Arial" w:cs="Arial"/>
          <w:b/>
          <w:bCs/>
          <w:noProof/>
          <w:szCs w:val="24"/>
          <w:lang w:val="mn-MN"/>
        </w:rPr>
      </w:pPr>
    </w:p>
    <w:p w14:paraId="5ECE15C0" w14:textId="77777777" w:rsidR="004C0268" w:rsidRPr="004A68F2" w:rsidRDefault="004C0268" w:rsidP="002C5654">
      <w:pPr>
        <w:spacing w:after="0" w:line="276" w:lineRule="auto"/>
        <w:jc w:val="center"/>
        <w:rPr>
          <w:rFonts w:ascii="Arial" w:hAnsi="Arial" w:cs="Arial"/>
          <w:b/>
          <w:bCs/>
          <w:noProof/>
          <w:szCs w:val="24"/>
          <w:lang w:val="mn-MN"/>
        </w:rPr>
      </w:pPr>
    </w:p>
    <w:p w14:paraId="69D21401" w14:textId="77777777" w:rsidR="004C0268" w:rsidRPr="004A68F2" w:rsidRDefault="004C0268" w:rsidP="002C5654">
      <w:pPr>
        <w:spacing w:after="0" w:line="276" w:lineRule="auto"/>
        <w:jc w:val="center"/>
        <w:rPr>
          <w:rFonts w:ascii="Arial" w:hAnsi="Arial" w:cs="Arial"/>
          <w:b/>
          <w:bCs/>
          <w:noProof/>
          <w:szCs w:val="24"/>
          <w:lang w:val="mn-MN"/>
        </w:rPr>
      </w:pPr>
    </w:p>
    <w:p w14:paraId="7B2C6666" w14:textId="77777777" w:rsidR="004C0268" w:rsidRPr="004A68F2" w:rsidRDefault="004C0268" w:rsidP="002C5654">
      <w:pPr>
        <w:spacing w:after="0" w:line="276" w:lineRule="auto"/>
        <w:jc w:val="center"/>
        <w:rPr>
          <w:rFonts w:ascii="Arial" w:hAnsi="Arial" w:cs="Arial"/>
          <w:b/>
          <w:bCs/>
          <w:noProof/>
          <w:szCs w:val="24"/>
          <w:lang w:val="mn-MN"/>
        </w:rPr>
      </w:pPr>
    </w:p>
    <w:p w14:paraId="2A0043B9" w14:textId="77777777" w:rsidR="00AD38DE" w:rsidRPr="004A68F2" w:rsidRDefault="00AD38DE" w:rsidP="002C5654">
      <w:pPr>
        <w:spacing w:after="0" w:line="276" w:lineRule="auto"/>
        <w:jc w:val="center"/>
        <w:rPr>
          <w:rFonts w:ascii="Arial" w:hAnsi="Arial" w:cs="Arial"/>
          <w:b/>
          <w:bCs/>
          <w:noProof/>
          <w:szCs w:val="24"/>
          <w:lang w:val="mn-MN"/>
        </w:rPr>
      </w:pPr>
    </w:p>
    <w:p w14:paraId="4174CAC3" w14:textId="77777777" w:rsidR="00F0163D" w:rsidRPr="004A68F2" w:rsidRDefault="00F0163D" w:rsidP="002C5654">
      <w:pPr>
        <w:spacing w:after="0" w:line="276" w:lineRule="auto"/>
        <w:jc w:val="center"/>
        <w:rPr>
          <w:rFonts w:ascii="Arial" w:hAnsi="Arial" w:cs="Arial"/>
          <w:b/>
          <w:bCs/>
          <w:noProof/>
          <w:szCs w:val="24"/>
          <w:lang w:val="mn-MN"/>
        </w:rPr>
      </w:pPr>
    </w:p>
    <w:p w14:paraId="34AD5D89" w14:textId="77777777" w:rsidR="00834A13" w:rsidRPr="004A68F2" w:rsidRDefault="00834A13" w:rsidP="002C5654">
      <w:pPr>
        <w:spacing w:after="0" w:line="276" w:lineRule="auto"/>
        <w:jc w:val="center"/>
        <w:rPr>
          <w:rFonts w:ascii="Arial" w:hAnsi="Arial" w:cs="Arial"/>
          <w:b/>
          <w:bCs/>
          <w:noProof/>
          <w:szCs w:val="24"/>
          <w:lang w:val="mn-MN"/>
        </w:rPr>
      </w:pPr>
    </w:p>
    <w:p w14:paraId="23EDBCD3" w14:textId="24B2D452" w:rsidR="00834A13" w:rsidRPr="004A68F2" w:rsidRDefault="002C5654" w:rsidP="002C5654">
      <w:pPr>
        <w:spacing w:after="0" w:line="276" w:lineRule="auto"/>
        <w:jc w:val="center"/>
        <w:rPr>
          <w:rFonts w:ascii="Arial" w:hAnsi="Arial" w:cs="Arial"/>
          <w:b/>
          <w:bCs/>
          <w:noProof/>
          <w:szCs w:val="24"/>
          <w:lang w:val="mn-MN"/>
        </w:rPr>
      </w:pPr>
      <w:r w:rsidRPr="004A68F2">
        <w:rPr>
          <w:rFonts w:ascii="Arial" w:hAnsi="Arial" w:cs="Arial"/>
          <w:b/>
          <w:bCs/>
          <w:noProof/>
          <w:szCs w:val="24"/>
          <w:lang w:val="mn-MN"/>
        </w:rPr>
        <w:t>У</w:t>
      </w:r>
      <w:r w:rsidR="00834A13" w:rsidRPr="004A68F2">
        <w:rPr>
          <w:rFonts w:ascii="Arial" w:hAnsi="Arial" w:cs="Arial"/>
          <w:b/>
          <w:bCs/>
          <w:noProof/>
          <w:szCs w:val="24"/>
          <w:lang w:val="mn-MN"/>
        </w:rPr>
        <w:t xml:space="preserve">ЛААНБААТАР </w:t>
      </w:r>
      <w:r w:rsidR="00DA1BDC" w:rsidRPr="004A68F2">
        <w:rPr>
          <w:rFonts w:ascii="Arial" w:hAnsi="Arial" w:cs="Arial"/>
          <w:b/>
          <w:bCs/>
          <w:noProof/>
          <w:szCs w:val="24"/>
          <w:lang w:val="mn-MN"/>
        </w:rPr>
        <w:t>ХОТ</w:t>
      </w:r>
    </w:p>
    <w:p w14:paraId="7B8806F5" w14:textId="5E215207" w:rsidR="002C5654" w:rsidRPr="004A68F2" w:rsidRDefault="002C5654" w:rsidP="002C5654">
      <w:pPr>
        <w:spacing w:after="0" w:line="276" w:lineRule="auto"/>
        <w:jc w:val="center"/>
        <w:rPr>
          <w:rFonts w:ascii="Arial" w:hAnsi="Arial" w:cs="Arial"/>
          <w:b/>
          <w:bCs/>
          <w:noProof/>
          <w:szCs w:val="24"/>
          <w:lang w:val="mn-MN"/>
        </w:rPr>
      </w:pPr>
      <w:r w:rsidRPr="004A68F2">
        <w:rPr>
          <w:rFonts w:ascii="Arial" w:hAnsi="Arial" w:cs="Arial"/>
          <w:b/>
          <w:bCs/>
          <w:noProof/>
          <w:szCs w:val="24"/>
          <w:lang w:val="mn-MN"/>
        </w:rPr>
        <w:t>2026 он</w:t>
      </w:r>
    </w:p>
    <w:sdt>
      <w:sdtPr>
        <w:rPr>
          <w:rFonts w:ascii="Arial" w:eastAsiaTheme="minorHAnsi" w:hAnsi="Arial" w:cs="Arial"/>
          <w:color w:val="auto"/>
          <w:sz w:val="24"/>
          <w:szCs w:val="24"/>
          <w:lang w:val="mn-MN"/>
        </w:rPr>
        <w:id w:val="330950566"/>
        <w:docPartObj>
          <w:docPartGallery w:val="Table of Contents"/>
          <w:docPartUnique/>
        </w:docPartObj>
      </w:sdtPr>
      <w:sdtEndPr>
        <w:rPr>
          <w:b/>
          <w:bCs/>
          <w:noProof/>
        </w:rPr>
      </w:sdtEndPr>
      <w:sdtContent>
        <w:p w14:paraId="2CA313FC" w14:textId="77777777" w:rsidR="004A68F2" w:rsidRPr="004A68F2" w:rsidRDefault="004A68F2" w:rsidP="002C5654">
          <w:pPr>
            <w:pStyle w:val="TOCHeading"/>
            <w:spacing w:before="0" w:line="276" w:lineRule="auto"/>
            <w:jc w:val="center"/>
            <w:rPr>
              <w:rFonts w:ascii="Arial" w:eastAsiaTheme="minorHAnsi" w:hAnsi="Arial" w:cs="Arial"/>
              <w:color w:val="auto"/>
              <w:sz w:val="24"/>
              <w:szCs w:val="24"/>
              <w:lang w:val="mn-MN"/>
            </w:rPr>
          </w:pPr>
        </w:p>
        <w:p w14:paraId="3AE99F93" w14:textId="1BAF3C25" w:rsidR="00666165" w:rsidRPr="004A68F2" w:rsidRDefault="00666165" w:rsidP="002C5654">
          <w:pPr>
            <w:pStyle w:val="TOCHeading"/>
            <w:spacing w:before="0" w:line="276" w:lineRule="auto"/>
            <w:jc w:val="center"/>
            <w:rPr>
              <w:rFonts w:ascii="Arial" w:hAnsi="Arial" w:cs="Arial"/>
              <w:b/>
              <w:bCs/>
              <w:sz w:val="24"/>
              <w:szCs w:val="24"/>
              <w:lang w:val="mn-MN"/>
            </w:rPr>
          </w:pPr>
          <w:r w:rsidRPr="004A68F2">
            <w:rPr>
              <w:rFonts w:ascii="Arial" w:hAnsi="Arial" w:cs="Arial"/>
              <w:b/>
              <w:bCs/>
              <w:sz w:val="24"/>
              <w:szCs w:val="24"/>
              <w:lang w:val="mn-MN"/>
            </w:rPr>
            <w:t>ТАЙЛАНГИЙН АГУУЛГА</w:t>
          </w:r>
        </w:p>
        <w:p w14:paraId="4E880E45" w14:textId="77777777" w:rsidR="004A68F2" w:rsidRPr="004A68F2" w:rsidRDefault="004A68F2" w:rsidP="004A68F2">
          <w:pPr>
            <w:rPr>
              <w:lang w:val="mn-MN"/>
            </w:rPr>
          </w:pPr>
        </w:p>
        <w:p w14:paraId="2F9BAF55" w14:textId="77777777" w:rsidR="00666165" w:rsidRPr="004A68F2" w:rsidRDefault="00666165" w:rsidP="002C5654">
          <w:pPr>
            <w:spacing w:after="0" w:line="276" w:lineRule="auto"/>
            <w:rPr>
              <w:rFonts w:ascii="Arial" w:hAnsi="Arial" w:cs="Arial"/>
              <w:szCs w:val="24"/>
              <w:lang w:val="mn-MN"/>
            </w:rPr>
          </w:pPr>
        </w:p>
        <w:p w14:paraId="02A21D0F" w14:textId="53DED1CC" w:rsidR="00666165" w:rsidRPr="004A68F2" w:rsidRDefault="00666165" w:rsidP="004A68F2">
          <w:pPr>
            <w:pStyle w:val="TOC1"/>
            <w:tabs>
              <w:tab w:val="right" w:leader="dot" w:pos="9770"/>
            </w:tabs>
            <w:spacing w:after="0"/>
            <w:rPr>
              <w:rFonts w:ascii="Arial" w:eastAsiaTheme="minorEastAsia" w:hAnsi="Arial" w:cs="Arial"/>
              <w:noProof/>
              <w:kern w:val="2"/>
              <w:szCs w:val="24"/>
              <w:lang w:val="mn-MN" w:eastAsia="ja-JP"/>
            </w:rPr>
          </w:pPr>
          <w:r w:rsidRPr="004A68F2">
            <w:rPr>
              <w:rFonts w:ascii="Arial" w:hAnsi="Arial" w:cs="Arial"/>
              <w:szCs w:val="24"/>
              <w:lang w:val="mn-MN"/>
            </w:rPr>
            <w:fldChar w:fldCharType="begin"/>
          </w:r>
          <w:r w:rsidRPr="004A68F2">
            <w:rPr>
              <w:rFonts w:ascii="Arial" w:hAnsi="Arial" w:cs="Arial"/>
              <w:szCs w:val="24"/>
              <w:lang w:val="mn-MN"/>
            </w:rPr>
            <w:instrText xml:space="preserve"> TOC \o "1-3" \h \z \u </w:instrText>
          </w:r>
          <w:r w:rsidRPr="004A68F2">
            <w:rPr>
              <w:rFonts w:ascii="Arial" w:hAnsi="Arial" w:cs="Arial"/>
              <w:szCs w:val="24"/>
              <w:lang w:val="mn-MN"/>
            </w:rPr>
            <w:fldChar w:fldCharType="separate"/>
          </w:r>
          <w:hyperlink w:anchor="_Toc196842510" w:history="1">
            <w:r w:rsidRPr="004A68F2">
              <w:rPr>
                <w:rStyle w:val="Hyperlink"/>
                <w:rFonts w:ascii="Arial" w:hAnsi="Arial" w:cs="Arial"/>
                <w:noProof/>
                <w:szCs w:val="24"/>
                <w:lang w:val="mn-MN"/>
              </w:rPr>
              <w:t>ТОВЧИЛСОН ҮГИЙН ЖАГСААЛТ:</w:t>
            </w:r>
            <w:r w:rsidRPr="004A68F2">
              <w:rPr>
                <w:rFonts w:ascii="Arial" w:hAnsi="Arial" w:cs="Arial"/>
                <w:noProof/>
                <w:webHidden/>
                <w:szCs w:val="24"/>
                <w:lang w:val="mn-MN"/>
              </w:rPr>
              <w:tab/>
            </w:r>
            <w:r w:rsidRPr="004A68F2">
              <w:rPr>
                <w:rFonts w:ascii="Arial" w:hAnsi="Arial" w:cs="Arial"/>
                <w:noProof/>
                <w:webHidden/>
                <w:szCs w:val="24"/>
                <w:lang w:val="mn-MN"/>
              </w:rPr>
              <w:fldChar w:fldCharType="begin"/>
            </w:r>
            <w:r w:rsidRPr="004A68F2">
              <w:rPr>
                <w:rFonts w:ascii="Arial" w:hAnsi="Arial" w:cs="Arial"/>
                <w:noProof/>
                <w:webHidden/>
                <w:szCs w:val="24"/>
                <w:lang w:val="mn-MN"/>
              </w:rPr>
              <w:instrText xml:space="preserve"> PAGEREF _Toc196842510 \h </w:instrText>
            </w:r>
            <w:r w:rsidRPr="004A68F2">
              <w:rPr>
                <w:rFonts w:ascii="Arial" w:hAnsi="Arial" w:cs="Arial"/>
                <w:noProof/>
                <w:webHidden/>
                <w:szCs w:val="24"/>
                <w:lang w:val="mn-MN"/>
              </w:rPr>
              <w:fldChar w:fldCharType="separate"/>
            </w:r>
            <w:r w:rsidR="00372A17">
              <w:rPr>
                <w:rFonts w:ascii="Arial" w:hAnsi="Arial" w:cs="Arial"/>
                <w:b/>
                <w:bCs/>
                <w:noProof/>
                <w:webHidden/>
                <w:szCs w:val="24"/>
              </w:rPr>
              <w:t>Error! Bookmark not defined.</w:t>
            </w:r>
            <w:r w:rsidRPr="004A68F2">
              <w:rPr>
                <w:rFonts w:ascii="Arial" w:hAnsi="Arial" w:cs="Arial"/>
                <w:noProof/>
                <w:webHidden/>
                <w:szCs w:val="24"/>
                <w:lang w:val="mn-MN"/>
              </w:rPr>
              <w:fldChar w:fldCharType="end"/>
            </w:r>
          </w:hyperlink>
        </w:p>
        <w:p w14:paraId="20417F60" w14:textId="1183E49E" w:rsidR="00666165" w:rsidRPr="004A68F2" w:rsidRDefault="00B5769A" w:rsidP="004A68F2">
          <w:pPr>
            <w:pStyle w:val="TOC1"/>
            <w:tabs>
              <w:tab w:val="right" w:leader="dot" w:pos="9770"/>
            </w:tabs>
            <w:spacing w:after="0"/>
            <w:rPr>
              <w:rFonts w:ascii="Arial" w:eastAsiaTheme="minorEastAsia" w:hAnsi="Arial" w:cs="Arial"/>
              <w:noProof/>
              <w:kern w:val="2"/>
              <w:szCs w:val="24"/>
              <w:lang w:val="mn-MN" w:eastAsia="ja-JP"/>
            </w:rPr>
          </w:pPr>
          <w:hyperlink w:anchor="_Toc196842511" w:history="1">
            <w:r w:rsidR="00666165" w:rsidRPr="004A68F2">
              <w:rPr>
                <w:rStyle w:val="Hyperlink"/>
                <w:rFonts w:ascii="Arial" w:hAnsi="Arial" w:cs="Arial"/>
                <w:noProof/>
                <w:szCs w:val="24"/>
                <w:lang w:val="mn-MN"/>
              </w:rPr>
              <w:t>УДИРТГАЛ</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_Toc196842511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3</w:t>
            </w:r>
            <w:r w:rsidR="00666165" w:rsidRPr="004A68F2">
              <w:rPr>
                <w:rFonts w:ascii="Arial" w:hAnsi="Arial" w:cs="Arial"/>
                <w:noProof/>
                <w:webHidden/>
                <w:szCs w:val="24"/>
                <w:lang w:val="mn-MN"/>
              </w:rPr>
              <w:fldChar w:fldCharType="end"/>
            </w:r>
          </w:hyperlink>
        </w:p>
        <w:p w14:paraId="0BC03ED4" w14:textId="19EEC265" w:rsidR="00666165" w:rsidRPr="004A68F2" w:rsidRDefault="00B5769A" w:rsidP="004A68F2">
          <w:pPr>
            <w:pStyle w:val="TOC1"/>
            <w:tabs>
              <w:tab w:val="right" w:leader="dot" w:pos="9770"/>
            </w:tabs>
            <w:spacing w:after="0"/>
            <w:rPr>
              <w:rFonts w:ascii="Arial" w:eastAsiaTheme="minorEastAsia" w:hAnsi="Arial" w:cs="Arial"/>
              <w:noProof/>
              <w:kern w:val="2"/>
              <w:szCs w:val="24"/>
              <w:lang w:val="mn-MN" w:eastAsia="ja-JP"/>
            </w:rPr>
          </w:pPr>
          <w:hyperlink w:anchor="_Toc196842512" w:history="1">
            <w:r w:rsidR="00666165" w:rsidRPr="004A68F2">
              <w:rPr>
                <w:rStyle w:val="Hyperlink"/>
                <w:rFonts w:ascii="Arial" w:hAnsi="Arial" w:cs="Arial"/>
                <w:noProof/>
                <w:szCs w:val="24"/>
                <w:lang w:val="mn-MN"/>
              </w:rPr>
              <w:t>НЭГ. ТӨЛӨВЛӨХ ҮЕ ШАТ</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_Toc196842512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3</w:t>
            </w:r>
            <w:r w:rsidR="00666165" w:rsidRPr="004A68F2">
              <w:rPr>
                <w:rFonts w:ascii="Arial" w:hAnsi="Arial" w:cs="Arial"/>
                <w:noProof/>
                <w:webHidden/>
                <w:szCs w:val="24"/>
                <w:lang w:val="mn-MN"/>
              </w:rPr>
              <w:fldChar w:fldCharType="end"/>
            </w:r>
          </w:hyperlink>
        </w:p>
        <w:p w14:paraId="6936F0ED" w14:textId="76568B46" w:rsidR="00666165" w:rsidRPr="004A68F2" w:rsidRDefault="00B5769A" w:rsidP="004A68F2">
          <w:pPr>
            <w:pStyle w:val="TOC2"/>
            <w:tabs>
              <w:tab w:val="left" w:pos="960"/>
              <w:tab w:val="right" w:leader="dot" w:pos="9770"/>
            </w:tabs>
            <w:spacing w:after="0"/>
            <w:rPr>
              <w:rFonts w:ascii="Arial" w:eastAsiaTheme="minorEastAsia" w:hAnsi="Arial" w:cs="Arial"/>
              <w:noProof/>
              <w:kern w:val="2"/>
              <w:szCs w:val="24"/>
              <w:lang w:val="mn-MN" w:eastAsia="ja-JP"/>
            </w:rPr>
          </w:pPr>
          <w:hyperlink w:anchor="_Toc196842513" w:history="1">
            <w:r w:rsidR="00666165" w:rsidRPr="004A68F2">
              <w:rPr>
                <w:rStyle w:val="Hyperlink"/>
                <w:rFonts w:ascii="Arial" w:hAnsi="Arial" w:cs="Arial"/>
                <w:noProof/>
                <w:szCs w:val="24"/>
                <w:lang w:val="mn-MN"/>
              </w:rPr>
              <w:t>1.1.</w:t>
            </w:r>
            <w:r w:rsidR="00666165" w:rsidRPr="004A68F2">
              <w:rPr>
                <w:rFonts w:ascii="Arial" w:eastAsiaTheme="minorEastAsia" w:hAnsi="Arial" w:cs="Arial"/>
                <w:noProof/>
                <w:kern w:val="2"/>
                <w:szCs w:val="24"/>
                <w:lang w:val="mn-MN" w:eastAsia="ja-JP"/>
              </w:rPr>
              <w:tab/>
            </w:r>
            <w:r w:rsidR="00666165" w:rsidRPr="004A68F2">
              <w:rPr>
                <w:rStyle w:val="Hyperlink"/>
                <w:rFonts w:ascii="Arial" w:hAnsi="Arial" w:cs="Arial"/>
                <w:noProof/>
                <w:szCs w:val="24"/>
                <w:lang w:val="mn-MN"/>
              </w:rPr>
              <w:t>Үнэлгээ хийх шалтгаан</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_Toc196842513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3</w:t>
            </w:r>
            <w:r w:rsidR="00666165" w:rsidRPr="004A68F2">
              <w:rPr>
                <w:rFonts w:ascii="Arial" w:hAnsi="Arial" w:cs="Arial"/>
                <w:noProof/>
                <w:webHidden/>
                <w:szCs w:val="24"/>
                <w:lang w:val="mn-MN"/>
              </w:rPr>
              <w:fldChar w:fldCharType="end"/>
            </w:r>
          </w:hyperlink>
        </w:p>
        <w:p w14:paraId="7BC5B0DA" w14:textId="6EF0D115" w:rsidR="00666165" w:rsidRPr="004A68F2" w:rsidRDefault="00B5769A" w:rsidP="004A68F2">
          <w:pPr>
            <w:pStyle w:val="TOC2"/>
            <w:tabs>
              <w:tab w:val="left" w:pos="960"/>
              <w:tab w:val="right" w:leader="dot" w:pos="9770"/>
            </w:tabs>
            <w:spacing w:after="0"/>
            <w:rPr>
              <w:rFonts w:ascii="Arial" w:eastAsiaTheme="minorEastAsia" w:hAnsi="Arial" w:cs="Arial"/>
              <w:noProof/>
              <w:kern w:val="2"/>
              <w:szCs w:val="24"/>
              <w:lang w:val="mn-MN" w:eastAsia="ja-JP"/>
            </w:rPr>
          </w:pPr>
          <w:hyperlink w:anchor="_Toc196842514" w:history="1">
            <w:r w:rsidR="00666165" w:rsidRPr="004A68F2">
              <w:rPr>
                <w:rStyle w:val="Hyperlink"/>
                <w:rFonts w:ascii="Arial" w:hAnsi="Arial" w:cs="Arial"/>
                <w:noProof/>
                <w:szCs w:val="24"/>
                <w:lang w:val="mn-MN"/>
              </w:rPr>
              <w:t>1.2.</w:t>
            </w:r>
            <w:r w:rsidR="00666165" w:rsidRPr="004A68F2">
              <w:rPr>
                <w:rFonts w:ascii="Arial" w:eastAsiaTheme="minorEastAsia" w:hAnsi="Arial" w:cs="Arial"/>
                <w:noProof/>
                <w:kern w:val="2"/>
                <w:szCs w:val="24"/>
                <w:lang w:val="mn-MN" w:eastAsia="ja-JP"/>
              </w:rPr>
              <w:tab/>
            </w:r>
            <w:r w:rsidR="00666165" w:rsidRPr="004A68F2">
              <w:rPr>
                <w:rStyle w:val="Hyperlink"/>
                <w:rFonts w:ascii="Arial" w:hAnsi="Arial" w:cs="Arial"/>
                <w:noProof/>
                <w:szCs w:val="24"/>
                <w:lang w:val="mn-MN"/>
              </w:rPr>
              <w:t>Үнэлгээ хийх хүрээ</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_Toc196842514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7</w:t>
            </w:r>
            <w:r w:rsidR="00666165" w:rsidRPr="004A68F2">
              <w:rPr>
                <w:rFonts w:ascii="Arial" w:hAnsi="Arial" w:cs="Arial"/>
                <w:noProof/>
                <w:webHidden/>
                <w:szCs w:val="24"/>
                <w:lang w:val="mn-MN"/>
              </w:rPr>
              <w:fldChar w:fldCharType="end"/>
            </w:r>
          </w:hyperlink>
        </w:p>
        <w:p w14:paraId="6A1E8597" w14:textId="2AA13EDA" w:rsidR="00666165" w:rsidRPr="004A68F2" w:rsidRDefault="00B5769A" w:rsidP="004A68F2">
          <w:pPr>
            <w:pStyle w:val="TOC2"/>
            <w:tabs>
              <w:tab w:val="left" w:pos="960"/>
              <w:tab w:val="right" w:leader="dot" w:pos="9770"/>
            </w:tabs>
            <w:spacing w:after="0"/>
            <w:rPr>
              <w:rFonts w:ascii="Arial" w:eastAsiaTheme="minorEastAsia" w:hAnsi="Arial" w:cs="Arial"/>
              <w:noProof/>
              <w:kern w:val="2"/>
              <w:szCs w:val="24"/>
              <w:lang w:val="mn-MN" w:eastAsia="ja-JP"/>
            </w:rPr>
          </w:pPr>
          <w:hyperlink w:anchor="_Toc196842515" w:history="1">
            <w:r w:rsidR="00666165" w:rsidRPr="004A68F2">
              <w:rPr>
                <w:rStyle w:val="Hyperlink"/>
                <w:rFonts w:ascii="Arial" w:hAnsi="Arial" w:cs="Arial"/>
                <w:noProof/>
                <w:szCs w:val="24"/>
                <w:lang w:val="mn-MN"/>
              </w:rPr>
              <w:t>1.3.</w:t>
            </w:r>
            <w:r w:rsidR="00666165" w:rsidRPr="004A68F2">
              <w:rPr>
                <w:rFonts w:ascii="Arial" w:eastAsiaTheme="minorEastAsia" w:hAnsi="Arial" w:cs="Arial"/>
                <w:noProof/>
                <w:kern w:val="2"/>
                <w:szCs w:val="24"/>
                <w:lang w:val="mn-MN" w:eastAsia="ja-JP"/>
              </w:rPr>
              <w:tab/>
            </w:r>
            <w:r w:rsidR="00666165" w:rsidRPr="004A68F2">
              <w:rPr>
                <w:rStyle w:val="Hyperlink"/>
                <w:rFonts w:ascii="Arial" w:hAnsi="Arial" w:cs="Arial"/>
                <w:noProof/>
                <w:szCs w:val="24"/>
                <w:lang w:val="mn-MN"/>
              </w:rPr>
              <w:t>Үнэлгээ хийх шалгуур үзүүлэлт</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_Toc196842515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8</w:t>
            </w:r>
            <w:r w:rsidR="00666165" w:rsidRPr="004A68F2">
              <w:rPr>
                <w:rFonts w:ascii="Arial" w:hAnsi="Arial" w:cs="Arial"/>
                <w:noProof/>
                <w:webHidden/>
                <w:szCs w:val="24"/>
                <w:lang w:val="mn-MN"/>
              </w:rPr>
              <w:fldChar w:fldCharType="end"/>
            </w:r>
          </w:hyperlink>
        </w:p>
        <w:p w14:paraId="2FF7EF5D" w14:textId="7DA778A0" w:rsidR="00666165" w:rsidRPr="004A68F2" w:rsidRDefault="00B5769A" w:rsidP="004A68F2">
          <w:pPr>
            <w:pStyle w:val="TOC3"/>
            <w:tabs>
              <w:tab w:val="left" w:pos="1440"/>
              <w:tab w:val="right" w:leader="dot" w:pos="9770"/>
            </w:tabs>
            <w:spacing w:after="0"/>
            <w:rPr>
              <w:rFonts w:ascii="Arial" w:eastAsiaTheme="minorEastAsia" w:hAnsi="Arial" w:cs="Arial"/>
              <w:noProof/>
              <w:kern w:val="2"/>
              <w:szCs w:val="24"/>
              <w:lang w:val="mn-MN" w:eastAsia="ja-JP"/>
            </w:rPr>
          </w:pPr>
          <w:hyperlink w:anchor="_Toc196842516" w:history="1">
            <w:r w:rsidR="00666165" w:rsidRPr="004A68F2">
              <w:rPr>
                <w:rStyle w:val="Hyperlink"/>
                <w:rFonts w:ascii="Arial" w:hAnsi="Arial" w:cs="Arial"/>
                <w:noProof/>
                <w:szCs w:val="24"/>
                <w:lang w:val="mn-MN"/>
              </w:rPr>
              <w:t>1.3.1.</w:t>
            </w:r>
            <w:r w:rsidR="00666165" w:rsidRPr="004A68F2">
              <w:rPr>
                <w:rFonts w:ascii="Arial" w:eastAsiaTheme="minorEastAsia" w:hAnsi="Arial" w:cs="Arial"/>
                <w:noProof/>
                <w:kern w:val="2"/>
                <w:szCs w:val="24"/>
                <w:lang w:val="mn-MN" w:eastAsia="ja-JP"/>
              </w:rPr>
              <w:tab/>
            </w:r>
            <w:r w:rsidR="00666165" w:rsidRPr="004A68F2">
              <w:rPr>
                <w:rStyle w:val="Hyperlink"/>
                <w:rFonts w:ascii="Arial" w:hAnsi="Arial" w:cs="Arial"/>
                <w:noProof/>
                <w:szCs w:val="24"/>
                <w:lang w:val="mn-MN"/>
              </w:rPr>
              <w:t>“Зорилгод хүрсэн түвшин” шалгуур</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_Toc196842516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8</w:t>
            </w:r>
            <w:r w:rsidR="00666165" w:rsidRPr="004A68F2">
              <w:rPr>
                <w:rFonts w:ascii="Arial" w:hAnsi="Arial" w:cs="Arial"/>
                <w:noProof/>
                <w:webHidden/>
                <w:szCs w:val="24"/>
                <w:lang w:val="mn-MN"/>
              </w:rPr>
              <w:fldChar w:fldCharType="end"/>
            </w:r>
          </w:hyperlink>
        </w:p>
        <w:p w14:paraId="55A67FC7" w14:textId="47636194" w:rsidR="00666165" w:rsidRPr="004A68F2" w:rsidRDefault="00B5769A" w:rsidP="004A68F2">
          <w:pPr>
            <w:pStyle w:val="TOC3"/>
            <w:tabs>
              <w:tab w:val="left" w:pos="1440"/>
              <w:tab w:val="right" w:leader="dot" w:pos="9770"/>
            </w:tabs>
            <w:spacing w:after="0"/>
            <w:rPr>
              <w:rFonts w:ascii="Arial" w:eastAsiaTheme="minorEastAsia" w:hAnsi="Arial" w:cs="Arial"/>
              <w:noProof/>
              <w:kern w:val="2"/>
              <w:szCs w:val="24"/>
              <w:lang w:val="mn-MN" w:eastAsia="ja-JP"/>
            </w:rPr>
          </w:pPr>
          <w:hyperlink w:anchor="_Toc196842517" w:history="1">
            <w:r w:rsidR="00666165" w:rsidRPr="004A68F2">
              <w:rPr>
                <w:rStyle w:val="Hyperlink"/>
                <w:rFonts w:ascii="Arial" w:hAnsi="Arial" w:cs="Arial"/>
                <w:noProof/>
                <w:szCs w:val="24"/>
                <w:lang w:val="mn-MN"/>
              </w:rPr>
              <w:t>1.3.2.</w:t>
            </w:r>
            <w:r w:rsidR="00666165" w:rsidRPr="004A68F2">
              <w:rPr>
                <w:rFonts w:ascii="Arial" w:eastAsiaTheme="minorEastAsia" w:hAnsi="Arial" w:cs="Arial"/>
                <w:noProof/>
                <w:kern w:val="2"/>
                <w:szCs w:val="24"/>
                <w:lang w:val="mn-MN" w:eastAsia="ja-JP"/>
              </w:rPr>
              <w:tab/>
            </w:r>
            <w:r w:rsidR="00666165" w:rsidRPr="004A68F2">
              <w:rPr>
                <w:rStyle w:val="Hyperlink"/>
                <w:rFonts w:ascii="Arial" w:hAnsi="Arial" w:cs="Arial"/>
                <w:noProof/>
                <w:szCs w:val="24"/>
                <w:lang w:val="mn-MN"/>
              </w:rPr>
              <w:t>“Практикт нийцэж байгаа байдал” шалгуур</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_Toc196842517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10</w:t>
            </w:r>
            <w:r w:rsidR="00666165" w:rsidRPr="004A68F2">
              <w:rPr>
                <w:rFonts w:ascii="Arial" w:hAnsi="Arial" w:cs="Arial"/>
                <w:noProof/>
                <w:webHidden/>
                <w:szCs w:val="24"/>
                <w:lang w:val="mn-MN"/>
              </w:rPr>
              <w:fldChar w:fldCharType="end"/>
            </w:r>
          </w:hyperlink>
        </w:p>
        <w:p w14:paraId="6F80C996" w14:textId="733B6F1C" w:rsidR="00666165" w:rsidRPr="004A68F2" w:rsidRDefault="00B5769A" w:rsidP="004A68F2">
          <w:pPr>
            <w:pStyle w:val="TOC2"/>
            <w:tabs>
              <w:tab w:val="left" w:pos="960"/>
              <w:tab w:val="right" w:leader="dot" w:pos="9770"/>
            </w:tabs>
            <w:spacing w:after="0"/>
            <w:rPr>
              <w:rFonts w:ascii="Arial" w:eastAsiaTheme="minorEastAsia" w:hAnsi="Arial" w:cs="Arial"/>
              <w:noProof/>
              <w:kern w:val="2"/>
              <w:szCs w:val="24"/>
              <w:lang w:val="mn-MN" w:eastAsia="ja-JP"/>
            </w:rPr>
          </w:pPr>
          <w:hyperlink w:anchor="_Toc196842518" w:history="1">
            <w:r w:rsidR="00666165" w:rsidRPr="004A68F2">
              <w:rPr>
                <w:rStyle w:val="Hyperlink"/>
                <w:rFonts w:ascii="Arial" w:hAnsi="Arial" w:cs="Arial"/>
                <w:noProof/>
                <w:szCs w:val="24"/>
                <w:lang w:val="mn-MN"/>
              </w:rPr>
              <w:t>1.4.</w:t>
            </w:r>
            <w:r w:rsidR="00666165" w:rsidRPr="004A68F2">
              <w:rPr>
                <w:rFonts w:ascii="Arial" w:eastAsiaTheme="minorEastAsia" w:hAnsi="Arial" w:cs="Arial"/>
                <w:noProof/>
                <w:kern w:val="2"/>
                <w:szCs w:val="24"/>
                <w:lang w:val="mn-MN" w:eastAsia="ja-JP"/>
              </w:rPr>
              <w:tab/>
            </w:r>
            <w:r w:rsidR="00666165" w:rsidRPr="004A68F2">
              <w:rPr>
                <w:rStyle w:val="Hyperlink"/>
                <w:rFonts w:ascii="Arial" w:hAnsi="Arial" w:cs="Arial"/>
                <w:noProof/>
                <w:szCs w:val="24"/>
                <w:lang w:val="mn-MN"/>
              </w:rPr>
              <w:t>Шалгуур үзүүлэлтийг томьёолох</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_Toc196842518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11</w:t>
            </w:r>
            <w:r w:rsidR="00666165" w:rsidRPr="004A68F2">
              <w:rPr>
                <w:rFonts w:ascii="Arial" w:hAnsi="Arial" w:cs="Arial"/>
                <w:noProof/>
                <w:webHidden/>
                <w:szCs w:val="24"/>
                <w:lang w:val="mn-MN"/>
              </w:rPr>
              <w:fldChar w:fldCharType="end"/>
            </w:r>
          </w:hyperlink>
        </w:p>
        <w:p w14:paraId="3AC26698" w14:textId="26D702E8" w:rsidR="00666165" w:rsidRPr="004A68F2" w:rsidRDefault="00B5769A" w:rsidP="004A68F2">
          <w:pPr>
            <w:pStyle w:val="TOC2"/>
            <w:tabs>
              <w:tab w:val="left" w:pos="960"/>
              <w:tab w:val="right" w:leader="dot" w:pos="9770"/>
            </w:tabs>
            <w:spacing w:after="0"/>
            <w:rPr>
              <w:rFonts w:ascii="Arial" w:eastAsiaTheme="minorEastAsia" w:hAnsi="Arial" w:cs="Arial"/>
              <w:noProof/>
              <w:kern w:val="2"/>
              <w:szCs w:val="24"/>
              <w:lang w:val="mn-MN" w:eastAsia="ja-JP"/>
            </w:rPr>
          </w:pPr>
          <w:hyperlink w:anchor="_Toc196842519" w:history="1">
            <w:r w:rsidR="00666165" w:rsidRPr="004A68F2">
              <w:rPr>
                <w:rStyle w:val="Hyperlink"/>
                <w:rFonts w:ascii="Arial" w:hAnsi="Arial" w:cs="Arial"/>
                <w:noProof/>
                <w:szCs w:val="24"/>
                <w:lang w:val="mn-MN"/>
              </w:rPr>
              <w:t>1.5.</w:t>
            </w:r>
            <w:r w:rsidR="00666165" w:rsidRPr="004A68F2">
              <w:rPr>
                <w:rFonts w:ascii="Arial" w:eastAsiaTheme="minorEastAsia" w:hAnsi="Arial" w:cs="Arial"/>
                <w:noProof/>
                <w:kern w:val="2"/>
                <w:szCs w:val="24"/>
                <w:lang w:val="mn-MN" w:eastAsia="ja-JP"/>
              </w:rPr>
              <w:tab/>
            </w:r>
            <w:r w:rsidR="00666165" w:rsidRPr="004A68F2">
              <w:rPr>
                <w:rStyle w:val="Hyperlink"/>
                <w:rFonts w:ascii="Arial" w:hAnsi="Arial" w:cs="Arial"/>
                <w:noProof/>
                <w:szCs w:val="24"/>
                <w:lang w:val="mn-MN"/>
              </w:rPr>
              <w:t>Мэдээлэл цуглуулах аргыг сонгох</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_Toc196842519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12</w:t>
            </w:r>
            <w:r w:rsidR="00666165" w:rsidRPr="004A68F2">
              <w:rPr>
                <w:rFonts w:ascii="Arial" w:hAnsi="Arial" w:cs="Arial"/>
                <w:noProof/>
                <w:webHidden/>
                <w:szCs w:val="24"/>
                <w:lang w:val="mn-MN"/>
              </w:rPr>
              <w:fldChar w:fldCharType="end"/>
            </w:r>
          </w:hyperlink>
        </w:p>
        <w:p w14:paraId="4EE6ACA9" w14:textId="4281B873" w:rsidR="00666165" w:rsidRPr="004A68F2" w:rsidRDefault="00B5769A" w:rsidP="004A68F2">
          <w:pPr>
            <w:pStyle w:val="TOC1"/>
            <w:tabs>
              <w:tab w:val="right" w:leader="dot" w:pos="9770"/>
            </w:tabs>
            <w:spacing w:after="0"/>
            <w:rPr>
              <w:rFonts w:ascii="Arial" w:eastAsiaTheme="minorEastAsia" w:hAnsi="Arial" w:cs="Arial"/>
              <w:noProof/>
              <w:kern w:val="2"/>
              <w:szCs w:val="24"/>
              <w:lang w:val="mn-MN" w:eastAsia="ja-JP"/>
            </w:rPr>
          </w:pPr>
          <w:hyperlink w:anchor="_Toc196842520" w:history="1">
            <w:r w:rsidR="00666165" w:rsidRPr="004A68F2">
              <w:rPr>
                <w:rStyle w:val="Hyperlink"/>
                <w:rFonts w:ascii="Arial" w:hAnsi="Arial" w:cs="Arial"/>
                <w:noProof/>
                <w:szCs w:val="24"/>
                <w:lang w:val="mn-MN"/>
              </w:rPr>
              <w:t>ХОЁР. ХЭРЭГЖҮҮЛЭХ ҮЕ ШАТ</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_Toc196842520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13</w:t>
            </w:r>
            <w:r w:rsidR="00666165" w:rsidRPr="004A68F2">
              <w:rPr>
                <w:rFonts w:ascii="Arial" w:hAnsi="Arial" w:cs="Arial"/>
                <w:noProof/>
                <w:webHidden/>
                <w:szCs w:val="24"/>
                <w:lang w:val="mn-MN"/>
              </w:rPr>
              <w:fldChar w:fldCharType="end"/>
            </w:r>
          </w:hyperlink>
        </w:p>
        <w:p w14:paraId="027AA843" w14:textId="2DD69B1E" w:rsidR="00666165" w:rsidRPr="004A68F2" w:rsidRDefault="00B5769A" w:rsidP="004A68F2">
          <w:pPr>
            <w:pStyle w:val="TOC1"/>
            <w:tabs>
              <w:tab w:val="right" w:leader="dot" w:pos="9770"/>
            </w:tabs>
            <w:spacing w:after="0"/>
            <w:rPr>
              <w:rFonts w:ascii="Arial" w:eastAsiaTheme="minorEastAsia" w:hAnsi="Arial" w:cs="Arial"/>
              <w:noProof/>
              <w:kern w:val="2"/>
              <w:szCs w:val="24"/>
              <w:lang w:val="mn-MN" w:eastAsia="ja-JP"/>
            </w:rPr>
          </w:pPr>
          <w:hyperlink w:anchor="_Toc196842521" w:history="1">
            <w:r w:rsidR="00666165" w:rsidRPr="004A68F2">
              <w:rPr>
                <w:rStyle w:val="Hyperlink"/>
                <w:rFonts w:ascii="Arial" w:hAnsi="Arial" w:cs="Arial"/>
                <w:noProof/>
                <w:szCs w:val="24"/>
                <w:lang w:val="mn-MN"/>
              </w:rPr>
              <w:t>ГУРАВ. ҮНЭЛЭХ ҮЕ ШАТ</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_Toc196842521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13</w:t>
            </w:r>
            <w:r w:rsidR="00666165" w:rsidRPr="004A68F2">
              <w:rPr>
                <w:rFonts w:ascii="Arial" w:hAnsi="Arial" w:cs="Arial"/>
                <w:noProof/>
                <w:webHidden/>
                <w:szCs w:val="24"/>
                <w:lang w:val="mn-MN"/>
              </w:rPr>
              <w:fldChar w:fldCharType="end"/>
            </w:r>
          </w:hyperlink>
        </w:p>
        <w:p w14:paraId="3695D627" w14:textId="170768BD" w:rsidR="00666165" w:rsidRPr="004A68F2" w:rsidRDefault="00B5769A" w:rsidP="004A68F2">
          <w:pPr>
            <w:pStyle w:val="TOC2"/>
            <w:tabs>
              <w:tab w:val="right" w:leader="dot" w:pos="9770"/>
            </w:tabs>
            <w:spacing w:after="0"/>
            <w:rPr>
              <w:rFonts w:ascii="Arial" w:eastAsiaTheme="minorEastAsia" w:hAnsi="Arial" w:cs="Arial"/>
              <w:noProof/>
              <w:kern w:val="2"/>
              <w:szCs w:val="24"/>
              <w:lang w:val="mn-MN" w:eastAsia="ja-JP"/>
            </w:rPr>
          </w:pPr>
          <w:hyperlink w:anchor="_Toc196842522" w:history="1">
            <w:r w:rsidR="00666165" w:rsidRPr="004A68F2">
              <w:rPr>
                <w:rStyle w:val="Hyperlink"/>
                <w:rFonts w:ascii="Arial" w:hAnsi="Arial" w:cs="Arial"/>
                <w:noProof/>
                <w:szCs w:val="24"/>
                <w:lang w:val="mn-MN"/>
              </w:rPr>
              <w:t>3.1.“Зорилгод хүрсэн түвшин” шалгуур үзүүлэлтийн хүрээнд үнэлсэн байдал:</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_Toc196842522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13</w:t>
            </w:r>
            <w:r w:rsidR="00666165" w:rsidRPr="004A68F2">
              <w:rPr>
                <w:rFonts w:ascii="Arial" w:hAnsi="Arial" w:cs="Arial"/>
                <w:noProof/>
                <w:webHidden/>
                <w:szCs w:val="24"/>
                <w:lang w:val="mn-MN"/>
              </w:rPr>
              <w:fldChar w:fldCharType="end"/>
            </w:r>
          </w:hyperlink>
        </w:p>
        <w:p w14:paraId="2D455869" w14:textId="376424A2" w:rsidR="00666165" w:rsidRPr="004A68F2" w:rsidRDefault="00B5769A" w:rsidP="004A68F2">
          <w:pPr>
            <w:pStyle w:val="TOC2"/>
            <w:tabs>
              <w:tab w:val="left" w:pos="960"/>
              <w:tab w:val="right" w:leader="dot" w:pos="9770"/>
            </w:tabs>
            <w:spacing w:after="0"/>
            <w:rPr>
              <w:rFonts w:ascii="Arial" w:eastAsiaTheme="minorEastAsia" w:hAnsi="Arial" w:cs="Arial"/>
              <w:noProof/>
              <w:kern w:val="2"/>
              <w:szCs w:val="24"/>
              <w:lang w:val="mn-MN" w:eastAsia="ja-JP"/>
            </w:rPr>
          </w:pPr>
          <w:hyperlink w:anchor="_Toc196842523" w:history="1">
            <w:r w:rsidR="00666165" w:rsidRPr="004A68F2">
              <w:rPr>
                <w:rStyle w:val="Hyperlink"/>
                <w:rFonts w:ascii="Arial" w:hAnsi="Arial" w:cs="Arial"/>
                <w:noProof/>
                <w:szCs w:val="24"/>
                <w:lang w:val="mn-MN"/>
              </w:rPr>
              <w:t>3.2.</w:t>
            </w:r>
            <w:r w:rsidR="00666165" w:rsidRPr="004A68F2">
              <w:rPr>
                <w:rFonts w:ascii="Arial" w:eastAsiaTheme="minorEastAsia" w:hAnsi="Arial" w:cs="Arial"/>
                <w:noProof/>
                <w:kern w:val="2"/>
                <w:szCs w:val="24"/>
                <w:lang w:val="mn-MN" w:eastAsia="ja-JP"/>
              </w:rPr>
              <w:tab/>
            </w:r>
            <w:r w:rsidR="00666165" w:rsidRPr="004A68F2">
              <w:rPr>
                <w:rStyle w:val="Hyperlink"/>
                <w:rFonts w:ascii="Arial" w:hAnsi="Arial" w:cs="Arial"/>
                <w:noProof/>
                <w:szCs w:val="24"/>
                <w:lang w:val="mn-MN"/>
              </w:rPr>
              <w:t>Практикт нийцэж буй байдал шалгуур үзүүлэлтийн хүрээнд хийсэн үнэлгээ</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_Toc196842523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16</w:t>
            </w:r>
            <w:r w:rsidR="00666165" w:rsidRPr="004A68F2">
              <w:rPr>
                <w:rFonts w:ascii="Arial" w:hAnsi="Arial" w:cs="Arial"/>
                <w:noProof/>
                <w:webHidden/>
                <w:szCs w:val="24"/>
                <w:lang w:val="mn-MN"/>
              </w:rPr>
              <w:fldChar w:fldCharType="end"/>
            </w:r>
          </w:hyperlink>
        </w:p>
        <w:p w14:paraId="585D6E23" w14:textId="42505F35" w:rsidR="00666165" w:rsidRPr="004A68F2" w:rsidRDefault="00B5769A" w:rsidP="004A68F2">
          <w:pPr>
            <w:pStyle w:val="TOC2"/>
            <w:tabs>
              <w:tab w:val="left" w:pos="960"/>
              <w:tab w:val="right" w:leader="dot" w:pos="9770"/>
            </w:tabs>
            <w:spacing w:after="0"/>
            <w:rPr>
              <w:rFonts w:ascii="Arial" w:eastAsiaTheme="minorEastAsia" w:hAnsi="Arial" w:cs="Arial"/>
              <w:noProof/>
              <w:kern w:val="2"/>
              <w:szCs w:val="24"/>
              <w:lang w:val="mn-MN" w:eastAsia="ja-JP"/>
            </w:rPr>
          </w:pPr>
          <w:hyperlink w:anchor="_Toc196842524" w:history="1">
            <w:r w:rsidR="00666165" w:rsidRPr="004A68F2">
              <w:rPr>
                <w:rStyle w:val="Hyperlink"/>
                <w:rFonts w:ascii="Arial" w:hAnsi="Arial" w:cs="Arial"/>
                <w:noProof/>
                <w:szCs w:val="24"/>
                <w:lang w:val="mn-MN"/>
              </w:rPr>
              <w:t>1.1.</w:t>
            </w:r>
            <w:r w:rsidR="00666165" w:rsidRPr="004A68F2">
              <w:rPr>
                <w:rFonts w:ascii="Arial" w:eastAsiaTheme="minorEastAsia" w:hAnsi="Arial" w:cs="Arial"/>
                <w:noProof/>
                <w:kern w:val="2"/>
                <w:szCs w:val="24"/>
                <w:lang w:val="mn-MN" w:eastAsia="ja-JP"/>
              </w:rPr>
              <w:tab/>
            </w:r>
            <w:r w:rsidR="00666165" w:rsidRPr="004A68F2">
              <w:rPr>
                <w:rStyle w:val="Hyperlink"/>
                <w:rFonts w:ascii="Arial" w:hAnsi="Arial" w:cs="Arial"/>
                <w:noProof/>
                <w:szCs w:val="24"/>
                <w:lang w:val="mn-MN"/>
              </w:rPr>
              <w:t>Үнэлэлт, дүгнэлт</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_Toc196842524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19</w:t>
            </w:r>
            <w:r w:rsidR="00666165" w:rsidRPr="004A68F2">
              <w:rPr>
                <w:rFonts w:ascii="Arial" w:hAnsi="Arial" w:cs="Arial"/>
                <w:noProof/>
                <w:webHidden/>
                <w:szCs w:val="24"/>
                <w:lang w:val="mn-MN"/>
              </w:rPr>
              <w:fldChar w:fldCharType="end"/>
            </w:r>
          </w:hyperlink>
        </w:p>
        <w:p w14:paraId="1357252F" w14:textId="4E1DB5FD" w:rsidR="00666165" w:rsidRPr="004A68F2" w:rsidRDefault="00B5769A" w:rsidP="004A68F2">
          <w:pPr>
            <w:pStyle w:val="TOC2"/>
            <w:tabs>
              <w:tab w:val="left" w:pos="960"/>
              <w:tab w:val="right" w:leader="dot" w:pos="9770"/>
            </w:tabs>
            <w:spacing w:after="0"/>
            <w:rPr>
              <w:rFonts w:ascii="Arial" w:eastAsiaTheme="minorEastAsia" w:hAnsi="Arial" w:cs="Arial"/>
              <w:noProof/>
              <w:kern w:val="2"/>
              <w:szCs w:val="24"/>
              <w:lang w:val="mn-MN" w:eastAsia="ja-JP"/>
            </w:rPr>
          </w:pPr>
          <w:hyperlink w:anchor="_Toc196842525" w:history="1">
            <w:r w:rsidR="00666165" w:rsidRPr="004A68F2">
              <w:rPr>
                <w:rStyle w:val="Hyperlink"/>
                <w:rFonts w:ascii="Arial" w:hAnsi="Arial" w:cs="Arial"/>
                <w:noProof/>
                <w:szCs w:val="24"/>
                <w:lang w:val="mn-MN"/>
              </w:rPr>
              <w:t>1.2.</w:t>
            </w:r>
            <w:r w:rsidR="00666165" w:rsidRPr="004A68F2">
              <w:rPr>
                <w:rFonts w:ascii="Arial" w:eastAsiaTheme="minorEastAsia" w:hAnsi="Arial" w:cs="Arial"/>
                <w:noProof/>
                <w:kern w:val="2"/>
                <w:szCs w:val="24"/>
                <w:lang w:val="mn-MN" w:eastAsia="ja-JP"/>
              </w:rPr>
              <w:tab/>
            </w:r>
            <w:r w:rsidR="00666165" w:rsidRPr="004A68F2">
              <w:rPr>
                <w:rStyle w:val="Hyperlink"/>
                <w:rFonts w:ascii="Arial" w:hAnsi="Arial" w:cs="Arial"/>
                <w:noProof/>
                <w:szCs w:val="24"/>
                <w:lang w:val="mn-MN"/>
              </w:rPr>
              <w:t>Зөвлөмж</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_Toc196842525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20</w:t>
            </w:r>
            <w:r w:rsidR="00666165" w:rsidRPr="004A68F2">
              <w:rPr>
                <w:rFonts w:ascii="Arial" w:hAnsi="Arial" w:cs="Arial"/>
                <w:noProof/>
                <w:webHidden/>
                <w:szCs w:val="24"/>
                <w:lang w:val="mn-MN"/>
              </w:rPr>
              <w:fldChar w:fldCharType="end"/>
            </w:r>
          </w:hyperlink>
        </w:p>
        <w:p w14:paraId="113A4834" w14:textId="54163035" w:rsidR="00666165" w:rsidRPr="004A68F2" w:rsidRDefault="00B5769A" w:rsidP="004A68F2">
          <w:pPr>
            <w:pStyle w:val="TOC1"/>
            <w:tabs>
              <w:tab w:val="right" w:leader="dot" w:pos="9770"/>
            </w:tabs>
            <w:spacing w:after="0"/>
            <w:rPr>
              <w:rFonts w:ascii="Arial" w:eastAsiaTheme="minorEastAsia" w:hAnsi="Arial" w:cs="Arial"/>
              <w:noProof/>
              <w:kern w:val="2"/>
              <w:szCs w:val="24"/>
              <w:lang w:val="mn-MN" w:eastAsia="ja-JP"/>
            </w:rPr>
          </w:pPr>
          <w:hyperlink w:anchor="_Toc196842526" w:history="1">
            <w:r w:rsidR="00666165" w:rsidRPr="004A68F2">
              <w:rPr>
                <w:rStyle w:val="Hyperlink"/>
                <w:rFonts w:ascii="Arial" w:hAnsi="Arial" w:cs="Arial"/>
                <w:noProof/>
                <w:szCs w:val="24"/>
                <w:lang w:val="mn-MN"/>
              </w:rPr>
              <w:t>АШИГЛАСАН ЭХ СУРВАЛЖ</w:t>
            </w:r>
            <w:r w:rsidR="00666165" w:rsidRPr="004A68F2">
              <w:rPr>
                <w:rFonts w:ascii="Arial" w:hAnsi="Arial" w:cs="Arial"/>
                <w:noProof/>
                <w:webHidden/>
                <w:szCs w:val="24"/>
                <w:lang w:val="mn-MN"/>
              </w:rPr>
              <w:tab/>
            </w:r>
            <w:r w:rsidR="00666165" w:rsidRPr="004A68F2">
              <w:rPr>
                <w:rFonts w:ascii="Arial" w:hAnsi="Arial" w:cs="Arial"/>
                <w:noProof/>
                <w:webHidden/>
                <w:szCs w:val="24"/>
                <w:lang w:val="mn-MN"/>
              </w:rPr>
              <w:fldChar w:fldCharType="begin"/>
            </w:r>
            <w:r w:rsidR="00666165" w:rsidRPr="004A68F2">
              <w:rPr>
                <w:rFonts w:ascii="Arial" w:hAnsi="Arial" w:cs="Arial"/>
                <w:noProof/>
                <w:webHidden/>
                <w:szCs w:val="24"/>
                <w:lang w:val="mn-MN"/>
              </w:rPr>
              <w:instrText xml:space="preserve"> PAGEREF _Toc196842526 \h </w:instrText>
            </w:r>
            <w:r w:rsidR="00666165" w:rsidRPr="004A68F2">
              <w:rPr>
                <w:rFonts w:ascii="Arial" w:hAnsi="Arial" w:cs="Arial"/>
                <w:noProof/>
                <w:webHidden/>
                <w:szCs w:val="24"/>
                <w:lang w:val="mn-MN"/>
              </w:rPr>
            </w:r>
            <w:r w:rsidR="00666165" w:rsidRPr="004A68F2">
              <w:rPr>
                <w:rFonts w:ascii="Arial" w:hAnsi="Arial" w:cs="Arial"/>
                <w:noProof/>
                <w:webHidden/>
                <w:szCs w:val="24"/>
                <w:lang w:val="mn-MN"/>
              </w:rPr>
              <w:fldChar w:fldCharType="separate"/>
            </w:r>
            <w:r w:rsidR="00372A17">
              <w:rPr>
                <w:rFonts w:ascii="Arial" w:hAnsi="Arial" w:cs="Arial"/>
                <w:noProof/>
                <w:webHidden/>
                <w:szCs w:val="24"/>
                <w:lang w:val="mn-MN"/>
              </w:rPr>
              <w:t>23</w:t>
            </w:r>
            <w:r w:rsidR="00666165" w:rsidRPr="004A68F2">
              <w:rPr>
                <w:rFonts w:ascii="Arial" w:hAnsi="Arial" w:cs="Arial"/>
                <w:noProof/>
                <w:webHidden/>
                <w:szCs w:val="24"/>
                <w:lang w:val="mn-MN"/>
              </w:rPr>
              <w:fldChar w:fldCharType="end"/>
            </w:r>
          </w:hyperlink>
        </w:p>
        <w:p w14:paraId="03F0BB5A" w14:textId="77777777" w:rsidR="00666165" w:rsidRPr="004A68F2" w:rsidRDefault="00666165" w:rsidP="004A68F2">
          <w:pPr>
            <w:spacing w:after="0"/>
            <w:rPr>
              <w:rFonts w:ascii="Arial" w:hAnsi="Arial" w:cs="Arial"/>
              <w:b/>
              <w:bCs/>
              <w:noProof/>
              <w:szCs w:val="24"/>
              <w:lang w:val="mn-MN"/>
            </w:rPr>
          </w:pPr>
          <w:r w:rsidRPr="004A68F2">
            <w:rPr>
              <w:rFonts w:ascii="Arial" w:hAnsi="Arial" w:cs="Arial"/>
              <w:noProof/>
              <w:szCs w:val="24"/>
              <w:lang w:val="mn-MN"/>
            </w:rPr>
            <w:fldChar w:fldCharType="end"/>
          </w:r>
        </w:p>
      </w:sdtContent>
    </w:sdt>
    <w:p w14:paraId="1147DF02" w14:textId="398484E3" w:rsidR="00BB16C4" w:rsidRPr="004A68F2" w:rsidRDefault="00BB16C4" w:rsidP="002C5654">
      <w:pPr>
        <w:spacing w:after="0" w:line="276" w:lineRule="auto"/>
        <w:jc w:val="left"/>
        <w:rPr>
          <w:rFonts w:ascii="Arial" w:hAnsi="Arial" w:cs="Arial"/>
          <w:szCs w:val="24"/>
          <w:lang w:val="mn-MN"/>
        </w:rPr>
      </w:pPr>
    </w:p>
    <w:p w14:paraId="57D2E649" w14:textId="3E5483AF" w:rsidR="00423ECC" w:rsidRPr="004A68F2" w:rsidRDefault="00423ECC" w:rsidP="002C5654">
      <w:pPr>
        <w:spacing w:after="0" w:line="276" w:lineRule="auto"/>
        <w:rPr>
          <w:rFonts w:ascii="Arial" w:hAnsi="Arial" w:cs="Arial"/>
          <w:szCs w:val="24"/>
          <w:lang w:val="mn-MN"/>
        </w:rPr>
      </w:pPr>
    </w:p>
    <w:p w14:paraId="656D849C" w14:textId="35854F41" w:rsidR="00423ECC" w:rsidRPr="004A68F2" w:rsidRDefault="00423ECC" w:rsidP="002C5654">
      <w:pPr>
        <w:spacing w:after="0" w:line="276" w:lineRule="auto"/>
        <w:jc w:val="left"/>
        <w:rPr>
          <w:rFonts w:ascii="Arial" w:hAnsi="Arial" w:cs="Arial"/>
          <w:szCs w:val="24"/>
          <w:lang w:val="mn-MN"/>
        </w:rPr>
      </w:pPr>
      <w:r w:rsidRPr="004A68F2">
        <w:rPr>
          <w:rFonts w:ascii="Arial" w:hAnsi="Arial" w:cs="Arial"/>
          <w:szCs w:val="24"/>
          <w:lang w:val="mn-MN"/>
        </w:rPr>
        <w:br w:type="page"/>
      </w:r>
    </w:p>
    <w:p w14:paraId="793E00C4" w14:textId="2FFCB28B" w:rsidR="00423ECC" w:rsidRPr="004A68F2" w:rsidRDefault="00BB16C4" w:rsidP="002C5654">
      <w:pPr>
        <w:pStyle w:val="Heading1"/>
        <w:spacing w:before="0" w:line="276" w:lineRule="auto"/>
        <w:rPr>
          <w:rFonts w:ascii="Arial" w:hAnsi="Arial" w:cs="Arial"/>
          <w:noProof/>
          <w:sz w:val="24"/>
          <w:szCs w:val="24"/>
          <w:u w:val="none"/>
          <w:lang w:val="mn-MN"/>
        </w:rPr>
      </w:pPr>
      <w:bookmarkStart w:id="1" w:name="_Toc196842511"/>
      <w:r w:rsidRPr="004A68F2">
        <w:rPr>
          <w:rFonts w:ascii="Arial" w:hAnsi="Arial" w:cs="Arial"/>
          <w:noProof/>
          <w:sz w:val="24"/>
          <w:szCs w:val="24"/>
          <w:u w:val="none"/>
          <w:lang w:val="mn-MN"/>
        </w:rPr>
        <w:lastRenderedPageBreak/>
        <w:t>УДИРТГАЛ</w:t>
      </w:r>
      <w:bookmarkEnd w:id="1"/>
      <w:r w:rsidRPr="004A68F2">
        <w:rPr>
          <w:rFonts w:ascii="Arial" w:hAnsi="Arial" w:cs="Arial"/>
          <w:noProof/>
          <w:sz w:val="24"/>
          <w:szCs w:val="24"/>
          <w:u w:val="none"/>
          <w:lang w:val="mn-MN"/>
        </w:rPr>
        <w:t xml:space="preserve"> </w:t>
      </w:r>
    </w:p>
    <w:p w14:paraId="0C5A59E9" w14:textId="77777777" w:rsidR="00666165" w:rsidRPr="004A68F2" w:rsidRDefault="00666165" w:rsidP="002C5654">
      <w:pPr>
        <w:spacing w:line="276" w:lineRule="auto"/>
        <w:rPr>
          <w:rFonts w:ascii="Arial" w:hAnsi="Arial" w:cs="Arial"/>
          <w:lang w:val="mn-MN"/>
        </w:rPr>
      </w:pPr>
    </w:p>
    <w:p w14:paraId="40F30AAF" w14:textId="77777777" w:rsidR="00666165" w:rsidRPr="004A68F2" w:rsidRDefault="00666165" w:rsidP="002C5654">
      <w:pPr>
        <w:spacing w:line="276" w:lineRule="auto"/>
        <w:ind w:firstLine="720"/>
        <w:rPr>
          <w:rFonts w:ascii="Arial" w:hAnsi="Arial" w:cs="Arial"/>
          <w:lang w:val="mn-MN"/>
        </w:rPr>
      </w:pPr>
      <w:r w:rsidRPr="004A68F2">
        <w:rPr>
          <w:rFonts w:ascii="Arial" w:hAnsi="Arial" w:cs="Arial"/>
          <w:lang w:val="mn-MN"/>
        </w:rPr>
        <w:t xml:space="preserve">Монгол улс одоогоос 30 жилийн өмнө зах зээлийн харилцаанд шилжих явцад нийгэм, эдийн засгийн салбарт хийсэн томоохон шинэчлэлийн нэг нь Улсын Их Хурлаас нийгмийн даатгалын шинэ тогтолцоонд шилжих эрх зүйн </w:t>
      </w:r>
      <w:proofErr w:type="spellStart"/>
      <w:r w:rsidRPr="004A68F2">
        <w:rPr>
          <w:rFonts w:ascii="Arial" w:hAnsi="Arial" w:cs="Arial"/>
          <w:lang w:val="mn-MN"/>
        </w:rPr>
        <w:t>орчинг</w:t>
      </w:r>
      <w:proofErr w:type="spellEnd"/>
      <w:r w:rsidRPr="004A68F2">
        <w:rPr>
          <w:rFonts w:ascii="Arial" w:hAnsi="Arial" w:cs="Arial"/>
          <w:lang w:val="mn-MN"/>
        </w:rPr>
        <w:t xml:space="preserve"> бүрдүүлж, 1994 онд нийгмийн даатгалын багц хуулиудыг баталж 1995 оноос хэрэгжүүлсэн нь Монгол Улсын Үндсэн хуулиар олгосон иргэдийнхээ тэтгэвэр, тэтгэмж, төлбөр авах эрхийг баталгаажуулсан явдал юм.</w:t>
      </w:r>
    </w:p>
    <w:p w14:paraId="0C82A451" w14:textId="7F0FA673" w:rsidR="007B686C" w:rsidRPr="004A68F2" w:rsidRDefault="00666165" w:rsidP="002C5654">
      <w:pPr>
        <w:spacing w:line="276" w:lineRule="auto"/>
        <w:ind w:firstLine="720"/>
        <w:rPr>
          <w:rFonts w:ascii="Arial" w:hAnsi="Arial" w:cs="Arial"/>
          <w:lang w:val="mn-MN"/>
        </w:rPr>
      </w:pPr>
      <w:r w:rsidRPr="004A68F2">
        <w:rPr>
          <w:rFonts w:ascii="Arial" w:hAnsi="Arial" w:cs="Arial"/>
          <w:lang w:val="mn-MN"/>
        </w:rPr>
        <w:t>Улс орон бүр өөрийн орны онцлогт тохирсон тэтгэврийн даатгалын тогтолцоог бий болгож, хэрэгжүүлж, хөгжүүлж байна.</w:t>
      </w:r>
    </w:p>
    <w:p w14:paraId="378F88DF" w14:textId="61078EF8" w:rsidR="00785078" w:rsidRPr="004A68F2" w:rsidRDefault="00E548DC"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Нийгмийн даатгалын сангаас олгох тэтгэврийн тухай хууль </w:t>
      </w:r>
      <w:r w:rsidR="00BB16C4" w:rsidRPr="004A68F2">
        <w:rPr>
          <w:rFonts w:ascii="Arial" w:hAnsi="Arial" w:cs="Arial"/>
          <w:szCs w:val="24"/>
          <w:lang w:val="mn-MN"/>
        </w:rPr>
        <w:t xml:space="preserve">нь Монгол Улсын Үндсэн хуулийн Арван </w:t>
      </w:r>
      <w:proofErr w:type="spellStart"/>
      <w:r w:rsidR="00BB16C4" w:rsidRPr="004A68F2">
        <w:rPr>
          <w:rFonts w:ascii="Arial" w:hAnsi="Arial" w:cs="Arial"/>
          <w:szCs w:val="24"/>
          <w:lang w:val="mn-MN"/>
        </w:rPr>
        <w:t>зургадугаар</w:t>
      </w:r>
      <w:proofErr w:type="spellEnd"/>
      <w:r w:rsidR="00BB16C4" w:rsidRPr="004A68F2">
        <w:rPr>
          <w:rFonts w:ascii="Arial" w:hAnsi="Arial" w:cs="Arial"/>
          <w:szCs w:val="24"/>
          <w:lang w:val="mn-MN"/>
        </w:rPr>
        <w:t xml:space="preserve"> зүйлийн </w:t>
      </w:r>
      <w:r w:rsidRPr="004A68F2">
        <w:rPr>
          <w:rFonts w:ascii="Arial" w:hAnsi="Arial" w:cs="Arial"/>
          <w:szCs w:val="24"/>
          <w:lang w:val="mn-MN"/>
        </w:rPr>
        <w:t>5</w:t>
      </w:r>
      <w:r w:rsidR="00BB16C4" w:rsidRPr="004A68F2">
        <w:rPr>
          <w:rFonts w:ascii="Arial" w:hAnsi="Arial" w:cs="Arial"/>
          <w:szCs w:val="24"/>
          <w:lang w:val="mn-MN"/>
        </w:rPr>
        <w:t xml:space="preserve"> дахь заалтыг хэрэгжүүлэх, </w:t>
      </w:r>
      <w:r w:rsidRPr="004A68F2">
        <w:rPr>
          <w:rFonts w:ascii="Arial" w:hAnsi="Arial" w:cs="Arial"/>
          <w:szCs w:val="24"/>
          <w:lang w:val="mn-MN"/>
        </w:rPr>
        <w:t xml:space="preserve">нийгмийн даатгалын сан бүрдүүлэх, уг сангаас хуульд заасан нөхцөлийн дагуу иргэнд тэтгэвэр, тэтгэмж, төлбөр зардал олгох, нийгмийн даатгалын сангийн зарцуулалтад хяналт тавих, </w:t>
      </w:r>
      <w:r w:rsidR="00BB16C4" w:rsidRPr="004A68F2">
        <w:rPr>
          <w:rFonts w:ascii="Arial" w:hAnsi="Arial" w:cs="Arial"/>
          <w:szCs w:val="24"/>
          <w:lang w:val="mn-MN"/>
        </w:rPr>
        <w:t xml:space="preserve"> талуудын харилцааг зохицуулах зорилт</w:t>
      </w:r>
      <w:r w:rsidR="00C76897" w:rsidRPr="004A68F2">
        <w:rPr>
          <w:rFonts w:ascii="Arial" w:hAnsi="Arial" w:cs="Arial"/>
          <w:szCs w:val="24"/>
          <w:lang w:val="mn-MN"/>
        </w:rPr>
        <w:t>ын хүрээнд</w:t>
      </w:r>
      <w:r w:rsidR="00BB16C4" w:rsidRPr="004A68F2">
        <w:rPr>
          <w:rFonts w:ascii="Arial" w:hAnsi="Arial" w:cs="Arial"/>
          <w:szCs w:val="24"/>
          <w:lang w:val="mn-MN"/>
        </w:rPr>
        <w:t xml:space="preserve"> </w:t>
      </w:r>
      <w:r w:rsidR="00632213" w:rsidRPr="004A68F2">
        <w:rPr>
          <w:rFonts w:ascii="Arial" w:hAnsi="Arial" w:cs="Arial"/>
          <w:szCs w:val="24"/>
          <w:lang w:val="mn-MN"/>
        </w:rPr>
        <w:t>2023</w:t>
      </w:r>
      <w:r w:rsidR="00C76897" w:rsidRPr="004A68F2">
        <w:rPr>
          <w:rFonts w:ascii="Arial" w:hAnsi="Arial" w:cs="Arial"/>
          <w:szCs w:val="24"/>
          <w:lang w:val="mn-MN"/>
        </w:rPr>
        <w:t xml:space="preserve"> онд </w:t>
      </w:r>
      <w:r w:rsidR="00632213" w:rsidRPr="004A68F2">
        <w:rPr>
          <w:rFonts w:ascii="Arial" w:hAnsi="Arial" w:cs="Arial"/>
          <w:szCs w:val="24"/>
          <w:lang w:val="mn-MN"/>
        </w:rPr>
        <w:t>7</w:t>
      </w:r>
      <w:r w:rsidR="00BB16C4" w:rsidRPr="004A68F2">
        <w:rPr>
          <w:rFonts w:ascii="Arial" w:hAnsi="Arial" w:cs="Arial"/>
          <w:szCs w:val="24"/>
          <w:lang w:val="mn-MN"/>
        </w:rPr>
        <w:t xml:space="preserve"> бүлэг, </w:t>
      </w:r>
      <w:r w:rsidR="00632213" w:rsidRPr="004A68F2">
        <w:rPr>
          <w:rFonts w:ascii="Arial" w:hAnsi="Arial" w:cs="Arial"/>
          <w:szCs w:val="24"/>
          <w:lang w:val="mn-MN"/>
        </w:rPr>
        <w:t>30 зүйл</w:t>
      </w:r>
      <w:r w:rsidR="00BB16C4" w:rsidRPr="004A68F2">
        <w:rPr>
          <w:rFonts w:ascii="Arial" w:hAnsi="Arial" w:cs="Arial"/>
          <w:szCs w:val="24"/>
          <w:lang w:val="mn-MN"/>
        </w:rPr>
        <w:t xml:space="preserve"> бүхий бүтэцтэй </w:t>
      </w:r>
      <w:r w:rsidR="00401836" w:rsidRPr="004A68F2">
        <w:rPr>
          <w:rFonts w:ascii="Arial" w:hAnsi="Arial" w:cs="Arial"/>
          <w:szCs w:val="24"/>
          <w:lang w:val="mn-MN"/>
        </w:rPr>
        <w:t xml:space="preserve">шинэчлэн найруулж, </w:t>
      </w:r>
      <w:r w:rsidR="00BB16C4" w:rsidRPr="004A68F2">
        <w:rPr>
          <w:rFonts w:ascii="Arial" w:hAnsi="Arial" w:cs="Arial"/>
          <w:szCs w:val="24"/>
          <w:lang w:val="mn-MN"/>
        </w:rPr>
        <w:t>батл</w:t>
      </w:r>
      <w:r w:rsidR="00401836" w:rsidRPr="004A68F2">
        <w:rPr>
          <w:rFonts w:ascii="Arial" w:hAnsi="Arial" w:cs="Arial"/>
          <w:szCs w:val="24"/>
          <w:lang w:val="mn-MN"/>
        </w:rPr>
        <w:t>уулан</w:t>
      </w:r>
      <w:r w:rsidR="00BB16C4" w:rsidRPr="004A68F2">
        <w:rPr>
          <w:rFonts w:ascii="Arial" w:hAnsi="Arial" w:cs="Arial"/>
          <w:szCs w:val="24"/>
          <w:lang w:val="mn-MN"/>
        </w:rPr>
        <w:t xml:space="preserve"> хэрэгж</w:t>
      </w:r>
      <w:r w:rsidR="00401836" w:rsidRPr="004A68F2">
        <w:rPr>
          <w:rFonts w:ascii="Arial" w:hAnsi="Arial" w:cs="Arial"/>
          <w:szCs w:val="24"/>
          <w:lang w:val="mn-MN"/>
        </w:rPr>
        <w:t>үүлж</w:t>
      </w:r>
      <w:r w:rsidR="00BB16C4" w:rsidRPr="004A68F2">
        <w:rPr>
          <w:rFonts w:ascii="Arial" w:hAnsi="Arial" w:cs="Arial"/>
          <w:szCs w:val="24"/>
          <w:lang w:val="mn-MN"/>
        </w:rPr>
        <w:t xml:space="preserve"> байна. </w:t>
      </w:r>
    </w:p>
    <w:p w14:paraId="079A920D" w14:textId="05F92EEC" w:rsidR="007F433C" w:rsidRPr="004A68F2" w:rsidRDefault="00666165" w:rsidP="002C5654">
      <w:pPr>
        <w:spacing w:line="276" w:lineRule="auto"/>
        <w:ind w:firstLine="720"/>
        <w:rPr>
          <w:rFonts w:ascii="Arial" w:hAnsi="Arial" w:cs="Arial"/>
          <w:lang w:val="mn-MN"/>
        </w:rPr>
      </w:pPr>
      <w:r w:rsidRPr="004A68F2">
        <w:rPr>
          <w:rFonts w:ascii="Arial" w:hAnsi="Arial" w:cs="Arial"/>
          <w:lang w:val="mn-MN"/>
        </w:rPr>
        <w:t>Нийгмийн даатгалын сангаас олгох тэтгэврийн тухай хуулийн зорилт нь Нийгмийн даатгалын ерөнхий хуульд заасны дагуу шимтгэл төлсөн даатгуулагчид тэтгэврийн даатгалын сангаас тэтгэвэр тогтоох, олгохтой холбогдсон харилцааг зохицуулна.</w:t>
      </w:r>
    </w:p>
    <w:p w14:paraId="585204CC" w14:textId="77777777" w:rsidR="00666165" w:rsidRPr="004A68F2" w:rsidRDefault="00666165" w:rsidP="002C5654">
      <w:pPr>
        <w:pStyle w:val="ListParagraph"/>
        <w:spacing w:line="276" w:lineRule="auto"/>
        <w:ind w:left="0" w:firstLine="720"/>
        <w:rPr>
          <w:rFonts w:ascii="Arial" w:hAnsi="Arial" w:cs="Arial"/>
          <w:szCs w:val="24"/>
          <w:lang w:val="mn-MN"/>
        </w:rPr>
      </w:pPr>
      <w:r w:rsidRPr="004A68F2">
        <w:rPr>
          <w:rFonts w:ascii="Arial" w:hAnsi="Arial" w:cs="Arial"/>
          <w:szCs w:val="24"/>
          <w:lang w:val="mn-MN"/>
        </w:rPr>
        <w:t>Хууль тогтоомжийн тухай хуулийн 51 дүгээр зүйл болон Засгийн газрын  2016  оны  “Аргачлал батлах тухай” 59  дүгээр  тогтоолын 6  дугаар  хавсралтаар  баталсан  “Хууль тогтоомжийн  хэрэгжилтийн  үр  дагаварт  үнэлгээ  хийх  аргачлал” (цаашид “аргачлал” гэх)-ын дагуу Нийгмийн даатгалын ерөнхий хуулийн холбогдох зүйл, хэсэг, заалтыг хамааруулан энэхүү үнэлгээг хийж гүйцэтгэлээ.</w:t>
      </w:r>
    </w:p>
    <w:p w14:paraId="64E496F2" w14:textId="77777777" w:rsidR="005F02DA" w:rsidRPr="004A68F2" w:rsidRDefault="005F02DA" w:rsidP="002C5654">
      <w:pPr>
        <w:spacing w:after="0" w:line="276" w:lineRule="auto"/>
        <w:ind w:firstLine="720"/>
        <w:rPr>
          <w:rFonts w:ascii="Arial" w:hAnsi="Arial" w:cs="Arial"/>
          <w:szCs w:val="24"/>
          <w:lang w:val="mn-MN"/>
        </w:rPr>
      </w:pPr>
    </w:p>
    <w:p w14:paraId="5F856C0F" w14:textId="4E08366B" w:rsidR="00BB16C4" w:rsidRPr="004A68F2" w:rsidRDefault="006D64B3" w:rsidP="002C5654">
      <w:pPr>
        <w:pStyle w:val="Heading1"/>
        <w:spacing w:before="0" w:line="276" w:lineRule="auto"/>
        <w:rPr>
          <w:rFonts w:ascii="Arial" w:hAnsi="Arial" w:cs="Arial"/>
          <w:sz w:val="24"/>
          <w:szCs w:val="24"/>
          <w:u w:val="none"/>
          <w:lang w:val="mn-MN"/>
        </w:rPr>
      </w:pPr>
      <w:bookmarkStart w:id="2" w:name="_Toc196842512"/>
      <w:r w:rsidRPr="004A68F2">
        <w:rPr>
          <w:rFonts w:ascii="Arial" w:hAnsi="Arial" w:cs="Arial"/>
          <w:sz w:val="24"/>
          <w:szCs w:val="24"/>
          <w:u w:val="none"/>
          <w:lang w:val="mn-MN"/>
        </w:rPr>
        <w:t>НЭГ. ТӨЛӨВЛӨХ ҮЕ ШАТ</w:t>
      </w:r>
      <w:bookmarkEnd w:id="2"/>
      <w:r w:rsidRPr="004A68F2">
        <w:rPr>
          <w:rFonts w:ascii="Arial" w:hAnsi="Arial" w:cs="Arial"/>
          <w:sz w:val="24"/>
          <w:szCs w:val="24"/>
          <w:u w:val="none"/>
          <w:lang w:val="mn-MN"/>
        </w:rPr>
        <w:t xml:space="preserve"> </w:t>
      </w:r>
    </w:p>
    <w:p w14:paraId="1456A02D" w14:textId="77777777" w:rsidR="00ED55C1" w:rsidRPr="004A68F2" w:rsidRDefault="00ED55C1" w:rsidP="002C5654">
      <w:pPr>
        <w:pStyle w:val="ListParagraph"/>
        <w:spacing w:after="0" w:line="276" w:lineRule="auto"/>
        <w:ind w:left="0"/>
        <w:rPr>
          <w:rFonts w:ascii="Arial" w:hAnsi="Arial" w:cs="Arial"/>
          <w:szCs w:val="24"/>
          <w:lang w:val="mn-MN"/>
        </w:rPr>
      </w:pPr>
    </w:p>
    <w:p w14:paraId="76C4FE98" w14:textId="7D23A03B" w:rsidR="00576611" w:rsidRPr="004A68F2" w:rsidRDefault="00576611" w:rsidP="002C5654">
      <w:pPr>
        <w:pStyle w:val="Heading2"/>
        <w:numPr>
          <w:ilvl w:val="1"/>
          <w:numId w:val="18"/>
        </w:numPr>
        <w:spacing w:before="0" w:line="276" w:lineRule="auto"/>
        <w:ind w:left="0" w:firstLine="0"/>
        <w:rPr>
          <w:rFonts w:ascii="Arial" w:hAnsi="Arial" w:cs="Arial"/>
          <w:b/>
          <w:bCs/>
          <w:szCs w:val="24"/>
          <w:lang w:val="mn-MN"/>
        </w:rPr>
      </w:pPr>
      <w:bookmarkStart w:id="3" w:name="_Toc196842513"/>
      <w:r w:rsidRPr="004A68F2">
        <w:rPr>
          <w:rFonts w:ascii="Arial" w:hAnsi="Arial" w:cs="Arial"/>
          <w:b/>
          <w:bCs/>
          <w:szCs w:val="24"/>
          <w:lang w:val="mn-MN"/>
        </w:rPr>
        <w:t>Үнэлгээ хийх шалтгаан</w:t>
      </w:r>
      <w:bookmarkEnd w:id="3"/>
      <w:r w:rsidRPr="004A68F2">
        <w:rPr>
          <w:rFonts w:ascii="Arial" w:hAnsi="Arial" w:cs="Arial"/>
          <w:b/>
          <w:bCs/>
          <w:szCs w:val="24"/>
          <w:lang w:val="mn-MN"/>
        </w:rPr>
        <w:t xml:space="preserve"> </w:t>
      </w:r>
    </w:p>
    <w:p w14:paraId="724ED4E9" w14:textId="77777777" w:rsidR="005F02DA" w:rsidRPr="004A68F2" w:rsidRDefault="005F02DA" w:rsidP="002C5654">
      <w:pPr>
        <w:spacing w:after="0" w:line="276" w:lineRule="auto"/>
        <w:ind w:firstLine="720"/>
        <w:rPr>
          <w:rFonts w:ascii="Arial" w:hAnsi="Arial" w:cs="Arial"/>
          <w:szCs w:val="24"/>
          <w:lang w:val="mn-MN"/>
        </w:rPr>
      </w:pPr>
    </w:p>
    <w:p w14:paraId="6373ED25" w14:textId="6FD8FC2A" w:rsidR="00576611" w:rsidRPr="004A68F2" w:rsidRDefault="00EF0B45" w:rsidP="002C5654">
      <w:pPr>
        <w:spacing w:after="0" w:line="276" w:lineRule="auto"/>
        <w:ind w:firstLine="720"/>
        <w:rPr>
          <w:rFonts w:ascii="Arial" w:hAnsi="Arial" w:cs="Arial"/>
          <w:szCs w:val="24"/>
          <w:lang w:val="mn-MN"/>
        </w:rPr>
      </w:pPr>
      <w:r w:rsidRPr="004A68F2">
        <w:rPr>
          <w:rFonts w:ascii="Arial" w:hAnsi="Arial" w:cs="Arial"/>
          <w:szCs w:val="24"/>
          <w:lang w:val="mn-MN"/>
        </w:rPr>
        <w:t>Засгийн газрын 2016 оны 59 дүгээр тогтоолын 6 дугаар хавсралтаар батлагдсан Хууль тогтоомжийн хэрэгжилтийн үр дагаварт үнэлгээ хийх аргачлал (</w:t>
      </w:r>
      <w:r w:rsidR="00A92843" w:rsidRPr="004A68F2">
        <w:rPr>
          <w:rFonts w:ascii="Arial" w:hAnsi="Arial" w:cs="Arial"/>
          <w:szCs w:val="24"/>
          <w:lang w:val="mn-MN"/>
        </w:rPr>
        <w:t>ц</w:t>
      </w:r>
      <w:r w:rsidRPr="004A68F2">
        <w:rPr>
          <w:rFonts w:ascii="Arial" w:hAnsi="Arial" w:cs="Arial"/>
          <w:szCs w:val="24"/>
          <w:lang w:val="mn-MN"/>
        </w:rPr>
        <w:t xml:space="preserve">аашид “Аргачлал” гэх)-ын </w:t>
      </w:r>
      <w:r w:rsidR="00A82B4C" w:rsidRPr="004A68F2">
        <w:rPr>
          <w:rFonts w:ascii="Arial" w:hAnsi="Arial" w:cs="Arial"/>
          <w:szCs w:val="24"/>
          <w:lang w:val="mn-MN"/>
        </w:rPr>
        <w:t xml:space="preserve">дагуу хийж гүйцэтгэлээ. </w:t>
      </w:r>
    </w:p>
    <w:p w14:paraId="377344F4" w14:textId="77777777" w:rsidR="00632213" w:rsidRPr="004A68F2" w:rsidRDefault="00632213" w:rsidP="002C5654">
      <w:pPr>
        <w:pStyle w:val="ListParagraph"/>
        <w:spacing w:after="0" w:line="276" w:lineRule="auto"/>
        <w:ind w:left="0" w:firstLine="720"/>
        <w:rPr>
          <w:rFonts w:ascii="Arial" w:hAnsi="Arial" w:cs="Arial"/>
          <w:szCs w:val="24"/>
          <w:lang w:val="mn-MN"/>
        </w:rPr>
      </w:pPr>
      <w:bookmarkStart w:id="4" w:name="_Hlk147402576"/>
    </w:p>
    <w:p w14:paraId="1DA19F1C" w14:textId="31BE1044" w:rsidR="00EF0B45" w:rsidRPr="004A68F2" w:rsidRDefault="00632213" w:rsidP="002C5654">
      <w:pPr>
        <w:pStyle w:val="ListParagraph"/>
        <w:spacing w:after="0" w:line="276" w:lineRule="auto"/>
        <w:ind w:left="0" w:firstLine="720"/>
        <w:rPr>
          <w:rFonts w:ascii="Arial" w:hAnsi="Arial" w:cs="Arial"/>
          <w:szCs w:val="24"/>
          <w:lang w:val="mn-MN"/>
        </w:rPr>
      </w:pPr>
      <w:r w:rsidRPr="004A68F2">
        <w:rPr>
          <w:rFonts w:ascii="Arial" w:hAnsi="Arial" w:cs="Arial"/>
          <w:szCs w:val="24"/>
          <w:lang w:val="mn-MN"/>
        </w:rPr>
        <w:t xml:space="preserve">Нийгмийн даатгалын сангаас олгох тэтгэвэр, тэтгэмжийн тухай хууль нь </w:t>
      </w:r>
      <w:r w:rsidR="00810D44" w:rsidRPr="004A68F2">
        <w:rPr>
          <w:rFonts w:ascii="Arial" w:hAnsi="Arial" w:cs="Arial"/>
          <w:szCs w:val="24"/>
          <w:lang w:val="mn-MN"/>
        </w:rPr>
        <w:t>199</w:t>
      </w:r>
      <w:r w:rsidRPr="004A68F2">
        <w:rPr>
          <w:rFonts w:ascii="Arial" w:hAnsi="Arial" w:cs="Arial"/>
          <w:szCs w:val="24"/>
          <w:lang w:val="mn-MN"/>
        </w:rPr>
        <w:t>4</w:t>
      </w:r>
      <w:r w:rsidR="00810D44" w:rsidRPr="004A68F2">
        <w:rPr>
          <w:rFonts w:ascii="Arial" w:hAnsi="Arial" w:cs="Arial"/>
          <w:szCs w:val="24"/>
          <w:lang w:val="mn-MN"/>
        </w:rPr>
        <w:t xml:space="preserve"> онд анх батлагдаж, </w:t>
      </w:r>
      <w:r w:rsidRPr="004A68F2">
        <w:rPr>
          <w:rFonts w:ascii="Arial" w:hAnsi="Arial" w:cs="Arial"/>
          <w:szCs w:val="24"/>
          <w:lang w:val="mn-MN"/>
        </w:rPr>
        <w:t>1995 оноос хэрэгжиж эхлэн, 1995 оноос 2023 он хүртэлх хугацаанд ний</w:t>
      </w:r>
      <w:r w:rsidR="00AB74D3" w:rsidRPr="004A68F2">
        <w:rPr>
          <w:rFonts w:ascii="Arial" w:hAnsi="Arial" w:cs="Arial"/>
          <w:szCs w:val="24"/>
          <w:lang w:val="mn-MN"/>
        </w:rPr>
        <w:t>т</w:t>
      </w:r>
      <w:r w:rsidRPr="004A68F2">
        <w:rPr>
          <w:rFonts w:ascii="Arial" w:hAnsi="Arial" w:cs="Arial"/>
          <w:szCs w:val="24"/>
          <w:lang w:val="mn-MN"/>
        </w:rPr>
        <w:t xml:space="preserve"> 22 </w:t>
      </w:r>
      <w:r w:rsidR="00EF0B45" w:rsidRPr="004A68F2">
        <w:rPr>
          <w:rFonts w:ascii="Arial" w:hAnsi="Arial" w:cs="Arial"/>
          <w:szCs w:val="24"/>
          <w:lang w:val="mn-MN"/>
        </w:rPr>
        <w:t>удаа нэмэлт</w:t>
      </w:r>
      <w:r w:rsidR="00165C93" w:rsidRPr="004A68F2">
        <w:rPr>
          <w:rFonts w:ascii="Arial" w:hAnsi="Arial" w:cs="Arial"/>
          <w:szCs w:val="24"/>
          <w:lang w:val="mn-MN"/>
        </w:rPr>
        <w:t>,</w:t>
      </w:r>
      <w:r w:rsidR="00EF0B45" w:rsidRPr="004A68F2">
        <w:rPr>
          <w:rFonts w:ascii="Arial" w:hAnsi="Arial" w:cs="Arial"/>
          <w:szCs w:val="24"/>
          <w:lang w:val="mn-MN"/>
        </w:rPr>
        <w:t xml:space="preserve"> өөрчлөлт орж </w:t>
      </w:r>
      <w:r w:rsidRPr="004A68F2">
        <w:rPr>
          <w:rFonts w:ascii="Arial" w:hAnsi="Arial" w:cs="Arial"/>
          <w:szCs w:val="24"/>
          <w:lang w:val="mn-MN"/>
        </w:rPr>
        <w:t>, 2023 онд Нийгмийн даатгалын сангаас олгох тэтгэврийн хуулийн шинэчилсэн найруулгыг УИХ-аас хэлэлцэн баталж, 2024 оноос хэрэгжүүлж байна</w:t>
      </w:r>
      <w:r w:rsidR="00091E0B" w:rsidRPr="004A68F2">
        <w:rPr>
          <w:rFonts w:ascii="Arial" w:hAnsi="Arial" w:cs="Arial"/>
          <w:szCs w:val="24"/>
          <w:lang w:val="mn-MN"/>
        </w:rPr>
        <w:t xml:space="preserve">. </w:t>
      </w:r>
    </w:p>
    <w:p w14:paraId="78653CD7" w14:textId="77777777" w:rsidR="007F433C" w:rsidRPr="004A68F2" w:rsidRDefault="007F433C" w:rsidP="002C5654">
      <w:pPr>
        <w:pStyle w:val="ListParagraph"/>
        <w:spacing w:after="0" w:line="276" w:lineRule="auto"/>
        <w:ind w:left="0" w:firstLine="720"/>
        <w:rPr>
          <w:rFonts w:ascii="Arial" w:hAnsi="Arial" w:cs="Arial"/>
          <w:szCs w:val="24"/>
          <w:lang w:val="mn-MN"/>
        </w:rPr>
      </w:pPr>
    </w:p>
    <w:p w14:paraId="740D6408" w14:textId="77777777"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Монгол Улсын Их Хурлын 2020 оны 52 дугаар тогтоолын 1 дүгээр хавсралтаар баталсан ““Алсын хараа-2050” Монгол Улсын урт хугацааны хөгжлийн бодлого”-ын 3.1-д ”Амьдралын баталгааг хангах нийгмийн хамгааллын үйлчилгээг хөгжүүлж, амьдралын чанарыг дээшлүүлэхүйц нийгмийн даатгалын тогтолцоог бэхжүүлнэ.” гэж заасан бөгөөд уг зорилтыг хэрэгжүүлэх I үе шат (2021-2030)-нд “Тэтгэврийн даатгалыг олон давхаргат тогтолцоонд шилжүүлсэн байна.”, “Нийгмийн даатгалын сангийн хөрөнгийн зохистой удирдлагыг төлөвшүүлж, санг алдагдалгүй түвшинд хүргэх, нийгмийн даатгалын бүрэн бие даасан тогтолцоог бий болгоно.” зэрэг арга хэмжээнүүдийг хэрэгжүүлэхээр заажээ.</w:t>
      </w:r>
    </w:p>
    <w:p w14:paraId="40C381A4" w14:textId="77777777" w:rsidR="004D3C31" w:rsidRPr="004A68F2" w:rsidRDefault="004D3C31" w:rsidP="002C5654">
      <w:pPr>
        <w:spacing w:after="0" w:line="276" w:lineRule="auto"/>
        <w:ind w:firstLine="720"/>
        <w:contextualSpacing/>
        <w:rPr>
          <w:rFonts w:ascii="Arial" w:hAnsi="Arial" w:cs="Arial"/>
          <w:szCs w:val="24"/>
          <w:lang w:val="mn-MN"/>
        </w:rPr>
      </w:pPr>
    </w:p>
    <w:p w14:paraId="27513870" w14:textId="77777777"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Мөн тогтоолын 2 дугаар хавсралтаар баталсан ““Алсын хараа-2050” Монгол Улсын урт хугацааны хөгжлийн бодлогын хүрээнд 2021-2030 онд хэрэгжүүлэх үйл ажиллагааны зорилт”-ын 3.1.2-т “Нийгмийн даатгалын хууль, эрх зүйн орчныг боловсронгуй болгоно.” гэж, 3.1.3-т “Бүх ахмад настанд суурь тэтгэвэр олгоно.” гэж, 3.1.4-т “Хувийн тэтгэврийн нэмэлт даатгалыг нэвтрүүлж, төрийн болон хувийн тэтгэврийн сангаас тэтгэвэр авах нөхцөлийг бүрдүүлж, санхүүгийн зах зээлийг дэмжинэ.” гэж, 3.1.8-д “Тэтгэврийн даатгалын хагас хуримтлалын тогтолцоонд хэсэгчлэн шилжүүлж, 1979 оноос хойш төрсөн даатгуулагчийн тэтгэврийн даатгалын шимтгэлийг бодит хуримтлал болгоно.” гэж, 3.1.9-д “Тэтгэврийн даатгалын тогтолцоог бүрэн хуримтлалын тогтолцоонд шилжүүлэх үе шатыг эхлүүлнэ.” гэж тус тус заасан байна.</w:t>
      </w:r>
    </w:p>
    <w:p w14:paraId="71EEDB94" w14:textId="77777777" w:rsidR="004D3C31" w:rsidRPr="004A68F2" w:rsidRDefault="004D3C31" w:rsidP="002C5654">
      <w:pPr>
        <w:spacing w:after="0" w:line="276" w:lineRule="auto"/>
        <w:ind w:firstLine="720"/>
        <w:contextualSpacing/>
        <w:rPr>
          <w:rFonts w:ascii="Arial" w:hAnsi="Arial" w:cs="Arial"/>
          <w:szCs w:val="24"/>
          <w:lang w:val="mn-MN"/>
        </w:rPr>
      </w:pPr>
    </w:p>
    <w:p w14:paraId="736AB420" w14:textId="36D2C825"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 xml:space="preserve">Монгол Улсын Их Хурлын 2020 оны 23 дугаар тогтоолын 1 дүгээр хавсралтаар баталсан “Монгол Улсыг 2021-2025 онд хөгжүүлэх таван жилийн үндсэн чиглэл”-ийн 3.1-д заасан “Нийгмийн хамгааллын тогтолцоог шинэчлэх” зорилтын 3.1.1-д “Нийгмийн даатгалын хууль тогтоомжийг шинэчилж даатгуулагч олон эх үүсвэрээс тэтгэвэр авах нөхцөл бүрдэн, хуримтлалын нэгдсэн сан байгуулагдан иргэд бодит хуримтлалтай болох эрх зүйн шинэчлэл хийгдэнэ.” гэж </w:t>
      </w:r>
      <w:r w:rsidR="009F0350" w:rsidRPr="004A68F2">
        <w:rPr>
          <w:rFonts w:ascii="Arial" w:hAnsi="Arial" w:cs="Arial"/>
          <w:szCs w:val="24"/>
          <w:lang w:val="mn-MN"/>
        </w:rPr>
        <w:t>заасан</w:t>
      </w:r>
      <w:r w:rsidRPr="004A68F2">
        <w:rPr>
          <w:rFonts w:ascii="Arial" w:hAnsi="Arial" w:cs="Arial"/>
          <w:szCs w:val="24"/>
          <w:lang w:val="mn-MN"/>
        </w:rPr>
        <w:t>.</w:t>
      </w:r>
    </w:p>
    <w:p w14:paraId="5F8D1719" w14:textId="77777777" w:rsidR="004D3C31" w:rsidRPr="004A68F2" w:rsidRDefault="004D3C31" w:rsidP="002C5654">
      <w:pPr>
        <w:spacing w:after="0" w:line="276" w:lineRule="auto"/>
        <w:ind w:firstLine="720"/>
        <w:contextualSpacing/>
        <w:rPr>
          <w:rFonts w:ascii="Arial" w:hAnsi="Arial" w:cs="Arial"/>
          <w:szCs w:val="24"/>
          <w:lang w:val="mn-MN"/>
        </w:rPr>
      </w:pPr>
    </w:p>
    <w:p w14:paraId="42BC1471" w14:textId="77777777"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Түүнчлэн, Монгол Улсын Их Хурлын 2024 оны 21 дүгээр тогтоолын 1 дүгээр хавсралтаар баталсан “Монгол Улсын Засгийн газрын 2024-2028 оны үйл ажиллагааны хөтөлбөр”-ийн 2.1.3.4-т “Хагас хуримтлалын тогтолцоонд шилжиж, тэтгэврээ өвлүүлэх, урьдчилан ашиглах хууль, эрх зүйн зохицуулалтыг үе шаттайгаар хэрэгжүүлнэ.” гэж, 2.1.3.5-д “Хувийн нэмэлт тэтгэврийн тогтолцоог бий болгох хууль, эрх зүйн орчныг бүрдүүлж, ирээдүйд ахмад настнууд олон эх үүсвэрээс тэтгэвэр авах боломжийг бүрдүүлнэ.” гэж тус тус заасан.</w:t>
      </w:r>
    </w:p>
    <w:p w14:paraId="4468FE47" w14:textId="77777777" w:rsidR="004D3C31" w:rsidRPr="004A68F2" w:rsidRDefault="004D3C31" w:rsidP="002C5654">
      <w:pPr>
        <w:spacing w:after="0" w:line="276" w:lineRule="auto"/>
        <w:ind w:firstLine="720"/>
        <w:contextualSpacing/>
        <w:rPr>
          <w:rFonts w:ascii="Arial" w:hAnsi="Arial" w:cs="Arial"/>
          <w:szCs w:val="24"/>
          <w:lang w:val="mn-MN"/>
        </w:rPr>
      </w:pPr>
    </w:p>
    <w:p w14:paraId="0AEFD1B9" w14:textId="77777777"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 xml:space="preserve">Мөн Монгол Улсын Их Хурлын 2015 оны 53 дугаар тогтоолоор баталсан “Төрөөс тэтгэврийн шинэчлэлийн талаар баримтлах бодлого (2015-2030)”-ын 1.1-д “Төрөөс тэтгэврийн шинэчлэлийн талаар баримтлах бодлогын зорилго нь хүн амын насны бүтцийн өөрчлөлт, дундаж наслалтын өсөлтөөс үүдэлтэйгээр зайлшгүй өсөн нэмэгдэх </w:t>
      </w:r>
      <w:r w:rsidRPr="004A68F2">
        <w:rPr>
          <w:rFonts w:ascii="Arial" w:hAnsi="Arial" w:cs="Arial"/>
          <w:szCs w:val="24"/>
          <w:lang w:val="mn-MN"/>
        </w:rPr>
        <w:lastRenderedPageBreak/>
        <w:t>тэтгэврийн зардлыг төр, иргэн, ажил олгогч санхүүгийн чадавхаа үндэслэн хамтран хариуцаж, ахмад настны амьжиргаанд хүрэлцэхүйц зохистой хэмжээний тэтгэвэр олгох тогтолцоог бүрдүүлэхэд оршино.” гэж, 1.2-т “Тэтгэврийн шинэчлэлийн бодлого нь тэтгэврийн даатгалын хамрах хүрээг нэмэгдүүлж, малчин, хувиараа хөдөлмөр эрхлэгчид зориулсан тусгай хөтөлбөрийг бий болгож, тэтгэврийн тогтолцоонд хувийн хэвшлийн оролцоог сайн дурын нэмэлт даатгалын хэлбэрээр дэмжин, ахмад настан олон эх үүсвэр бүхий тэтгэврийн орлоготой байх нөхцөлийг бүрдүүлж, даатгуулагчийг илүү олон жил хөдөлмөрлөж, тасралтгүй шимтгэл төлөхийг урамшуулна.” гэж тус тус заажээ. Энэхүү тогтоолын 2.1 дэх заалтад "Төрөөс тэтгэврийн шинэчлэлийн талаар баримтлах бодлого"-ын зорилго, зарчимд нийцүүлэн холбогдох хууль тогтоомжийн төслийг боловсруулж, Монгол Улсын Их Хуралд өргөн мэдүүлэхийг Засгийн газарт даалгасан байна.</w:t>
      </w:r>
    </w:p>
    <w:p w14:paraId="42A3DE0C" w14:textId="77777777" w:rsidR="004D3C31" w:rsidRPr="004A68F2" w:rsidRDefault="004D3C31" w:rsidP="002C5654">
      <w:pPr>
        <w:spacing w:after="0" w:line="276" w:lineRule="auto"/>
        <w:ind w:firstLine="720"/>
        <w:contextualSpacing/>
        <w:rPr>
          <w:rFonts w:ascii="Arial" w:hAnsi="Arial" w:cs="Arial"/>
          <w:szCs w:val="24"/>
          <w:lang w:val="mn-MN"/>
        </w:rPr>
      </w:pPr>
    </w:p>
    <w:p w14:paraId="25F49698" w14:textId="1FACC8E6"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Манай улс зах зээлийн эдийн засгийн харилцаанд нийцүүлэн 1994 онд Нийгмийн даатгалын багц хуулийн хүрээнд Нийгмийн даатгалын сангаас олгох тэтгэвэр, тэтгэмжийн тухай 1994 онд баталж, 1995 оноос хэрэгжүү</w:t>
      </w:r>
      <w:r w:rsidRPr="004A68F2">
        <w:rPr>
          <w:rFonts w:ascii="Arial" w:hAnsi="Arial" w:cs="Arial"/>
          <w:szCs w:val="24"/>
          <w:lang w:val="mn-MN" w:bidi="mn-Mong-CN"/>
        </w:rPr>
        <w:t xml:space="preserve">лсэн нь </w:t>
      </w:r>
      <w:r w:rsidRPr="004A68F2">
        <w:rPr>
          <w:rFonts w:ascii="Arial" w:hAnsi="Arial" w:cs="Arial"/>
          <w:szCs w:val="24"/>
          <w:lang w:val="mn-MN"/>
        </w:rPr>
        <w:t>нийгэм, эдийн засгийн хүрээнд хийгдсэн томоохон шинэчлэлийн нэг болсон. Тус хуулиар даатгуулагчид төлсөн шимтгэл, авч байсан цалин хөлс уялдсан тэтгэвэр олгох тогтолцоог бүрдүүлсэн.</w:t>
      </w:r>
    </w:p>
    <w:p w14:paraId="334206A2" w14:textId="77777777" w:rsidR="004D3C31" w:rsidRPr="004A68F2" w:rsidRDefault="004D3C31" w:rsidP="002C5654">
      <w:pPr>
        <w:spacing w:after="0" w:line="276" w:lineRule="auto"/>
        <w:ind w:firstLine="720"/>
        <w:contextualSpacing/>
        <w:rPr>
          <w:rFonts w:ascii="Arial" w:hAnsi="Arial" w:cs="Arial"/>
          <w:szCs w:val="24"/>
          <w:lang w:val="mn-MN"/>
        </w:rPr>
      </w:pPr>
    </w:p>
    <w:p w14:paraId="07053E49" w14:textId="77777777"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Улс орны нийгэм, эдийн засгийн байдал, хүн амын насны бүтэц, дундаж наслалт, хөдөлмөрийн харилцааны хэв шинжийн өөрчлөлттэй холбоотойгоор нийгмийн даатгалын харилцаа нь удаан хугацаанд нэг хэв маягаар үргэлжлэх нь боломжгүй болж байна. Иймд дэлхийн бусад улсын адил манай улс дээрх өөрчлөлтөөс хамаарч нийгмийн даатгалын тогтолцооны болон параметрийн шинэчлэлийг үе шаттай, аажмаар буюу даатгуулагч, ажил олгогч, тэтгэвэр авагч болон улсын төсөвт ачаалал багатайгаар хийж ирсэн.</w:t>
      </w:r>
    </w:p>
    <w:p w14:paraId="11AFE389" w14:textId="77777777" w:rsidR="004D3C31" w:rsidRPr="004A68F2" w:rsidRDefault="004D3C31" w:rsidP="002C5654">
      <w:pPr>
        <w:spacing w:after="0" w:line="276" w:lineRule="auto"/>
        <w:ind w:firstLine="720"/>
        <w:contextualSpacing/>
        <w:rPr>
          <w:rFonts w:ascii="Arial" w:hAnsi="Arial" w:cs="Arial"/>
          <w:szCs w:val="24"/>
          <w:lang w:val="mn-MN"/>
        </w:rPr>
      </w:pPr>
    </w:p>
    <w:p w14:paraId="7B777031" w14:textId="5C4301FB"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Нийгмийн даатгалын санд 2024 онд 5.6 их наяд төгрөгийн орлого төвлөрүүлснээс давхардсан тоогоор 761.9 мянган хүний тэтгэвэр, тэтгэмж, төлбөрт 5.1 их наяд төгрөг зарцуулсан байна. Өөрөөр хэлбэл, нийгмийн даатгалын сан нь улсын төсвийн орлогын 1/5-тэй тэнцэхүйц хэмжээгээр бүрдүүлж, нийт зардлын 17 хувьтай дүйцэх зардлыг олгож ирлээ.</w:t>
      </w:r>
    </w:p>
    <w:p w14:paraId="30180BFA" w14:textId="77777777" w:rsidR="004D3C31" w:rsidRPr="004A68F2" w:rsidRDefault="004D3C31" w:rsidP="002C5654">
      <w:pPr>
        <w:spacing w:after="0" w:line="276" w:lineRule="auto"/>
        <w:ind w:firstLine="720"/>
        <w:contextualSpacing/>
        <w:rPr>
          <w:rFonts w:ascii="Arial" w:hAnsi="Arial" w:cs="Arial"/>
          <w:szCs w:val="24"/>
          <w:lang w:val="mn-MN"/>
        </w:rPr>
      </w:pPr>
    </w:p>
    <w:p w14:paraId="2590392F" w14:textId="77777777"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Цаашид тэтгэврийн даатгалын шинэчлэлийг даатгуулагч, тэтгэвэр авагчид илүү ээлтэй байдлаар үргэлжлүүлэх, хүн ам насжихын хэрээр дундаж наслалт, тэтгэвэр авах хугацаа уртсаж байгаатай холбогдуулан тэтгэврийн хэмжээ буурахаас сэргийлж, ахмад настны амьжиргаанд хүрэлцэхүйц зохистой хэмжээний тэтгэвэр олгох, тэтгэврийн даатгалын сангийн ачааллыг зохистой хэмжээнд хадгалах, цаашлаад залуу үед ирэх ачааллыг багасгах тогтолцоог үе шаттай бүрдүүлэх шаардлага зүй ёсоор тавигдаж байна.</w:t>
      </w:r>
    </w:p>
    <w:p w14:paraId="6DF74287" w14:textId="77777777" w:rsidR="004D3C31" w:rsidRPr="004A68F2" w:rsidRDefault="004D3C31" w:rsidP="002C5654">
      <w:pPr>
        <w:spacing w:after="0" w:line="276" w:lineRule="auto"/>
        <w:ind w:firstLine="720"/>
        <w:contextualSpacing/>
        <w:rPr>
          <w:rFonts w:ascii="Arial" w:hAnsi="Arial" w:cs="Arial"/>
          <w:szCs w:val="24"/>
          <w:lang w:val="mn-MN"/>
        </w:rPr>
      </w:pPr>
    </w:p>
    <w:p w14:paraId="15E04E43" w14:textId="7721B029"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lastRenderedPageBreak/>
        <w:t>Дэлхийн нийтээр ахмад настныг ядуурлаас сэргийлэх, тэтгэвэрт гарах үед амьжиргаанд нь хүрэлцэхүйц зохистой хэмжээний тэтгэвэр олгох тогтолцоог бүрдүүлэхэд анхаарч, тэтгэврийн олон давхаргат тогтолцоог нэвтрүүлж байгаа нийтлэг хандлага байна. Тухайлбал, улс орнуудад 0)улсын төсвөөс санхүүжих халамжийн тэтгэвэр, 1)</w:t>
      </w:r>
      <w:r w:rsidR="004A68F2" w:rsidRPr="004A68F2">
        <w:rPr>
          <w:rFonts w:ascii="Arial" w:hAnsi="Arial" w:cs="Arial"/>
          <w:szCs w:val="24"/>
          <w:lang w:val="mn-MN"/>
        </w:rPr>
        <w:t xml:space="preserve"> </w:t>
      </w:r>
      <w:r w:rsidRPr="004A68F2">
        <w:rPr>
          <w:rFonts w:ascii="Arial" w:hAnsi="Arial" w:cs="Arial"/>
          <w:szCs w:val="24"/>
          <w:lang w:val="mn-MN"/>
        </w:rPr>
        <w:t>албан журмын улсын тэтгэвэр, 2)</w:t>
      </w:r>
      <w:r w:rsidR="004A68F2" w:rsidRPr="004A68F2">
        <w:rPr>
          <w:rFonts w:ascii="Arial" w:hAnsi="Arial" w:cs="Arial"/>
          <w:szCs w:val="24"/>
          <w:lang w:val="mn-MN"/>
        </w:rPr>
        <w:t xml:space="preserve"> </w:t>
      </w:r>
      <w:r w:rsidRPr="004A68F2">
        <w:rPr>
          <w:rFonts w:ascii="Arial" w:hAnsi="Arial" w:cs="Arial"/>
          <w:szCs w:val="24"/>
          <w:lang w:val="mn-MN"/>
        </w:rPr>
        <w:t>албан журмын хувийн тэтгэврийн хуримтлал, 3)</w:t>
      </w:r>
      <w:r w:rsidR="004A68F2" w:rsidRPr="004A68F2">
        <w:rPr>
          <w:rFonts w:ascii="Arial" w:hAnsi="Arial" w:cs="Arial"/>
          <w:szCs w:val="24"/>
          <w:lang w:val="mn-MN"/>
        </w:rPr>
        <w:t xml:space="preserve"> </w:t>
      </w:r>
      <w:r w:rsidRPr="004A68F2">
        <w:rPr>
          <w:rFonts w:ascii="Arial" w:hAnsi="Arial" w:cs="Arial"/>
          <w:szCs w:val="24"/>
          <w:lang w:val="mn-MN"/>
        </w:rPr>
        <w:t>сайн дурын хувийн нэмэлт хуримтлал, 4)</w:t>
      </w:r>
      <w:r w:rsidR="004A68F2" w:rsidRPr="004A68F2">
        <w:rPr>
          <w:rFonts w:ascii="Arial" w:hAnsi="Arial" w:cs="Arial"/>
          <w:szCs w:val="24"/>
          <w:lang w:val="mn-MN"/>
        </w:rPr>
        <w:t xml:space="preserve"> </w:t>
      </w:r>
      <w:r w:rsidRPr="004A68F2">
        <w:rPr>
          <w:rFonts w:ascii="Arial" w:hAnsi="Arial" w:cs="Arial"/>
          <w:szCs w:val="24"/>
          <w:lang w:val="mn-MN"/>
        </w:rPr>
        <w:t>албан бус дэмжлэг, хөрөнгө гэсэн олон давхаргат тэтгэврийн тогтолцоог хөгжүүлэхийг Дэлхий</w:t>
      </w:r>
      <w:r w:rsidR="00AB74D3" w:rsidRPr="004A68F2">
        <w:rPr>
          <w:rFonts w:ascii="Arial" w:hAnsi="Arial" w:cs="Arial"/>
          <w:szCs w:val="24"/>
          <w:lang w:val="mn-MN"/>
        </w:rPr>
        <w:t>н</w:t>
      </w:r>
      <w:r w:rsidRPr="004A68F2">
        <w:rPr>
          <w:rFonts w:ascii="Arial" w:hAnsi="Arial" w:cs="Arial"/>
          <w:szCs w:val="24"/>
          <w:lang w:val="mn-MN"/>
        </w:rPr>
        <w:t xml:space="preserve"> банк зөвлөмж болгодог. </w:t>
      </w:r>
    </w:p>
    <w:p w14:paraId="592721FA" w14:textId="77777777" w:rsidR="004D3C31" w:rsidRPr="004A68F2" w:rsidRDefault="004D3C31" w:rsidP="002C5654">
      <w:pPr>
        <w:spacing w:after="0" w:line="276" w:lineRule="auto"/>
        <w:ind w:firstLine="720"/>
        <w:contextualSpacing/>
        <w:rPr>
          <w:rFonts w:ascii="Arial" w:hAnsi="Arial" w:cs="Arial"/>
          <w:szCs w:val="24"/>
          <w:lang w:val="mn-MN"/>
        </w:rPr>
      </w:pPr>
    </w:p>
    <w:p w14:paraId="4D4F5228" w14:textId="77777777"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Түүнчлэн, тэтгэврийн тогтолцоо нь санхүүгийн хувьд тогтвортой бөгөөд хүртээмжтэй байх тэнцвэрийг хадгалахын зэрэгцээ ахмад настны амьжиргаанд хүрэлцэхүйц зохистой хэмжээний тэтгэвэр олгох, тэтгэвэр нь шударга, таамаглаж болохуйц байх шалгуурыг хангах ёстой.</w:t>
      </w:r>
    </w:p>
    <w:p w14:paraId="0B0D333A" w14:textId="77777777" w:rsidR="005F02DA" w:rsidRPr="004A68F2" w:rsidRDefault="005F02DA" w:rsidP="002C5654">
      <w:pPr>
        <w:spacing w:after="0" w:line="276" w:lineRule="auto"/>
        <w:ind w:firstLine="720"/>
        <w:contextualSpacing/>
        <w:rPr>
          <w:rFonts w:ascii="Arial" w:hAnsi="Arial" w:cs="Arial"/>
          <w:szCs w:val="24"/>
          <w:lang w:val="mn-MN"/>
        </w:rPr>
      </w:pPr>
    </w:p>
    <w:p w14:paraId="55B934EB" w14:textId="75687068"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Монгол Улсын т</w:t>
      </w:r>
      <w:r w:rsidR="00EA4C4E" w:rsidRPr="004A68F2">
        <w:rPr>
          <w:rFonts w:ascii="Arial" w:hAnsi="Arial" w:cs="Arial"/>
          <w:szCs w:val="24"/>
          <w:lang w:val="mn-MN"/>
        </w:rPr>
        <w:t>этгэврийн даатгалын сангаас 2025</w:t>
      </w:r>
      <w:r w:rsidR="0066175F" w:rsidRPr="004A68F2">
        <w:rPr>
          <w:rFonts w:ascii="Arial" w:hAnsi="Arial" w:cs="Arial"/>
          <w:szCs w:val="24"/>
          <w:lang w:val="mn-MN"/>
        </w:rPr>
        <w:t xml:space="preserve"> онд 4.9</w:t>
      </w:r>
      <w:r w:rsidRPr="004A68F2">
        <w:rPr>
          <w:rFonts w:ascii="Arial" w:hAnsi="Arial" w:cs="Arial"/>
          <w:szCs w:val="24"/>
          <w:lang w:val="mn-MN"/>
        </w:rPr>
        <w:t xml:space="preserve"> их наяд төгрөгийг </w:t>
      </w:r>
      <w:r w:rsidR="0066175F" w:rsidRPr="004A68F2">
        <w:rPr>
          <w:rFonts w:ascii="Arial" w:hAnsi="Arial" w:cs="Arial"/>
          <w:szCs w:val="24"/>
          <w:lang w:val="mn-MN"/>
        </w:rPr>
        <w:t>518</w:t>
      </w:r>
      <w:r w:rsidRPr="004A68F2">
        <w:rPr>
          <w:rFonts w:ascii="Arial" w:hAnsi="Arial" w:cs="Arial"/>
          <w:szCs w:val="24"/>
          <w:lang w:val="mn-MN"/>
        </w:rPr>
        <w:t>.</w:t>
      </w:r>
      <w:r w:rsidR="0066175F" w:rsidRPr="004A68F2">
        <w:rPr>
          <w:rFonts w:ascii="Arial" w:hAnsi="Arial" w:cs="Arial"/>
          <w:szCs w:val="24"/>
          <w:lang w:val="mn-MN"/>
        </w:rPr>
        <w:t>7</w:t>
      </w:r>
      <w:r w:rsidRPr="004A68F2">
        <w:rPr>
          <w:rFonts w:ascii="Arial" w:hAnsi="Arial" w:cs="Arial"/>
          <w:szCs w:val="24"/>
          <w:lang w:val="mn-MN"/>
        </w:rPr>
        <w:t xml:space="preserve"> мянган тэтгэвэр авагч (үүнээс 8</w:t>
      </w:r>
      <w:r w:rsidR="0066175F" w:rsidRPr="004A68F2">
        <w:rPr>
          <w:rFonts w:ascii="Arial" w:hAnsi="Arial" w:cs="Arial"/>
          <w:szCs w:val="24"/>
          <w:lang w:val="mn-MN"/>
        </w:rPr>
        <w:t>2.6</w:t>
      </w:r>
      <w:r w:rsidRPr="004A68F2">
        <w:rPr>
          <w:rFonts w:ascii="Arial" w:hAnsi="Arial" w:cs="Arial"/>
          <w:szCs w:val="24"/>
          <w:lang w:val="mn-MN"/>
        </w:rPr>
        <w:t xml:space="preserve"> </w:t>
      </w:r>
      <w:r w:rsidR="0066175F" w:rsidRPr="004A68F2">
        <w:rPr>
          <w:rFonts w:ascii="Arial" w:hAnsi="Arial" w:cs="Arial"/>
          <w:szCs w:val="24"/>
          <w:lang w:val="mn-MN"/>
        </w:rPr>
        <w:t>хувь буюу 428</w:t>
      </w:r>
      <w:r w:rsidRPr="004A68F2">
        <w:rPr>
          <w:rFonts w:ascii="Arial" w:hAnsi="Arial" w:cs="Arial"/>
          <w:szCs w:val="24"/>
          <w:lang w:val="mn-MN"/>
        </w:rPr>
        <w:t>.</w:t>
      </w:r>
      <w:r w:rsidR="0066175F" w:rsidRPr="004A68F2">
        <w:rPr>
          <w:rFonts w:ascii="Arial" w:hAnsi="Arial" w:cs="Arial"/>
          <w:szCs w:val="24"/>
          <w:lang w:val="mn-MN"/>
        </w:rPr>
        <w:t>4</w:t>
      </w:r>
      <w:r w:rsidRPr="004A68F2">
        <w:rPr>
          <w:rFonts w:ascii="Arial" w:hAnsi="Arial" w:cs="Arial"/>
          <w:szCs w:val="24"/>
          <w:lang w:val="mn-MN"/>
        </w:rPr>
        <w:t xml:space="preserve"> мянга нь өндөр насны тэтгэвэр авагч)-ийн тэтгэвэрт зарцуулсан. </w:t>
      </w:r>
    </w:p>
    <w:p w14:paraId="42AD3CB1" w14:textId="77777777" w:rsidR="002C5654" w:rsidRPr="004A68F2" w:rsidRDefault="002C5654" w:rsidP="002C5654">
      <w:pPr>
        <w:spacing w:after="0" w:line="276" w:lineRule="auto"/>
        <w:ind w:firstLine="720"/>
        <w:contextualSpacing/>
        <w:rPr>
          <w:rFonts w:ascii="Arial" w:hAnsi="Arial" w:cs="Arial"/>
          <w:szCs w:val="24"/>
          <w:lang w:val="mn-MN"/>
        </w:rPr>
      </w:pPr>
    </w:p>
    <w:p w14:paraId="773783BF" w14:textId="14B83DA3"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Улсын төсвөөс тэтгэврийн даатгалын санд 2022 онд 840 тэрбум төгрөг, 2023 онд 760 тэрбум, 2024 онд 1.2 их наяд төгрөг</w:t>
      </w:r>
      <w:r w:rsidR="00132774" w:rsidRPr="004A68F2">
        <w:rPr>
          <w:rFonts w:ascii="Arial" w:hAnsi="Arial" w:cs="Arial"/>
          <w:szCs w:val="24"/>
          <w:lang w:val="mn-MN"/>
        </w:rPr>
        <w:t>,</w:t>
      </w:r>
      <w:r w:rsidRPr="004A68F2">
        <w:rPr>
          <w:rFonts w:ascii="Arial" w:hAnsi="Arial" w:cs="Arial"/>
          <w:szCs w:val="24"/>
          <w:lang w:val="mn-MN"/>
        </w:rPr>
        <w:t xml:space="preserve"> 2025 онд 1.45 их наяд төгрөг олго</w:t>
      </w:r>
      <w:r w:rsidR="00132774" w:rsidRPr="004A68F2">
        <w:rPr>
          <w:rFonts w:ascii="Arial" w:hAnsi="Arial" w:cs="Arial"/>
          <w:szCs w:val="24"/>
          <w:lang w:val="mn-MN"/>
        </w:rPr>
        <w:t>сон бол 2026 онд 1.62 их</w:t>
      </w:r>
      <w:r w:rsidR="004A68F2" w:rsidRPr="004A68F2">
        <w:rPr>
          <w:rFonts w:ascii="Arial" w:hAnsi="Arial" w:cs="Arial"/>
          <w:szCs w:val="24"/>
          <w:lang w:val="mn-MN"/>
        </w:rPr>
        <w:t xml:space="preserve"> </w:t>
      </w:r>
      <w:r w:rsidR="00132774" w:rsidRPr="004A68F2">
        <w:rPr>
          <w:rFonts w:ascii="Arial" w:hAnsi="Arial" w:cs="Arial"/>
          <w:szCs w:val="24"/>
          <w:lang w:val="mn-MN"/>
        </w:rPr>
        <w:t>наяд төгрөг олгон</w:t>
      </w:r>
      <w:r w:rsidRPr="004A68F2">
        <w:rPr>
          <w:rFonts w:ascii="Arial" w:hAnsi="Arial" w:cs="Arial"/>
          <w:szCs w:val="24"/>
          <w:lang w:val="mn-MN"/>
        </w:rPr>
        <w:t>о. Цаашид 2030 онд 3.7, 2035 онд 5.7 их наяд төгрөгт хүрэх төлөвтэй байна. (Үүнд 1995 оноос өмнө тэтгэвэр тогтоолгосон иргэдийн болон цэргийн албан хаагчдын</w:t>
      </w:r>
      <w:r w:rsidR="00954A8A" w:rsidRPr="004A68F2">
        <w:rPr>
          <w:rFonts w:ascii="Arial" w:hAnsi="Arial" w:cs="Arial"/>
          <w:szCs w:val="24"/>
          <w:lang w:val="mn-MN"/>
        </w:rPr>
        <w:t>, зарим иргэний</w:t>
      </w:r>
      <w:r w:rsidRPr="004A68F2">
        <w:rPr>
          <w:rFonts w:ascii="Arial" w:hAnsi="Arial" w:cs="Arial"/>
          <w:szCs w:val="24"/>
          <w:lang w:val="mn-MN"/>
        </w:rPr>
        <w:t xml:space="preserve"> тэтгэврийн зардлыг багтсан болно.)</w:t>
      </w:r>
    </w:p>
    <w:p w14:paraId="27C635B1" w14:textId="77777777" w:rsidR="004D3C31" w:rsidRPr="004A68F2" w:rsidRDefault="004D3C31" w:rsidP="002C5654">
      <w:pPr>
        <w:spacing w:after="0" w:line="276" w:lineRule="auto"/>
        <w:ind w:firstLine="720"/>
        <w:contextualSpacing/>
        <w:rPr>
          <w:rFonts w:ascii="Arial" w:hAnsi="Arial" w:cs="Arial"/>
          <w:szCs w:val="24"/>
          <w:lang w:val="mn-MN"/>
        </w:rPr>
      </w:pPr>
    </w:p>
    <w:p w14:paraId="7A069227" w14:textId="77777777"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 xml:space="preserve">Түүнчлэн, Нийгмийн даатгалын сангаас олгох тэтгэврийн тухай хуульд бүрэн тэтгэврийн доод хэмжээг сарын хөдөлмөрийн хөлсний доод хэмжээний 75 хувь, хувь тэнцүүлсэн тэтгэврийн доод хэмжээг сарын хөдөлмөрийн хөлсний доод хэмжээний 50 хувиас багагүй байхаар тус тус заасан. </w:t>
      </w:r>
    </w:p>
    <w:p w14:paraId="6921CD9D" w14:textId="77777777" w:rsidR="004D3C31" w:rsidRPr="004A68F2" w:rsidRDefault="004D3C31" w:rsidP="002C5654">
      <w:pPr>
        <w:spacing w:after="0" w:line="276" w:lineRule="auto"/>
        <w:ind w:firstLine="720"/>
        <w:contextualSpacing/>
        <w:rPr>
          <w:rFonts w:ascii="Arial" w:hAnsi="Arial" w:cs="Arial"/>
          <w:szCs w:val="24"/>
          <w:lang w:val="mn-MN"/>
        </w:rPr>
      </w:pPr>
    </w:p>
    <w:p w14:paraId="50D9EC28" w14:textId="77777777"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Тэтгэвэр авагчдын 45 орчим хувь нь бүрэн тэтгэврийн доод хэмжээ, 16 орчим хувь нь хувь тэнцүүлсэн тэтгэврийн доод хэмжээ авч байна. Тэтгэврийн доод хэмжээг тэтгэврийн хэмжээтэй зэрэгцүүлэн удаа дараа нэмсэн нь сангийн ачааллыг эрс нэмэгдүүлж, тэтгэвэр авагчдын авч байсан цалин хөлс болон шимтгэл төлсөн хугацаанд үндэслэн тогтоосон тэтгэврийн хэмжээ хоорондын хамаарлыг сулруулж байна. Мөн ажилласан жил, шимтгэл төлсөн хугацааг нөхөн тооцох арга хэмжээг хоёр удаа хэрэгжүүлснээр тэтгэвэр авагчдын тоо, сангийн зардал нэмэгдсэн.</w:t>
      </w:r>
    </w:p>
    <w:p w14:paraId="5345987E" w14:textId="77777777" w:rsidR="004D3C31" w:rsidRPr="004A68F2" w:rsidRDefault="004D3C31" w:rsidP="002C5654">
      <w:pPr>
        <w:spacing w:after="0" w:line="276" w:lineRule="auto"/>
        <w:ind w:firstLine="720"/>
        <w:contextualSpacing/>
        <w:rPr>
          <w:rFonts w:ascii="Arial" w:hAnsi="Arial" w:cs="Arial"/>
          <w:szCs w:val="24"/>
          <w:lang w:val="mn-MN"/>
        </w:rPr>
      </w:pPr>
    </w:p>
    <w:p w14:paraId="2FF7EB12" w14:textId="77777777"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 xml:space="preserve">Дэлхийн улс орнууд ахмад настныхаа амьжиргааг хангах, зохистой хэмжээний тэтгэврийг олгох зорилгоор олон давхаргат тэтгэврийн тогтолцооны хүрээнд суурь (нийгмийн) тэтгэврийг олгож байна. Тухайлбал, Нидерланд, Казахстан, Япон улс суурь тэтгэврийг нийт ахмад настанд олгож байгаа бол Австрали, Солонгос, Армени улс </w:t>
      </w:r>
      <w:r w:rsidRPr="004A68F2">
        <w:rPr>
          <w:rFonts w:ascii="Arial" w:hAnsi="Arial" w:cs="Arial"/>
          <w:szCs w:val="24"/>
          <w:lang w:val="mn-MN"/>
        </w:rPr>
        <w:lastRenderedPageBreak/>
        <w:t xml:space="preserve">ахмад настны амьжиргааны түвшнээс хамаарч суурь тэтгэврийг тухайн улсад оршин суусан хугацаа эсхүл, суурь тэтгэвэр олгох насанд хүрсэн тохиолдолд олгодог. </w:t>
      </w:r>
    </w:p>
    <w:p w14:paraId="5501EE73" w14:textId="77777777" w:rsidR="004D3C31" w:rsidRPr="004A68F2" w:rsidRDefault="004D3C31" w:rsidP="002C5654">
      <w:pPr>
        <w:spacing w:after="0" w:line="276" w:lineRule="auto"/>
        <w:ind w:firstLine="720"/>
        <w:contextualSpacing/>
        <w:rPr>
          <w:rFonts w:ascii="Arial" w:hAnsi="Arial" w:cs="Arial"/>
          <w:szCs w:val="24"/>
          <w:lang w:val="mn-MN"/>
        </w:rPr>
      </w:pPr>
    </w:p>
    <w:p w14:paraId="4625949C" w14:textId="77777777"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Манай улс олон давхаргат тэтгэврийн тогтолцоонд шилжих хүрээнд даатгуулагчийн олон жил шимтгэл төлөхийг урамшуулах, тэтгэврийн доод хэмжээг аажмаар халах, ахмад настны амьжиргаанд хүрэлцэхүйц хэмжээний тэтгэвэр олгох зорилгоор суурь тэтгэврийг нэвтрүүлэх, суурь тэтгэврийн зардлыг улсын төсөв болон нийгмийн даатгалын сангаас санхүүжүүлэх шаардлага байна.</w:t>
      </w:r>
    </w:p>
    <w:p w14:paraId="2AC2EE8E" w14:textId="77777777" w:rsidR="004D3C31" w:rsidRPr="004A68F2" w:rsidRDefault="004D3C31" w:rsidP="002C5654">
      <w:pPr>
        <w:spacing w:after="0" w:line="276" w:lineRule="auto"/>
        <w:ind w:firstLine="720"/>
        <w:contextualSpacing/>
        <w:rPr>
          <w:rFonts w:ascii="Arial" w:hAnsi="Arial" w:cs="Arial"/>
          <w:szCs w:val="24"/>
          <w:lang w:val="mn-MN"/>
        </w:rPr>
      </w:pPr>
    </w:p>
    <w:p w14:paraId="134674D0" w14:textId="77777777"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Түүнчлэн, манай улс тэтгэврийн насыг үе шаттай аажмаар нэмэгдүүлж байгаа хэдий ч тэтгэврийн зарим параметрийн шинэчлэлийг хийх шаардлага байсаар байна. Тухайлбал өнөөдрийн мөрдөж буй хуулийн хүрээнд тэтгэврийг тэтгэврийн даатгалын шимтгэл төлж, ажилласан дараалсан 5 жилийн цалин хөлс, түүнтэй адилтгах орлогоос тогтоож байгаа нь ялангуяа нийгмийн даатгалд сайн дураар хамрагдаж байгаа даатгуулагчдыг хөдөлмөр эрхлэх эхэн үедээ орлогоо багаар мэдүүлж, шимтгэл төлөөд тэтгэвэр тогтоолгох дөхсөн сүүлийн жилүүдэд орлогоо зориуд өндрөөр мэдүүлэн шимтгэл төлөх сэдлийг төрүүлж байгаа тул холбогдох хуульд өөрчлөлт хийх шаардлага байна.</w:t>
      </w:r>
    </w:p>
    <w:p w14:paraId="10FBFE05" w14:textId="77777777" w:rsidR="004D3C31" w:rsidRPr="004A68F2" w:rsidRDefault="004D3C31" w:rsidP="002C5654">
      <w:pPr>
        <w:spacing w:after="0" w:line="276" w:lineRule="auto"/>
        <w:ind w:firstLine="720"/>
        <w:contextualSpacing/>
        <w:rPr>
          <w:rFonts w:ascii="Arial" w:hAnsi="Arial" w:cs="Arial"/>
          <w:szCs w:val="24"/>
          <w:lang w:val="mn-MN"/>
        </w:rPr>
      </w:pPr>
    </w:p>
    <w:p w14:paraId="2E4CD0F9" w14:textId="77777777" w:rsidR="004D3C31" w:rsidRPr="004A68F2" w:rsidRDefault="004D3C31"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 xml:space="preserve">Мөн өндөр насны тэтгэврийн ердийн насыг 2018 оноос хойш жил бүр 3 сараар нэмэгдүүлж, 65 насанд хүргэх зохицуулалтыг хэрэгжүүлж байгаа боловч хөдөлмөрийн хэвийн бус, хөнгөлөлттэй нөхцөлийн тэтгэврийн насыг нэмэгдүүлээгүй хэвээр мөрдөж байгаа нь даатгуулагчийн эрт тэтгэвэр тогтоолгох хандлагыг үүсгэж байна. Түүнчлэн, нийт өндөр насны тэтгэвэр авагчдын 44.4 хувь буюу 184.0 мянган тэтгэвэр авагч нь хөнгөлөлттэй буюу эрт тэтгэвэр тогтоолгон авч байна. Тиймээс хөнгөлөлттэй нөхцөлөөр эрт тэтгэвэр тогтоолгож буй тэтгэврийн насыг аажмаар нэмэгдүүлэх зохицуулалт шаардлагатай байна. </w:t>
      </w:r>
    </w:p>
    <w:p w14:paraId="444D7A92" w14:textId="77777777" w:rsidR="007F433C" w:rsidRPr="004A68F2" w:rsidRDefault="007F433C" w:rsidP="002C5654">
      <w:pPr>
        <w:pStyle w:val="ListParagraph"/>
        <w:spacing w:after="0" w:line="276" w:lineRule="auto"/>
        <w:ind w:left="0" w:firstLine="720"/>
        <w:rPr>
          <w:rFonts w:ascii="Arial" w:hAnsi="Arial" w:cs="Arial"/>
          <w:szCs w:val="24"/>
          <w:lang w:val="mn-MN"/>
        </w:rPr>
      </w:pPr>
    </w:p>
    <w:bookmarkEnd w:id="4"/>
    <w:p w14:paraId="0C5632D4" w14:textId="207090FC" w:rsidR="00736317" w:rsidRPr="004A68F2" w:rsidRDefault="00A11E3A" w:rsidP="002C5654">
      <w:pPr>
        <w:pStyle w:val="ListParagraph"/>
        <w:spacing w:after="0" w:line="276" w:lineRule="auto"/>
        <w:ind w:left="0" w:firstLine="720"/>
        <w:rPr>
          <w:rFonts w:ascii="Arial" w:hAnsi="Arial" w:cs="Arial"/>
          <w:szCs w:val="24"/>
          <w:lang w:val="mn-MN"/>
        </w:rPr>
      </w:pPr>
      <w:r w:rsidRPr="004A68F2">
        <w:rPr>
          <w:rFonts w:ascii="Arial" w:hAnsi="Arial" w:cs="Arial"/>
          <w:szCs w:val="24"/>
          <w:lang w:val="mn-MN"/>
        </w:rPr>
        <w:t xml:space="preserve">Иймээс </w:t>
      </w:r>
      <w:r w:rsidR="00C1130C" w:rsidRPr="004A68F2">
        <w:rPr>
          <w:rFonts w:ascii="Arial" w:hAnsi="Arial" w:cs="Arial"/>
          <w:szCs w:val="24"/>
          <w:lang w:val="mn-MN"/>
        </w:rPr>
        <w:t xml:space="preserve">олон улсын нийтлэг жишиг, Дэлхийн банк, </w:t>
      </w:r>
      <w:r w:rsidRPr="004A68F2">
        <w:rPr>
          <w:rFonts w:ascii="Arial" w:hAnsi="Arial" w:cs="Arial"/>
          <w:szCs w:val="24"/>
          <w:lang w:val="mn-MN"/>
        </w:rPr>
        <w:t xml:space="preserve">олон улсын банк, санхүүгийн байгууллагуудын зөвлөмжүүдийг харгалзан одоо мөрдөж байгаа </w:t>
      </w:r>
      <w:r w:rsidR="00C1130C" w:rsidRPr="004A68F2">
        <w:rPr>
          <w:rFonts w:ascii="Arial" w:hAnsi="Arial" w:cs="Arial"/>
          <w:szCs w:val="24"/>
          <w:lang w:val="mn-MN"/>
        </w:rPr>
        <w:t xml:space="preserve">Нийгмийн даатгалын сангаас олгох тэтгэврийн тухай хуульд нэмэлт, өөрчлөлт оруулж суурь тэтгэврийн харилцааг зохицуулах зохицуулалт, тэтгэврийн даатгалын сангийн ачааллыг бууруулах </w:t>
      </w:r>
      <w:r w:rsidR="00736317" w:rsidRPr="004A68F2">
        <w:rPr>
          <w:rFonts w:ascii="Arial" w:hAnsi="Arial" w:cs="Arial"/>
          <w:szCs w:val="24"/>
          <w:lang w:val="mn-MN"/>
        </w:rPr>
        <w:t xml:space="preserve">тулгамдсан асуудлыг шийдвэрлэх бодит хэрэгцээ, шаардлага үүссэн байгаа учир </w:t>
      </w:r>
      <w:r w:rsidR="00C1130C" w:rsidRPr="004A68F2">
        <w:rPr>
          <w:rFonts w:ascii="Arial" w:hAnsi="Arial" w:cs="Arial"/>
          <w:szCs w:val="24"/>
          <w:lang w:val="mn-MN"/>
        </w:rPr>
        <w:t xml:space="preserve">Нийгмийн даатгалын сангаас олгох тэтгэврийн тухай хуулийн </w:t>
      </w:r>
      <w:r w:rsidR="00736317" w:rsidRPr="004A68F2">
        <w:rPr>
          <w:rFonts w:ascii="Arial" w:hAnsi="Arial" w:cs="Arial"/>
          <w:szCs w:val="24"/>
          <w:lang w:val="mn-MN"/>
        </w:rPr>
        <w:t xml:space="preserve">хэрэгжилтийн үр дагаварт </w:t>
      </w:r>
      <w:r w:rsidRPr="004A68F2">
        <w:rPr>
          <w:rFonts w:ascii="Arial" w:hAnsi="Arial" w:cs="Arial"/>
          <w:szCs w:val="24"/>
          <w:lang w:val="mn-MN"/>
        </w:rPr>
        <w:t xml:space="preserve">энэхүү </w:t>
      </w:r>
      <w:r w:rsidR="00736317" w:rsidRPr="004A68F2">
        <w:rPr>
          <w:rFonts w:ascii="Arial" w:hAnsi="Arial" w:cs="Arial"/>
          <w:szCs w:val="24"/>
          <w:lang w:val="mn-MN"/>
        </w:rPr>
        <w:t>үнэлгээ</w:t>
      </w:r>
      <w:r w:rsidRPr="004A68F2">
        <w:rPr>
          <w:rFonts w:ascii="Arial" w:hAnsi="Arial" w:cs="Arial"/>
          <w:szCs w:val="24"/>
          <w:lang w:val="mn-MN"/>
        </w:rPr>
        <w:t>г</w:t>
      </w:r>
      <w:r w:rsidR="00736317" w:rsidRPr="004A68F2">
        <w:rPr>
          <w:rFonts w:ascii="Arial" w:hAnsi="Arial" w:cs="Arial"/>
          <w:szCs w:val="24"/>
          <w:lang w:val="mn-MN"/>
        </w:rPr>
        <w:t xml:space="preserve"> хий</w:t>
      </w:r>
      <w:r w:rsidRPr="004A68F2">
        <w:rPr>
          <w:rFonts w:ascii="Arial" w:hAnsi="Arial" w:cs="Arial"/>
          <w:szCs w:val="24"/>
          <w:lang w:val="mn-MN"/>
        </w:rPr>
        <w:t xml:space="preserve">сэн. </w:t>
      </w:r>
    </w:p>
    <w:p w14:paraId="38426B4C" w14:textId="77777777" w:rsidR="004C0268" w:rsidRPr="004A68F2" w:rsidRDefault="004C0268" w:rsidP="002C5654">
      <w:pPr>
        <w:pStyle w:val="ListParagraph"/>
        <w:spacing w:after="0" w:line="276" w:lineRule="auto"/>
        <w:ind w:left="0"/>
        <w:rPr>
          <w:rFonts w:ascii="Arial" w:hAnsi="Arial" w:cs="Arial"/>
          <w:szCs w:val="24"/>
          <w:lang w:val="mn-MN"/>
        </w:rPr>
      </w:pPr>
    </w:p>
    <w:p w14:paraId="4D312984" w14:textId="78906FF5" w:rsidR="00736317" w:rsidRPr="004A68F2" w:rsidRDefault="00736317" w:rsidP="002C5654">
      <w:pPr>
        <w:pStyle w:val="Heading2"/>
        <w:numPr>
          <w:ilvl w:val="1"/>
          <w:numId w:val="18"/>
        </w:numPr>
        <w:tabs>
          <w:tab w:val="left" w:pos="142"/>
        </w:tabs>
        <w:spacing w:before="0" w:line="276" w:lineRule="auto"/>
        <w:ind w:left="0" w:firstLine="0"/>
        <w:rPr>
          <w:rFonts w:ascii="Arial" w:hAnsi="Arial" w:cs="Arial"/>
          <w:b/>
          <w:bCs/>
          <w:szCs w:val="24"/>
          <w:lang w:val="mn-MN"/>
        </w:rPr>
      </w:pPr>
      <w:bookmarkStart w:id="5" w:name="_Toc196842514"/>
      <w:r w:rsidRPr="004A68F2">
        <w:rPr>
          <w:rFonts w:ascii="Arial" w:hAnsi="Arial" w:cs="Arial"/>
          <w:b/>
          <w:bCs/>
          <w:szCs w:val="24"/>
          <w:lang w:val="mn-MN"/>
        </w:rPr>
        <w:t>Үнэлгээ хийх хүрээ</w:t>
      </w:r>
      <w:bookmarkEnd w:id="5"/>
    </w:p>
    <w:p w14:paraId="7D4E4C5C" w14:textId="77777777" w:rsidR="004012CB" w:rsidRPr="004A68F2" w:rsidRDefault="004012CB" w:rsidP="002C5654">
      <w:pPr>
        <w:spacing w:after="0" w:line="276" w:lineRule="auto"/>
        <w:rPr>
          <w:rFonts w:ascii="Arial" w:hAnsi="Arial" w:cs="Arial"/>
          <w:szCs w:val="24"/>
          <w:lang w:val="mn-MN"/>
        </w:rPr>
      </w:pPr>
    </w:p>
    <w:p w14:paraId="2250C574" w14:textId="2ED12286" w:rsidR="00736317" w:rsidRPr="004A68F2" w:rsidRDefault="00736317" w:rsidP="002C5654">
      <w:pPr>
        <w:pStyle w:val="ListParagraph"/>
        <w:spacing w:after="0" w:line="276" w:lineRule="auto"/>
        <w:ind w:left="0" w:firstLine="720"/>
        <w:rPr>
          <w:rFonts w:ascii="Arial" w:hAnsi="Arial" w:cs="Arial"/>
          <w:szCs w:val="24"/>
          <w:lang w:val="mn-MN"/>
        </w:rPr>
      </w:pPr>
      <w:r w:rsidRPr="004A68F2">
        <w:rPr>
          <w:rFonts w:ascii="Arial" w:hAnsi="Arial" w:cs="Arial"/>
          <w:szCs w:val="24"/>
          <w:lang w:val="mn-MN"/>
        </w:rPr>
        <w:t xml:space="preserve">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 Аргачлалын 3 дугаар зүйлийн </w:t>
      </w:r>
      <w:r w:rsidRPr="004A68F2">
        <w:rPr>
          <w:rFonts w:ascii="Arial" w:hAnsi="Arial" w:cs="Arial"/>
          <w:szCs w:val="24"/>
          <w:lang w:val="mn-MN"/>
        </w:rPr>
        <w:lastRenderedPageBreak/>
        <w:t>3.3.1-д “үнэлгээ хийх хүрээг тогтоох ажиллагаа нь хууль тогтоомжийн хэрэгжилтийн үр дагаврыг судлах явцад агуулгын хувьд ач холбогдолтой, нөлөөлөл үзүүлэх хамгийн гол зохицуулалтыг тодорхойлоход чиглэнэ” хэмээн заасан байна.</w:t>
      </w:r>
    </w:p>
    <w:p w14:paraId="5EF196D3" w14:textId="77777777" w:rsidR="007F433C" w:rsidRPr="004A68F2" w:rsidRDefault="007F433C" w:rsidP="002C5654">
      <w:pPr>
        <w:pStyle w:val="ListParagraph"/>
        <w:spacing w:after="0" w:line="276" w:lineRule="auto"/>
        <w:ind w:left="0" w:firstLine="720"/>
        <w:rPr>
          <w:rFonts w:ascii="Arial" w:hAnsi="Arial" w:cs="Arial"/>
          <w:szCs w:val="24"/>
          <w:lang w:val="mn-MN"/>
        </w:rPr>
      </w:pPr>
    </w:p>
    <w:p w14:paraId="56C5ACB4" w14:textId="4EE767CC" w:rsidR="00C1130C" w:rsidRPr="004A68F2" w:rsidRDefault="00C1130C" w:rsidP="002C5654">
      <w:pPr>
        <w:pStyle w:val="Normal1"/>
        <w:widowControl/>
        <w:spacing w:after="0" w:line="276" w:lineRule="auto"/>
        <w:ind w:firstLine="720"/>
        <w:jc w:val="both"/>
        <w:rPr>
          <w:color w:val="auto"/>
          <w:lang w:val="mn-MN"/>
        </w:rPr>
      </w:pPr>
      <w:r w:rsidRPr="004A68F2">
        <w:rPr>
          <w:color w:val="auto"/>
          <w:lang w:val="mn-MN"/>
        </w:rPr>
        <w:t>Нийгмийн даатгалын тогтолцоо нь төр, иргэн, аж ахуйн нэгж</w:t>
      </w:r>
      <w:r w:rsidR="000D19AE" w:rsidRPr="004A68F2">
        <w:rPr>
          <w:color w:val="auto"/>
          <w:lang w:val="mn-MN"/>
        </w:rPr>
        <w:t>,</w:t>
      </w:r>
      <w:r w:rsidRPr="004A68F2">
        <w:rPr>
          <w:color w:val="auto"/>
          <w:lang w:val="mn-MN"/>
        </w:rPr>
        <w:t xml:space="preserve"> байгууллагаас хууль тогтоомжид заасан хувь хэмжээ, журмын дагуу зохих хэмжээний шимтгэл төлж, улмаар нийгмийн даатгалын сан бүрдүүлж, даатгуулагч нь өндөр наслах, хөдөлмөрийн чадвараа түр буюу урт хугацаагаар алдах, ажилгүй болох, өвчлөх тохиолдолд даатгуулагчид өөрт нь, хэрэв тухайн даатгуулагч нас барвал түүний </w:t>
      </w:r>
      <w:proofErr w:type="spellStart"/>
      <w:r w:rsidRPr="004A68F2">
        <w:rPr>
          <w:color w:val="auto"/>
          <w:lang w:val="mn-MN"/>
        </w:rPr>
        <w:t>асрамжинд</w:t>
      </w:r>
      <w:proofErr w:type="spellEnd"/>
      <w:r w:rsidRPr="004A68F2">
        <w:rPr>
          <w:color w:val="auto"/>
          <w:lang w:val="mn-MN"/>
        </w:rPr>
        <w:t xml:space="preserve"> байсан насанд хүрээгүй, хөдөлмөрийн чадваргүй этгээдэд хууль, тогтоомжид заасны дагуу тэтгэвэр, тэтгэмж, төлбөр олгох агуулга бүхий нийгэм, эдийн засгийн шинжтэй цогц арга хэмжээ юм. </w:t>
      </w:r>
    </w:p>
    <w:p w14:paraId="5830B0CD" w14:textId="77777777" w:rsidR="005F02DA" w:rsidRPr="004A68F2" w:rsidRDefault="005F02DA" w:rsidP="002C5654">
      <w:pPr>
        <w:spacing w:after="0" w:line="276" w:lineRule="auto"/>
        <w:ind w:firstLine="720"/>
        <w:rPr>
          <w:rFonts w:ascii="Arial" w:eastAsia="Arial" w:hAnsi="Arial" w:cs="Arial"/>
          <w:szCs w:val="24"/>
          <w:lang w:val="mn-MN"/>
          <w14:ligatures w14:val="none"/>
        </w:rPr>
      </w:pPr>
    </w:p>
    <w:p w14:paraId="24568300" w14:textId="05C64793" w:rsidR="00C1130C" w:rsidRPr="004A68F2" w:rsidRDefault="00C1130C" w:rsidP="002C5654">
      <w:pPr>
        <w:spacing w:after="0" w:line="276" w:lineRule="auto"/>
        <w:ind w:firstLine="720"/>
        <w:rPr>
          <w:rFonts w:ascii="Arial" w:eastAsia="Arial" w:hAnsi="Arial" w:cs="Arial"/>
          <w:szCs w:val="24"/>
          <w:lang w:val="mn-MN"/>
          <w14:ligatures w14:val="none"/>
        </w:rPr>
      </w:pPr>
      <w:r w:rsidRPr="004A68F2">
        <w:rPr>
          <w:rFonts w:ascii="Arial" w:eastAsia="Arial" w:hAnsi="Arial" w:cs="Arial"/>
          <w:szCs w:val="24"/>
          <w:lang w:val="mn-MN"/>
          <w14:ligatures w14:val="none"/>
        </w:rPr>
        <w:t xml:space="preserve">Нийгмийн даатгалын харилцаа нь удаан хугацаанд нэг хэв маягаар үргэлжлэх нь бараг боломжгүй бөгөөд манай улсын хувьд 1995 оноос хойш </w:t>
      </w:r>
      <w:r w:rsidR="000D19AE" w:rsidRPr="004A68F2">
        <w:rPr>
          <w:rFonts w:ascii="Arial" w:eastAsia="Arial" w:hAnsi="Arial" w:cs="Arial"/>
          <w:szCs w:val="24"/>
          <w:lang w:val="mn-MN"/>
          <w14:ligatures w14:val="none"/>
        </w:rPr>
        <w:t>г</w:t>
      </w:r>
      <w:r w:rsidRPr="004A68F2">
        <w:rPr>
          <w:rFonts w:ascii="Arial" w:eastAsia="Arial" w:hAnsi="Arial" w:cs="Arial"/>
          <w:szCs w:val="24"/>
          <w:lang w:val="mn-MN"/>
          <w14:ligatures w14:val="none"/>
        </w:rPr>
        <w:t xml:space="preserve">арч байгаа хүн ам зүйн бүтэц, амьдралын хэв маяг, хөдөлмөрийн харилцааны олон төрөл хэлбэрүүд, эдийн засгийн нөхцөл байдал, нийгмийн даатгалын хамралт, нийгмийн даатгалын сангийн орлого, зарлагын бүтэц зэргээс хамааран Нийгмийн даатгалын багц хуулийн шинэчилсэн найруулгыг 2023 онд Улсын Их Хурлаас хэлэлцэн баталж, 2024 оноос хэрэгжүүлж байгаа боловч зарим асуудлыг шийдвэрлэж чадахгүй байна. </w:t>
      </w:r>
    </w:p>
    <w:p w14:paraId="4993EC6F" w14:textId="77777777" w:rsidR="00C1130C" w:rsidRPr="004A68F2" w:rsidRDefault="00C1130C" w:rsidP="002C5654">
      <w:pPr>
        <w:spacing w:after="0" w:line="276" w:lineRule="auto"/>
        <w:rPr>
          <w:rFonts w:ascii="Arial" w:eastAsia="Arial" w:hAnsi="Arial" w:cs="Arial"/>
          <w:szCs w:val="24"/>
          <w:lang w:val="mn-MN"/>
          <w14:ligatures w14:val="none"/>
        </w:rPr>
      </w:pPr>
    </w:p>
    <w:p w14:paraId="0A9A6A40" w14:textId="61328153" w:rsidR="00576611" w:rsidRPr="004A68F2" w:rsidRDefault="008F629B"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Иймд </w:t>
      </w:r>
      <w:r w:rsidR="00C1130C" w:rsidRPr="004A68F2">
        <w:rPr>
          <w:rFonts w:ascii="Arial" w:hAnsi="Arial" w:cs="Arial"/>
          <w:szCs w:val="24"/>
          <w:lang w:val="mn-MN"/>
        </w:rPr>
        <w:t xml:space="preserve">Нийгмийн даатгалын сангаас олгох тэтгэврийн тухай хуулийн </w:t>
      </w:r>
      <w:r w:rsidR="005F02DA" w:rsidRPr="004A68F2">
        <w:rPr>
          <w:rFonts w:ascii="Arial" w:hAnsi="Arial" w:cs="Arial"/>
          <w:szCs w:val="24"/>
          <w:lang w:val="mn-MN"/>
        </w:rPr>
        <w:t xml:space="preserve">3, </w:t>
      </w:r>
      <w:r w:rsidRPr="004A68F2">
        <w:rPr>
          <w:rFonts w:ascii="Arial" w:hAnsi="Arial" w:cs="Arial"/>
          <w:szCs w:val="24"/>
          <w:lang w:val="mn-MN"/>
        </w:rPr>
        <w:t>5, 6,</w:t>
      </w:r>
      <w:r w:rsidR="009F0350" w:rsidRPr="004A68F2">
        <w:rPr>
          <w:rFonts w:ascii="Arial" w:hAnsi="Arial" w:cs="Arial"/>
          <w:szCs w:val="24"/>
          <w:lang w:val="mn-MN"/>
        </w:rPr>
        <w:t xml:space="preserve"> 9, 20</w:t>
      </w:r>
      <w:r w:rsidRPr="004A68F2">
        <w:rPr>
          <w:rFonts w:ascii="Arial" w:hAnsi="Arial" w:cs="Arial"/>
          <w:szCs w:val="24"/>
          <w:lang w:val="mn-MN"/>
        </w:rPr>
        <w:t xml:space="preserve"> </w:t>
      </w:r>
      <w:r w:rsidR="00D12B6F" w:rsidRPr="004A68F2">
        <w:rPr>
          <w:rFonts w:ascii="Arial" w:hAnsi="Arial" w:cs="Arial"/>
          <w:szCs w:val="24"/>
          <w:lang w:val="mn-MN"/>
        </w:rPr>
        <w:t>дугаар</w:t>
      </w:r>
      <w:r w:rsidR="005F02DA" w:rsidRPr="004A68F2">
        <w:rPr>
          <w:rFonts w:ascii="Arial" w:hAnsi="Arial" w:cs="Arial"/>
          <w:szCs w:val="24"/>
          <w:lang w:val="mn-MN"/>
        </w:rPr>
        <w:t xml:space="preserve"> зүйлүүд</w:t>
      </w:r>
      <w:r w:rsidRPr="004A68F2">
        <w:rPr>
          <w:rFonts w:ascii="Arial" w:hAnsi="Arial" w:cs="Arial"/>
          <w:szCs w:val="24"/>
          <w:lang w:val="mn-MN"/>
        </w:rPr>
        <w:t xml:space="preserve"> болон тэдгээрт холбогдох зохицуулалтуудыг үнэлгээ хийх хүрээнд хамруулах нь зүйтэй гэж үзлээ. </w:t>
      </w:r>
    </w:p>
    <w:p w14:paraId="638A9C3C" w14:textId="77777777" w:rsidR="004C0268" w:rsidRPr="004A68F2" w:rsidRDefault="004C0268" w:rsidP="002C5654">
      <w:pPr>
        <w:spacing w:after="0" w:line="276" w:lineRule="auto"/>
        <w:rPr>
          <w:rFonts w:ascii="Arial" w:hAnsi="Arial" w:cs="Arial"/>
          <w:szCs w:val="24"/>
          <w:lang w:val="mn-MN"/>
        </w:rPr>
      </w:pPr>
    </w:p>
    <w:p w14:paraId="4C62ADC3" w14:textId="5ECBB65A" w:rsidR="008F629B" w:rsidRPr="004A68F2" w:rsidRDefault="008F629B" w:rsidP="002C5654">
      <w:pPr>
        <w:pStyle w:val="Heading2"/>
        <w:numPr>
          <w:ilvl w:val="1"/>
          <w:numId w:val="18"/>
        </w:numPr>
        <w:spacing w:before="0" w:line="276" w:lineRule="auto"/>
        <w:ind w:left="0" w:firstLine="0"/>
        <w:rPr>
          <w:rFonts w:ascii="Arial" w:hAnsi="Arial" w:cs="Arial"/>
          <w:b/>
          <w:bCs/>
          <w:szCs w:val="24"/>
          <w:lang w:val="mn-MN"/>
        </w:rPr>
      </w:pPr>
      <w:bookmarkStart w:id="6" w:name="_Toc196842515"/>
      <w:r w:rsidRPr="004A68F2">
        <w:rPr>
          <w:rFonts w:ascii="Arial" w:hAnsi="Arial" w:cs="Arial"/>
          <w:b/>
          <w:bCs/>
          <w:szCs w:val="24"/>
          <w:lang w:val="mn-MN"/>
        </w:rPr>
        <w:t>Үнэлгээ хийх шалгуур үзүүлэлт</w:t>
      </w:r>
      <w:bookmarkEnd w:id="6"/>
    </w:p>
    <w:p w14:paraId="62E612FE" w14:textId="77777777" w:rsidR="004012CB" w:rsidRPr="004A68F2" w:rsidRDefault="004012CB" w:rsidP="002C5654">
      <w:pPr>
        <w:spacing w:after="0" w:line="276" w:lineRule="auto"/>
        <w:rPr>
          <w:rFonts w:ascii="Arial" w:hAnsi="Arial" w:cs="Arial"/>
          <w:szCs w:val="24"/>
          <w:lang w:val="mn-MN"/>
        </w:rPr>
      </w:pPr>
    </w:p>
    <w:p w14:paraId="5FC876ED" w14:textId="08B27DA7" w:rsidR="00E26C1E" w:rsidRPr="004A68F2" w:rsidRDefault="00E26C1E" w:rsidP="002C5654">
      <w:pPr>
        <w:spacing w:after="0" w:line="276" w:lineRule="auto"/>
        <w:ind w:firstLine="720"/>
        <w:rPr>
          <w:rFonts w:ascii="Arial" w:hAnsi="Arial" w:cs="Arial"/>
          <w:szCs w:val="24"/>
          <w:lang w:val="mn-MN"/>
        </w:rPr>
      </w:pPr>
      <w:r w:rsidRPr="004A68F2">
        <w:rPr>
          <w:rFonts w:ascii="Arial" w:hAnsi="Arial" w:cs="Arial"/>
          <w:szCs w:val="24"/>
          <w:lang w:val="mn-MN"/>
        </w:rPr>
        <w:t>Аргачлалын 3 дугаар зүйлийн 3.4-т Хууль тогтоомжийн хэрэгжилтийн үр дагаврыг тодорхойлоход сонгох шалгуур үзүүлэлтүүдийн жагсаалтыг тусгасан бөгөөд энэхүү шалгуур үзүүлэлтүүдээс дараах 2 шалгуур үзүүлэлтийг сонгож байна. Үүнд:</w:t>
      </w:r>
    </w:p>
    <w:p w14:paraId="328449C7" w14:textId="77777777" w:rsidR="005F02DA" w:rsidRPr="004A68F2" w:rsidRDefault="005F02DA" w:rsidP="002C5654">
      <w:pPr>
        <w:spacing w:after="0" w:line="276" w:lineRule="auto"/>
        <w:ind w:firstLine="720"/>
        <w:rPr>
          <w:rFonts w:ascii="Arial" w:hAnsi="Arial" w:cs="Arial"/>
          <w:szCs w:val="24"/>
          <w:lang w:val="mn-MN"/>
        </w:rPr>
      </w:pPr>
    </w:p>
    <w:p w14:paraId="2B7DA8FC" w14:textId="45996E0B" w:rsidR="004F5E6F" w:rsidRPr="004A68F2" w:rsidRDefault="005F02DA" w:rsidP="002C5654">
      <w:pPr>
        <w:spacing w:after="0" w:line="276" w:lineRule="auto"/>
        <w:ind w:firstLine="720"/>
        <w:rPr>
          <w:rFonts w:ascii="Arial" w:hAnsi="Arial" w:cs="Arial"/>
          <w:szCs w:val="24"/>
          <w:lang w:val="mn-MN"/>
        </w:rPr>
      </w:pPr>
      <w:r w:rsidRPr="004A68F2">
        <w:rPr>
          <w:rFonts w:ascii="Arial" w:hAnsi="Arial" w:cs="Arial"/>
          <w:szCs w:val="24"/>
          <w:lang w:val="mn-MN"/>
        </w:rPr>
        <w:t>Аргачлалын 3.4.1-д</w:t>
      </w:r>
      <w:r w:rsidR="004F5E6F" w:rsidRPr="004A68F2">
        <w:rPr>
          <w:rFonts w:ascii="Arial" w:hAnsi="Arial" w:cs="Arial"/>
          <w:szCs w:val="24"/>
          <w:lang w:val="mn-MN"/>
        </w:rPr>
        <w:t xml:space="preserve"> заасан “зорилгод хүрсэн түвшин”. Энэхүү шалгуур үзүүлэлтийн хувьд тухайн хууль тогтоомж хэрэгжиж эхэлснээс </w:t>
      </w:r>
      <w:r w:rsidR="004A68F2" w:rsidRPr="004A68F2">
        <w:rPr>
          <w:rFonts w:ascii="Arial" w:hAnsi="Arial" w:cs="Arial"/>
          <w:szCs w:val="24"/>
          <w:lang w:val="mn-MN"/>
        </w:rPr>
        <w:t>хойших</w:t>
      </w:r>
      <w:r w:rsidR="004F5E6F" w:rsidRPr="004A68F2">
        <w:rPr>
          <w:rFonts w:ascii="Arial" w:hAnsi="Arial" w:cs="Arial"/>
          <w:szCs w:val="24"/>
          <w:lang w:val="mn-MN"/>
        </w:rPr>
        <w:t xml:space="preserve"> хугацаанд хуулийн зорилго, зорилтдоо</w:t>
      </w:r>
      <w:r w:rsidR="00440070" w:rsidRPr="004A68F2">
        <w:rPr>
          <w:rFonts w:ascii="Arial" w:hAnsi="Arial" w:cs="Arial"/>
          <w:szCs w:val="24"/>
          <w:lang w:val="mn-MN"/>
        </w:rPr>
        <w:t xml:space="preserve"> </w:t>
      </w:r>
      <w:r w:rsidR="004F5E6F" w:rsidRPr="004A68F2">
        <w:rPr>
          <w:rFonts w:ascii="Arial" w:hAnsi="Arial" w:cs="Arial"/>
          <w:szCs w:val="24"/>
          <w:lang w:val="mn-MN"/>
        </w:rPr>
        <w:t>хүрсэн эсэхийг тогтоо</w:t>
      </w:r>
      <w:r w:rsidR="004B36B6" w:rsidRPr="004A68F2">
        <w:rPr>
          <w:rFonts w:ascii="Arial" w:hAnsi="Arial" w:cs="Arial"/>
          <w:szCs w:val="24"/>
          <w:lang w:val="mn-MN"/>
        </w:rPr>
        <w:t>х, а</w:t>
      </w:r>
      <w:r w:rsidR="004F5E6F" w:rsidRPr="004A68F2">
        <w:rPr>
          <w:rFonts w:ascii="Arial" w:hAnsi="Arial" w:cs="Arial"/>
          <w:szCs w:val="24"/>
          <w:lang w:val="mn-MN"/>
        </w:rPr>
        <w:t>ргачлалын 3.4.5-д заасан “практикт нийцэж байгаа байдал”. Энэхүү шалгуур үзүүлэлтийн хүрээнд тухайн хууль тогтоомжийн зохицуулалт хэрхэн хэрэгжиж байгаа, түүний эерэг болон сөрөг үр дагавар хэрэгжүүлэхэд хүндрэл гарч байгаа эсэх</w:t>
      </w:r>
      <w:r w:rsidR="004B36B6" w:rsidRPr="004A68F2">
        <w:rPr>
          <w:rFonts w:ascii="Arial" w:hAnsi="Arial" w:cs="Arial"/>
          <w:szCs w:val="24"/>
          <w:lang w:val="mn-MN"/>
        </w:rPr>
        <w:t xml:space="preserve"> зэргийг </w:t>
      </w:r>
      <w:r w:rsidR="004F5E6F" w:rsidRPr="004A68F2">
        <w:rPr>
          <w:rFonts w:ascii="Arial" w:hAnsi="Arial" w:cs="Arial"/>
          <w:szCs w:val="24"/>
          <w:lang w:val="mn-MN"/>
        </w:rPr>
        <w:t xml:space="preserve"> тодорхойлно. </w:t>
      </w:r>
    </w:p>
    <w:p w14:paraId="61FA650C" w14:textId="77777777" w:rsidR="004C0268" w:rsidRPr="004A68F2" w:rsidRDefault="004C0268" w:rsidP="002C5654">
      <w:pPr>
        <w:spacing w:after="0" w:line="276" w:lineRule="auto"/>
        <w:rPr>
          <w:rFonts w:ascii="Arial" w:hAnsi="Arial" w:cs="Arial"/>
          <w:szCs w:val="24"/>
          <w:lang w:val="mn-MN"/>
        </w:rPr>
      </w:pPr>
    </w:p>
    <w:p w14:paraId="0326D088" w14:textId="16EF2EB6" w:rsidR="004F5E6F" w:rsidRPr="004A68F2" w:rsidRDefault="004F5E6F" w:rsidP="002C5654">
      <w:pPr>
        <w:pStyle w:val="Heading3"/>
        <w:numPr>
          <w:ilvl w:val="2"/>
          <w:numId w:val="18"/>
        </w:numPr>
        <w:spacing w:before="0" w:line="276" w:lineRule="auto"/>
        <w:ind w:left="0" w:firstLine="0"/>
        <w:rPr>
          <w:rFonts w:ascii="Arial" w:hAnsi="Arial" w:cs="Arial"/>
          <w:lang w:val="mn-MN"/>
        </w:rPr>
      </w:pPr>
      <w:bookmarkStart w:id="7" w:name="_Toc196842516"/>
      <w:r w:rsidRPr="004A68F2">
        <w:rPr>
          <w:rFonts w:ascii="Arial" w:hAnsi="Arial" w:cs="Arial"/>
          <w:lang w:val="mn-MN"/>
        </w:rPr>
        <w:t>“Зорилгод хүрсэн түвшин” шалгуур</w:t>
      </w:r>
      <w:bookmarkEnd w:id="7"/>
      <w:r w:rsidRPr="004A68F2">
        <w:rPr>
          <w:rFonts w:ascii="Arial" w:hAnsi="Arial" w:cs="Arial"/>
          <w:lang w:val="mn-MN"/>
        </w:rPr>
        <w:t xml:space="preserve"> </w:t>
      </w:r>
    </w:p>
    <w:p w14:paraId="315D015D" w14:textId="37ED5A63" w:rsidR="00765538" w:rsidRPr="004A68F2" w:rsidRDefault="00765538"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Энэхүү шалгуур үзүүлэлтээр тухайн хууль тогтоомж хэрэгжиж эхэлснээс хойш хугацаанд хуулийн зорилго, зорилтдоо хүрсэн эсэхийг тогтоохыг зорьдог. </w:t>
      </w:r>
      <w:r w:rsidR="007F433C" w:rsidRPr="004A68F2">
        <w:rPr>
          <w:rFonts w:ascii="Arial" w:hAnsi="Arial" w:cs="Arial"/>
          <w:szCs w:val="24"/>
          <w:lang w:val="mn-MN"/>
        </w:rPr>
        <w:t xml:space="preserve"> </w:t>
      </w:r>
      <w:r w:rsidR="0069026A" w:rsidRPr="004A68F2">
        <w:rPr>
          <w:rFonts w:ascii="Arial" w:hAnsi="Arial" w:cs="Arial"/>
          <w:szCs w:val="24"/>
          <w:lang w:val="mn-MN"/>
        </w:rPr>
        <w:t xml:space="preserve">Нийгмийн </w:t>
      </w:r>
      <w:r w:rsidR="0069026A" w:rsidRPr="004A68F2">
        <w:rPr>
          <w:rFonts w:ascii="Arial" w:hAnsi="Arial" w:cs="Arial"/>
          <w:szCs w:val="24"/>
          <w:lang w:val="mn-MN"/>
        </w:rPr>
        <w:lastRenderedPageBreak/>
        <w:t xml:space="preserve">даатгалын сангаас олгох тэтгэврийн тухай хуулийн </w:t>
      </w:r>
      <w:r w:rsidRPr="004A68F2">
        <w:rPr>
          <w:rFonts w:ascii="Arial" w:hAnsi="Arial" w:cs="Arial"/>
          <w:szCs w:val="24"/>
          <w:lang w:val="mn-MN"/>
        </w:rPr>
        <w:t>1 дүгээр зүйлийн 1.1 дэх хэсэгт “</w:t>
      </w:r>
      <w:r w:rsidR="00440070" w:rsidRPr="004A68F2">
        <w:rPr>
          <w:rFonts w:ascii="Arial" w:hAnsi="Arial" w:cs="Arial"/>
          <w:szCs w:val="24"/>
          <w:lang w:val="mn-MN"/>
        </w:rPr>
        <w:t>Энэ хуулийн зорилт нь Нийгмийн даатгалын ерөнхий хуульд заасны дагуу шимтгэл төлсөн даатгуулагчид тэтгэврийн даатгалын сангаас тэтгэвэр тогтоох, олгохтой холбогдсон харилцааг зохицуулахад оршино</w:t>
      </w:r>
      <w:r w:rsidR="00967ED5" w:rsidRPr="004A68F2">
        <w:rPr>
          <w:rFonts w:ascii="Arial" w:hAnsi="Arial" w:cs="Arial"/>
          <w:szCs w:val="24"/>
          <w:lang w:val="mn-MN"/>
        </w:rPr>
        <w:t xml:space="preserve">” гэж заасан. </w:t>
      </w:r>
    </w:p>
    <w:p w14:paraId="7E92F40D" w14:textId="77777777" w:rsidR="007F433C" w:rsidRPr="004A68F2" w:rsidRDefault="007F433C" w:rsidP="002C5654">
      <w:pPr>
        <w:spacing w:after="0" w:line="276" w:lineRule="auto"/>
        <w:ind w:firstLine="720"/>
        <w:rPr>
          <w:rFonts w:ascii="Arial" w:hAnsi="Arial" w:cs="Arial"/>
          <w:szCs w:val="24"/>
          <w:lang w:val="mn-MN"/>
        </w:rPr>
      </w:pPr>
    </w:p>
    <w:p w14:paraId="1C0CA4C5" w14:textId="3B2F006D" w:rsidR="00ED55C1" w:rsidRPr="004A68F2" w:rsidRDefault="00440070"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 xml:space="preserve">Нийгмийн даатгалын сангаас олгох тэтгэврийн тухай хуулийн зорилт нь </w:t>
      </w:r>
      <w:r w:rsidR="003906C9" w:rsidRPr="004A68F2">
        <w:rPr>
          <w:rFonts w:ascii="Arial" w:hAnsi="Arial" w:cs="Arial"/>
          <w:szCs w:val="24"/>
          <w:lang w:val="mn-MN"/>
        </w:rPr>
        <w:t xml:space="preserve">бүхэлдээ Үндсэн хуулийн </w:t>
      </w:r>
      <w:proofErr w:type="spellStart"/>
      <w:r w:rsidR="00EE2ACF" w:rsidRPr="004A68F2">
        <w:rPr>
          <w:rFonts w:ascii="Arial" w:hAnsi="Arial" w:cs="Arial"/>
          <w:szCs w:val="24"/>
          <w:lang w:val="mn-MN"/>
        </w:rPr>
        <w:t>Арванз</w:t>
      </w:r>
      <w:r w:rsidR="003906C9" w:rsidRPr="004A68F2">
        <w:rPr>
          <w:rFonts w:ascii="Arial" w:hAnsi="Arial" w:cs="Arial"/>
          <w:szCs w:val="24"/>
          <w:lang w:val="mn-MN"/>
        </w:rPr>
        <w:t>ургадугаар</w:t>
      </w:r>
      <w:proofErr w:type="spellEnd"/>
      <w:r w:rsidR="003906C9" w:rsidRPr="004A68F2">
        <w:rPr>
          <w:rFonts w:ascii="Arial" w:hAnsi="Arial" w:cs="Arial"/>
          <w:szCs w:val="24"/>
          <w:lang w:val="mn-MN"/>
        </w:rPr>
        <w:t xml:space="preserve"> зүйлийн </w:t>
      </w:r>
      <w:r w:rsidR="00EE2ACF" w:rsidRPr="004A68F2">
        <w:rPr>
          <w:rFonts w:ascii="Arial" w:hAnsi="Arial" w:cs="Arial"/>
          <w:szCs w:val="24"/>
          <w:lang w:val="mn-MN"/>
        </w:rPr>
        <w:t>5</w:t>
      </w:r>
      <w:r w:rsidR="003906C9" w:rsidRPr="004A68F2">
        <w:rPr>
          <w:rFonts w:ascii="Arial" w:hAnsi="Arial" w:cs="Arial"/>
          <w:szCs w:val="24"/>
          <w:lang w:val="mn-MN"/>
        </w:rPr>
        <w:t xml:space="preserve"> дах</w:t>
      </w:r>
      <w:r w:rsidR="00EE2ACF" w:rsidRPr="004A68F2">
        <w:rPr>
          <w:rFonts w:ascii="Arial" w:hAnsi="Arial" w:cs="Arial"/>
          <w:szCs w:val="24"/>
          <w:lang w:val="mn-MN"/>
        </w:rPr>
        <w:t>ь</w:t>
      </w:r>
      <w:r w:rsidR="003906C9" w:rsidRPr="004A68F2">
        <w:rPr>
          <w:rFonts w:ascii="Arial" w:hAnsi="Arial" w:cs="Arial"/>
          <w:szCs w:val="24"/>
          <w:lang w:val="mn-MN"/>
        </w:rPr>
        <w:t xml:space="preserve"> хэсгийг хэрэгжүүлж чад</w:t>
      </w:r>
      <w:r w:rsidR="00EE2ACF" w:rsidRPr="004A68F2">
        <w:rPr>
          <w:rFonts w:ascii="Arial" w:hAnsi="Arial" w:cs="Arial"/>
          <w:szCs w:val="24"/>
          <w:lang w:val="mn-MN"/>
        </w:rPr>
        <w:t>аж буй эс</w:t>
      </w:r>
      <w:r w:rsidR="003906C9" w:rsidRPr="004A68F2">
        <w:rPr>
          <w:rFonts w:ascii="Arial" w:hAnsi="Arial" w:cs="Arial"/>
          <w:szCs w:val="24"/>
          <w:lang w:val="mn-MN"/>
        </w:rPr>
        <w:t>эхийг, түүнчлэн</w:t>
      </w:r>
      <w:r w:rsidR="006C36FF" w:rsidRPr="004A68F2">
        <w:rPr>
          <w:rFonts w:ascii="Arial" w:hAnsi="Arial" w:cs="Arial"/>
          <w:szCs w:val="24"/>
          <w:lang w:val="mn-MN"/>
        </w:rPr>
        <w:t>, Монгол Улсын Их Хурлын 2020 оны 52 дугаар тогтоолын 1 дүгээр хавсралтаар баталсан ““Алсын хараа-2050” Монгол Улсын урт хугацааны хөгжлийн бодлого”-ын 3.1-д ”Амьдралын баталгааг хангах нийгмийн хамгааллын үйлчилгээг хөгжүүлж, амьдралын чанарыг дээшлүүлэхүйц нийгмийн даатгалын тогтолцоог бэхжүүлнэ.” гэж заасан бөгөөд уг зорилтыг хэрэгжүүлэх I үе шат (2021-2030)-нд “Тэтгэврийн даатгалыг олон давхаргат тогтолцоонд шилжүүлсэн байна.”, “Нийгмийн даатгалын сангийн хөрөнгийн зохистой удирдлагыг төлөвшүүлж, санг алдагдалгүй түвшинд хүргэх, нийгмийн даатгалын бүрэн бие даасан тогтолцоог бий болгоно.” ,мөн тогтоолын 2 дугаар хавсралтаар баталсан ““Алсын хараа-2050” Монгол Улсын урт хугацааны хөгжлийн бодлогын хүрээнд 2021-2030 онд хэрэгжүүлэх үйл ажиллагааны зорилт”-ын 3.1.2-т “Нийгмийн даатгалын хууль, эрх зүйн орчныг боловсронгуй болгоно.” гэж, 3.1.3-т “Бүх ахмад настанд суурь тэтгэвэр олгоно.” гэж, 3.1.4-т “Хувийн тэтгэврийн нэмэлт даатгалыг нэвтрүүлж, төрийн болон хувийн тэтгэврийн сангаас тэтгэвэр авах нөхцөлийг бүрдүүлж, санхүүгийн зах зээлийг дэмжинэ.” гэж, 3.1.8-д “Тэтгэврийн даатгалын хагас хуримтлалын тогтолцоонд хэсэгчлэн шилжүүлж, 1979 оноос хойш төрсөн даатгуулагчийн тэтгэврийн даатгалын шимтгэлийг бодит хуримтлал болгоно.” гэж, 3.1.9-д “Тэтгэврийн даатгалын тогтолцоог бүрэн хуримтлалын тогтолцоонд</w:t>
      </w:r>
      <w:r w:rsidR="0066175F" w:rsidRPr="004A68F2">
        <w:rPr>
          <w:rFonts w:ascii="Arial" w:hAnsi="Arial" w:cs="Arial"/>
          <w:szCs w:val="24"/>
          <w:lang w:val="mn-MN"/>
        </w:rPr>
        <w:t xml:space="preserve"> шилжүүлэх үе шатыг эхлүүлнэ.” г</w:t>
      </w:r>
      <w:r w:rsidR="006C36FF" w:rsidRPr="004A68F2">
        <w:rPr>
          <w:rFonts w:ascii="Arial" w:hAnsi="Arial" w:cs="Arial"/>
          <w:szCs w:val="24"/>
          <w:lang w:val="mn-MN"/>
        </w:rPr>
        <w:t xml:space="preserve">эж, Монгол Улсын Их Хурлын 2020 оны 23 дугаар тогтоолын 1 дүгээр хавсралтаар баталсан “Монгол Улсыг 2021-2025 онд хөгжүүлэх таван жилийн үндсэн чиглэл”-ийн 3.1-д заасан “Нийгмийн хамгааллын тогтолцоог шинэчлэх” зорилтын 3.1.1-д “Нийгмийн даатгалын хууль тогтоомжийг шинэчилж даатгуулагч олон эх үүсвэрээс тэтгэвэр авах нөхцөл бүрдэн, хуримтлалын нэгдсэн сан байгуулагдан иргэд бодит хуримтлалтай болох эрх зүйн шинэчлэл хийгдэнэ.” гэж, </w:t>
      </w:r>
      <w:r w:rsidR="00EE2ACF" w:rsidRPr="004A68F2">
        <w:rPr>
          <w:rFonts w:ascii="Arial" w:hAnsi="Arial" w:cs="Arial"/>
          <w:szCs w:val="24"/>
          <w:lang w:val="mn-MN"/>
        </w:rPr>
        <w:t xml:space="preserve">УИХ-ын 2015 оны 52 дугаар тогтоолоор баталсан “Төрөөс тэтгэврийн шинэчлэлийн талаар баримтлах бодлого 2015-2030”-д заасан “Төрөөс тэтгэврийн шинэчлэлийн талаар баримтлах бодлого (2015-2030)”-ын 1.1-д “Төрөөс тэтгэврийн шинэчлэлийн талаар баримтлах бодлогын зорилго нь хүн амын насны бүтцийн өөрчлөлт, дундаж наслалтын өсөлтөөс үүдэлтэйгээр зайлшгүй өсөн нэмэгдэх тэтгэврийн зардлыг төр, иргэн, ажил олгогч санхүүгийн чадавхаа үндэслэн хамтран хариуцаж, ахмад настны амьжиргаанд хүрэлцэхүйц зохистой хэмжээний тэтгэвэр олгох тогтолцоог бүрдүүлэхэд оршино” гэж, 1.2-т “Тэтгэврийн шинэчлэлийн бодлого нь тэтгэврийн даатгалын хамрах хүрээг нэмэгдүүлж, малчин, хувиараа хөдөлмөр эрхлэгчид зориулсан тусгай хөтөлбөрийг бий болгож, тэтгэврийн тогтолцоонд хувийн хэвшлийн оролцоог сайн дурын нэмэлт даатгалын хэлбэрээр дэмжин, ахмад настан олон эх үүсвэр бүхий тэтгэврийн орлоготой </w:t>
      </w:r>
      <w:r w:rsidR="00EE2ACF" w:rsidRPr="004A68F2">
        <w:rPr>
          <w:rFonts w:ascii="Arial" w:hAnsi="Arial" w:cs="Arial"/>
          <w:szCs w:val="24"/>
          <w:lang w:val="mn-MN"/>
        </w:rPr>
        <w:lastRenderedPageBreak/>
        <w:t xml:space="preserve">байх нөхцөлийг бүрдүүлж, даатгуулагчийг илүү олон жил хөдөлмөрлөж, тасралтгүй шимтгэл төлөхийг урамшуулна” гэж, 2.1.4-т заасан “эрэгтэй, эмэгтэй даатгуулагчийн өндөр насны тэтгэвэр тогтоолгох насны доод хязгаар ижил байх” гэж, 3.2.10-т “тэтгэврийн даатгалын сангаас өндөр насны тэтгэвэр тогтоолгох эрх үүссэн ахмад настан </w:t>
      </w:r>
      <w:proofErr w:type="spellStart"/>
      <w:r w:rsidR="00EE2ACF" w:rsidRPr="004A68F2">
        <w:rPr>
          <w:rFonts w:ascii="Arial" w:hAnsi="Arial" w:cs="Arial"/>
          <w:szCs w:val="24"/>
          <w:lang w:val="mn-MN"/>
        </w:rPr>
        <w:t>бүрт</w:t>
      </w:r>
      <w:proofErr w:type="spellEnd"/>
      <w:r w:rsidR="00EE2ACF" w:rsidRPr="004A68F2">
        <w:rPr>
          <w:rFonts w:ascii="Arial" w:hAnsi="Arial" w:cs="Arial"/>
          <w:szCs w:val="24"/>
          <w:lang w:val="mn-MN"/>
        </w:rPr>
        <w:t xml:space="preserve"> суурь тэтгэвэр олгоно.” гэж тус тус заасан </w:t>
      </w:r>
      <w:r w:rsidR="0066175F" w:rsidRPr="004A68F2">
        <w:rPr>
          <w:rFonts w:ascii="Arial" w:hAnsi="Arial" w:cs="Arial"/>
          <w:szCs w:val="24"/>
          <w:lang w:val="mn-MN"/>
        </w:rPr>
        <w:t>байна.</w:t>
      </w:r>
      <w:r w:rsidR="003906C9" w:rsidRPr="004A68F2">
        <w:rPr>
          <w:rFonts w:ascii="Arial" w:hAnsi="Arial" w:cs="Arial"/>
          <w:szCs w:val="24"/>
          <w:lang w:val="mn-MN"/>
        </w:rPr>
        <w:t xml:space="preserve"> </w:t>
      </w:r>
    </w:p>
    <w:p w14:paraId="57559889" w14:textId="77777777" w:rsidR="00ED55C1" w:rsidRPr="004A68F2" w:rsidRDefault="00ED55C1" w:rsidP="002C5654">
      <w:pPr>
        <w:tabs>
          <w:tab w:val="left" w:pos="360"/>
        </w:tabs>
        <w:spacing w:after="0" w:line="276" w:lineRule="auto"/>
        <w:rPr>
          <w:rFonts w:ascii="Arial" w:hAnsi="Arial" w:cs="Arial"/>
          <w:szCs w:val="24"/>
          <w:lang w:val="mn-MN"/>
        </w:rPr>
      </w:pPr>
      <w:r w:rsidRPr="004A68F2">
        <w:rPr>
          <w:rFonts w:ascii="Arial" w:hAnsi="Arial" w:cs="Arial"/>
          <w:szCs w:val="24"/>
          <w:lang w:val="mn-MN"/>
        </w:rPr>
        <w:tab/>
      </w:r>
    </w:p>
    <w:p w14:paraId="2890E27F" w14:textId="51370158" w:rsidR="00AF7B3C" w:rsidRPr="004A68F2" w:rsidRDefault="00ED55C1" w:rsidP="002C5654">
      <w:pPr>
        <w:tabs>
          <w:tab w:val="left" w:pos="360"/>
        </w:tabs>
        <w:spacing w:after="0" w:line="276" w:lineRule="auto"/>
        <w:rPr>
          <w:rFonts w:ascii="Arial" w:hAnsi="Arial" w:cs="Arial"/>
          <w:szCs w:val="24"/>
          <w:lang w:val="mn-MN"/>
        </w:rPr>
      </w:pPr>
      <w:r w:rsidRPr="004A68F2">
        <w:rPr>
          <w:rFonts w:ascii="Arial" w:hAnsi="Arial" w:cs="Arial"/>
          <w:szCs w:val="24"/>
          <w:lang w:val="mn-MN"/>
        </w:rPr>
        <w:tab/>
      </w:r>
      <w:r w:rsidR="003906C9" w:rsidRPr="004A68F2">
        <w:rPr>
          <w:rFonts w:ascii="Arial" w:hAnsi="Arial" w:cs="Arial"/>
          <w:szCs w:val="24"/>
          <w:lang w:val="mn-MN"/>
        </w:rPr>
        <w:t xml:space="preserve">Сонгосон зүйл, заалтыг хүснэгтээр тодорхойлбол: </w:t>
      </w:r>
    </w:p>
    <w:p w14:paraId="463B8049" w14:textId="77777777" w:rsidR="002C5654" w:rsidRPr="004A68F2" w:rsidRDefault="002C5654" w:rsidP="002C5654">
      <w:pPr>
        <w:tabs>
          <w:tab w:val="left" w:pos="360"/>
        </w:tabs>
        <w:spacing w:after="0" w:line="276" w:lineRule="auto"/>
        <w:rPr>
          <w:rFonts w:ascii="Arial" w:hAnsi="Arial" w:cs="Arial"/>
          <w:szCs w:val="24"/>
          <w:lang w:val="mn-MN"/>
        </w:rPr>
      </w:pPr>
    </w:p>
    <w:p w14:paraId="526597BD" w14:textId="504B2581" w:rsidR="00AF7B3C" w:rsidRPr="004A68F2" w:rsidRDefault="00AF7B3C" w:rsidP="002C5654">
      <w:pPr>
        <w:pStyle w:val="Caption"/>
        <w:keepNext/>
        <w:spacing w:after="0" w:line="276" w:lineRule="auto"/>
        <w:jc w:val="center"/>
        <w:rPr>
          <w:rFonts w:ascii="Arial" w:hAnsi="Arial" w:cs="Arial"/>
          <w:b/>
          <w:bCs/>
          <w:sz w:val="24"/>
          <w:szCs w:val="24"/>
          <w:lang w:val="mn-MN"/>
        </w:rPr>
      </w:pPr>
      <w:r w:rsidRPr="004A68F2">
        <w:rPr>
          <w:rFonts w:ascii="Arial" w:hAnsi="Arial" w:cs="Arial"/>
          <w:b/>
          <w:bCs/>
          <w:sz w:val="24"/>
          <w:szCs w:val="24"/>
          <w:lang w:val="mn-MN"/>
        </w:rPr>
        <w:t xml:space="preserve">Хүснэгт </w:t>
      </w:r>
      <w:r w:rsidRPr="004A68F2">
        <w:rPr>
          <w:rFonts w:ascii="Arial" w:hAnsi="Arial" w:cs="Arial"/>
          <w:b/>
          <w:bCs/>
          <w:sz w:val="24"/>
          <w:szCs w:val="24"/>
          <w:lang w:val="mn-MN"/>
        </w:rPr>
        <w:fldChar w:fldCharType="begin"/>
      </w:r>
      <w:r w:rsidRPr="004A68F2">
        <w:rPr>
          <w:rFonts w:ascii="Arial" w:hAnsi="Arial" w:cs="Arial"/>
          <w:b/>
          <w:bCs/>
          <w:sz w:val="24"/>
          <w:szCs w:val="24"/>
          <w:lang w:val="mn-MN"/>
        </w:rPr>
        <w:instrText xml:space="preserve"> SEQ Хүснэгт \* ARABIC </w:instrText>
      </w:r>
      <w:r w:rsidRPr="004A68F2">
        <w:rPr>
          <w:rFonts w:ascii="Arial" w:hAnsi="Arial" w:cs="Arial"/>
          <w:b/>
          <w:bCs/>
          <w:sz w:val="24"/>
          <w:szCs w:val="24"/>
          <w:lang w:val="mn-MN"/>
        </w:rPr>
        <w:fldChar w:fldCharType="separate"/>
      </w:r>
      <w:r w:rsidR="00372A17">
        <w:rPr>
          <w:rFonts w:ascii="Arial" w:hAnsi="Arial" w:cs="Arial"/>
          <w:b/>
          <w:bCs/>
          <w:noProof/>
          <w:sz w:val="24"/>
          <w:szCs w:val="24"/>
          <w:lang w:val="mn-MN"/>
        </w:rPr>
        <w:t>1</w:t>
      </w:r>
      <w:r w:rsidRPr="004A68F2">
        <w:rPr>
          <w:rFonts w:ascii="Arial" w:hAnsi="Arial" w:cs="Arial"/>
          <w:b/>
          <w:bCs/>
          <w:sz w:val="24"/>
          <w:szCs w:val="24"/>
          <w:lang w:val="mn-MN"/>
        </w:rPr>
        <w:fldChar w:fldCharType="end"/>
      </w:r>
      <w:r w:rsidRPr="004A68F2">
        <w:rPr>
          <w:rFonts w:ascii="Arial" w:hAnsi="Arial" w:cs="Arial"/>
          <w:b/>
          <w:bCs/>
          <w:sz w:val="24"/>
          <w:szCs w:val="24"/>
          <w:lang w:val="mn-MN"/>
        </w:rPr>
        <w:t>. Зорилгод хүрсэн түвшин шалгуур үзүүлэлтийн хүрээнд сонгосон зүйл, заалтууд.</w:t>
      </w:r>
    </w:p>
    <w:tbl>
      <w:tblPr>
        <w:tblStyle w:val="TableGrid"/>
        <w:tblW w:w="9781" w:type="dxa"/>
        <w:tblInd w:w="-5" w:type="dxa"/>
        <w:tblLook w:val="04A0" w:firstRow="1" w:lastRow="0" w:firstColumn="1" w:lastColumn="0" w:noHBand="0" w:noVBand="1"/>
      </w:tblPr>
      <w:tblGrid>
        <w:gridCol w:w="709"/>
        <w:gridCol w:w="2835"/>
        <w:gridCol w:w="6237"/>
      </w:tblGrid>
      <w:tr w:rsidR="003906C9" w:rsidRPr="004A68F2" w14:paraId="15F64D41" w14:textId="77777777" w:rsidTr="002C5654">
        <w:tc>
          <w:tcPr>
            <w:tcW w:w="709" w:type="dxa"/>
          </w:tcPr>
          <w:p w14:paraId="34890A64" w14:textId="1E9B897B" w:rsidR="003906C9" w:rsidRPr="004A68F2" w:rsidRDefault="003906C9" w:rsidP="002C5654">
            <w:pPr>
              <w:spacing w:line="276" w:lineRule="auto"/>
              <w:jc w:val="center"/>
              <w:rPr>
                <w:rFonts w:ascii="Arial" w:hAnsi="Arial" w:cs="Arial"/>
                <w:b/>
                <w:bCs/>
                <w:szCs w:val="24"/>
                <w:lang w:val="mn-MN"/>
              </w:rPr>
            </w:pPr>
            <w:r w:rsidRPr="004A68F2">
              <w:rPr>
                <w:rFonts w:ascii="Arial" w:hAnsi="Arial" w:cs="Arial"/>
                <w:b/>
                <w:bCs/>
                <w:szCs w:val="24"/>
                <w:lang w:val="mn-MN"/>
              </w:rPr>
              <w:t>№</w:t>
            </w:r>
          </w:p>
        </w:tc>
        <w:tc>
          <w:tcPr>
            <w:tcW w:w="2835" w:type="dxa"/>
          </w:tcPr>
          <w:p w14:paraId="086067FD" w14:textId="080F8F8B" w:rsidR="003906C9" w:rsidRPr="004A68F2" w:rsidRDefault="003906C9" w:rsidP="002C5654">
            <w:pPr>
              <w:spacing w:line="276" w:lineRule="auto"/>
              <w:jc w:val="center"/>
              <w:rPr>
                <w:rFonts w:ascii="Arial" w:hAnsi="Arial" w:cs="Arial"/>
                <w:b/>
                <w:bCs/>
                <w:szCs w:val="24"/>
                <w:lang w:val="mn-MN"/>
              </w:rPr>
            </w:pPr>
            <w:r w:rsidRPr="004A68F2">
              <w:rPr>
                <w:rFonts w:ascii="Arial" w:hAnsi="Arial" w:cs="Arial"/>
                <w:b/>
                <w:bCs/>
                <w:szCs w:val="24"/>
                <w:lang w:val="mn-MN"/>
              </w:rPr>
              <w:t>Сонгосон зүйл, хэсэг, заалт</w:t>
            </w:r>
          </w:p>
        </w:tc>
        <w:tc>
          <w:tcPr>
            <w:tcW w:w="6237" w:type="dxa"/>
          </w:tcPr>
          <w:p w14:paraId="7581F739" w14:textId="74A368C4" w:rsidR="003906C9" w:rsidRPr="004A68F2" w:rsidRDefault="003906C9" w:rsidP="002C5654">
            <w:pPr>
              <w:spacing w:line="276" w:lineRule="auto"/>
              <w:jc w:val="center"/>
              <w:rPr>
                <w:rFonts w:ascii="Arial" w:hAnsi="Arial" w:cs="Arial"/>
                <w:b/>
                <w:bCs/>
                <w:szCs w:val="24"/>
                <w:lang w:val="mn-MN"/>
              </w:rPr>
            </w:pPr>
            <w:r w:rsidRPr="004A68F2">
              <w:rPr>
                <w:rFonts w:ascii="Arial" w:hAnsi="Arial" w:cs="Arial"/>
                <w:b/>
                <w:bCs/>
                <w:szCs w:val="24"/>
                <w:lang w:val="mn-MN"/>
              </w:rPr>
              <w:t>Зүйл, хэсэг, заалтын агуулга</w:t>
            </w:r>
          </w:p>
        </w:tc>
      </w:tr>
      <w:tr w:rsidR="00EE2ACF" w:rsidRPr="004A68F2" w14:paraId="7361E59B" w14:textId="77777777" w:rsidTr="002C5654">
        <w:tc>
          <w:tcPr>
            <w:tcW w:w="709" w:type="dxa"/>
          </w:tcPr>
          <w:p w14:paraId="1E61521E" w14:textId="77777777" w:rsidR="00EE2ACF" w:rsidRPr="004A68F2" w:rsidRDefault="00EE2ACF" w:rsidP="002C5654">
            <w:pPr>
              <w:pStyle w:val="ListParagraph"/>
              <w:numPr>
                <w:ilvl w:val="0"/>
                <w:numId w:val="12"/>
              </w:numPr>
              <w:spacing w:line="276" w:lineRule="auto"/>
              <w:ind w:left="0" w:firstLine="0"/>
              <w:jc w:val="center"/>
              <w:rPr>
                <w:rFonts w:ascii="Arial" w:hAnsi="Arial" w:cs="Arial"/>
                <w:b/>
                <w:bCs/>
                <w:szCs w:val="24"/>
                <w:lang w:val="mn-MN"/>
              </w:rPr>
            </w:pPr>
          </w:p>
        </w:tc>
        <w:tc>
          <w:tcPr>
            <w:tcW w:w="2835" w:type="dxa"/>
          </w:tcPr>
          <w:p w14:paraId="16981999" w14:textId="68B62731" w:rsidR="00EE2ACF" w:rsidRPr="004A68F2" w:rsidRDefault="00EE2ACF" w:rsidP="002C5654">
            <w:pPr>
              <w:spacing w:line="276" w:lineRule="auto"/>
              <w:rPr>
                <w:rFonts w:ascii="Arial" w:hAnsi="Arial" w:cs="Arial"/>
                <w:szCs w:val="24"/>
                <w:lang w:val="mn-MN"/>
              </w:rPr>
            </w:pPr>
            <w:r w:rsidRPr="004A68F2">
              <w:rPr>
                <w:rFonts w:ascii="Arial" w:hAnsi="Arial" w:cs="Arial"/>
                <w:szCs w:val="24"/>
                <w:lang w:val="mn-MN"/>
              </w:rPr>
              <w:t xml:space="preserve">3 дугаар зүйл </w:t>
            </w:r>
          </w:p>
        </w:tc>
        <w:tc>
          <w:tcPr>
            <w:tcW w:w="6237" w:type="dxa"/>
          </w:tcPr>
          <w:p w14:paraId="641ACE1C" w14:textId="6326F8C3" w:rsidR="00EE2ACF" w:rsidRPr="004A68F2" w:rsidRDefault="00CC6CD5" w:rsidP="002C5654">
            <w:pPr>
              <w:spacing w:line="276" w:lineRule="auto"/>
              <w:rPr>
                <w:rFonts w:ascii="Arial" w:hAnsi="Arial" w:cs="Arial"/>
                <w:szCs w:val="24"/>
                <w:lang w:val="mn-MN"/>
              </w:rPr>
            </w:pPr>
            <w:r w:rsidRPr="004A68F2">
              <w:rPr>
                <w:rFonts w:ascii="Arial" w:hAnsi="Arial" w:cs="Arial"/>
                <w:szCs w:val="24"/>
                <w:lang w:val="mn-MN"/>
              </w:rPr>
              <w:t>Тэтгэврийн даатгалын сангаас олгох тэтгэврийн төрөл</w:t>
            </w:r>
          </w:p>
        </w:tc>
      </w:tr>
      <w:tr w:rsidR="00EE2ACF" w:rsidRPr="004A68F2" w14:paraId="5AC875B9" w14:textId="77777777" w:rsidTr="002C5654">
        <w:tc>
          <w:tcPr>
            <w:tcW w:w="709" w:type="dxa"/>
          </w:tcPr>
          <w:p w14:paraId="29B671AC" w14:textId="77777777" w:rsidR="00EE2ACF" w:rsidRPr="004A68F2" w:rsidRDefault="00EE2ACF" w:rsidP="002C5654">
            <w:pPr>
              <w:pStyle w:val="ListParagraph"/>
              <w:numPr>
                <w:ilvl w:val="0"/>
                <w:numId w:val="12"/>
              </w:numPr>
              <w:spacing w:line="276" w:lineRule="auto"/>
              <w:ind w:left="0" w:firstLine="0"/>
              <w:jc w:val="center"/>
              <w:rPr>
                <w:rFonts w:ascii="Arial" w:hAnsi="Arial" w:cs="Arial"/>
                <w:b/>
                <w:bCs/>
                <w:szCs w:val="24"/>
                <w:lang w:val="mn-MN"/>
              </w:rPr>
            </w:pPr>
          </w:p>
        </w:tc>
        <w:tc>
          <w:tcPr>
            <w:tcW w:w="2835" w:type="dxa"/>
          </w:tcPr>
          <w:p w14:paraId="57339FD6" w14:textId="2F0A6BA0" w:rsidR="00EE2ACF" w:rsidRPr="004A68F2" w:rsidRDefault="00EE2ACF" w:rsidP="002C5654">
            <w:pPr>
              <w:spacing w:line="276" w:lineRule="auto"/>
              <w:rPr>
                <w:rFonts w:ascii="Arial" w:hAnsi="Arial" w:cs="Arial"/>
                <w:szCs w:val="24"/>
                <w:lang w:val="mn-MN"/>
              </w:rPr>
            </w:pPr>
            <w:r w:rsidRPr="004A68F2">
              <w:rPr>
                <w:rFonts w:ascii="Arial" w:hAnsi="Arial" w:cs="Arial"/>
                <w:szCs w:val="24"/>
                <w:lang w:val="mn-MN"/>
              </w:rPr>
              <w:t xml:space="preserve">5 дугаар зүйл </w:t>
            </w:r>
          </w:p>
        </w:tc>
        <w:tc>
          <w:tcPr>
            <w:tcW w:w="6237" w:type="dxa"/>
          </w:tcPr>
          <w:p w14:paraId="7287B21A" w14:textId="144DBE48" w:rsidR="00EE2ACF" w:rsidRPr="004A68F2" w:rsidRDefault="00CC6CD5" w:rsidP="002C5654">
            <w:pPr>
              <w:spacing w:line="276" w:lineRule="auto"/>
              <w:rPr>
                <w:rFonts w:ascii="Arial" w:hAnsi="Arial" w:cs="Arial"/>
                <w:szCs w:val="24"/>
                <w:lang w:val="mn-MN"/>
              </w:rPr>
            </w:pPr>
            <w:r w:rsidRPr="004A68F2">
              <w:rPr>
                <w:rFonts w:ascii="Arial" w:hAnsi="Arial" w:cs="Arial"/>
                <w:szCs w:val="24"/>
                <w:lang w:val="mn-MN"/>
              </w:rPr>
              <w:t>Өндөр насны тэтгэвэр авах эрх</w:t>
            </w:r>
          </w:p>
        </w:tc>
      </w:tr>
      <w:tr w:rsidR="0066175F" w:rsidRPr="004A68F2" w14:paraId="098D106A" w14:textId="77777777" w:rsidTr="002C5654">
        <w:tc>
          <w:tcPr>
            <w:tcW w:w="709" w:type="dxa"/>
          </w:tcPr>
          <w:p w14:paraId="4BB70BA0" w14:textId="77777777" w:rsidR="0066175F" w:rsidRPr="004A68F2" w:rsidRDefault="0066175F" w:rsidP="002C5654">
            <w:pPr>
              <w:pStyle w:val="ListParagraph"/>
              <w:numPr>
                <w:ilvl w:val="0"/>
                <w:numId w:val="12"/>
              </w:numPr>
              <w:spacing w:line="276" w:lineRule="auto"/>
              <w:ind w:left="0" w:firstLine="0"/>
              <w:jc w:val="center"/>
              <w:rPr>
                <w:rFonts w:ascii="Arial" w:hAnsi="Arial" w:cs="Arial"/>
                <w:b/>
                <w:bCs/>
                <w:szCs w:val="24"/>
                <w:lang w:val="mn-MN"/>
              </w:rPr>
            </w:pPr>
          </w:p>
        </w:tc>
        <w:tc>
          <w:tcPr>
            <w:tcW w:w="2835" w:type="dxa"/>
          </w:tcPr>
          <w:p w14:paraId="4845E300" w14:textId="78BA586A" w:rsidR="0066175F" w:rsidRPr="004A68F2" w:rsidRDefault="0066175F" w:rsidP="002C5654">
            <w:pPr>
              <w:spacing w:line="276" w:lineRule="auto"/>
              <w:rPr>
                <w:rFonts w:ascii="Arial" w:hAnsi="Arial" w:cs="Arial"/>
                <w:szCs w:val="24"/>
                <w:lang w:val="mn-MN"/>
              </w:rPr>
            </w:pPr>
            <w:r w:rsidRPr="004A68F2">
              <w:rPr>
                <w:rFonts w:ascii="Arial" w:hAnsi="Arial" w:cs="Arial"/>
                <w:szCs w:val="24"/>
                <w:lang w:val="mn-MN"/>
              </w:rPr>
              <w:t>6 дугаар зүйл</w:t>
            </w:r>
          </w:p>
        </w:tc>
        <w:tc>
          <w:tcPr>
            <w:tcW w:w="6237" w:type="dxa"/>
          </w:tcPr>
          <w:p w14:paraId="3C2243BA" w14:textId="161EACEB" w:rsidR="0066175F" w:rsidRPr="004A68F2" w:rsidRDefault="0066175F" w:rsidP="002C5654">
            <w:pPr>
              <w:spacing w:line="276" w:lineRule="auto"/>
              <w:rPr>
                <w:rFonts w:ascii="Arial" w:hAnsi="Arial" w:cs="Arial"/>
                <w:szCs w:val="24"/>
                <w:lang w:val="mn-MN"/>
              </w:rPr>
            </w:pPr>
            <w:r w:rsidRPr="004A68F2">
              <w:rPr>
                <w:rFonts w:ascii="Arial" w:hAnsi="Arial" w:cs="Arial"/>
                <w:szCs w:val="24"/>
                <w:lang w:val="mn-MN"/>
              </w:rPr>
              <w:t>Өндөр насны тэтгэвэр бодох арга</w:t>
            </w:r>
          </w:p>
        </w:tc>
      </w:tr>
      <w:tr w:rsidR="0066175F" w:rsidRPr="004A68F2" w14:paraId="75815E47" w14:textId="77777777" w:rsidTr="002C5654">
        <w:tc>
          <w:tcPr>
            <w:tcW w:w="709" w:type="dxa"/>
          </w:tcPr>
          <w:p w14:paraId="38B6FCF0" w14:textId="77777777" w:rsidR="0066175F" w:rsidRPr="004A68F2" w:rsidRDefault="0066175F" w:rsidP="002C5654">
            <w:pPr>
              <w:pStyle w:val="ListParagraph"/>
              <w:numPr>
                <w:ilvl w:val="0"/>
                <w:numId w:val="12"/>
              </w:numPr>
              <w:spacing w:line="276" w:lineRule="auto"/>
              <w:ind w:left="0" w:firstLine="0"/>
              <w:jc w:val="center"/>
              <w:rPr>
                <w:rFonts w:ascii="Arial" w:hAnsi="Arial" w:cs="Arial"/>
                <w:b/>
                <w:bCs/>
                <w:szCs w:val="24"/>
                <w:lang w:val="mn-MN"/>
              </w:rPr>
            </w:pPr>
          </w:p>
        </w:tc>
        <w:tc>
          <w:tcPr>
            <w:tcW w:w="2835" w:type="dxa"/>
          </w:tcPr>
          <w:p w14:paraId="5F126292" w14:textId="422D93D2" w:rsidR="0066175F" w:rsidRPr="004A68F2" w:rsidRDefault="0066175F" w:rsidP="002C5654">
            <w:pPr>
              <w:spacing w:line="276" w:lineRule="auto"/>
              <w:rPr>
                <w:rFonts w:ascii="Arial" w:hAnsi="Arial" w:cs="Arial"/>
                <w:szCs w:val="24"/>
                <w:lang w:val="mn-MN"/>
              </w:rPr>
            </w:pPr>
            <w:r w:rsidRPr="004A68F2">
              <w:rPr>
                <w:rFonts w:ascii="Arial" w:hAnsi="Arial" w:cs="Arial"/>
                <w:szCs w:val="24"/>
                <w:lang w:val="mn-MN"/>
              </w:rPr>
              <w:t>9 дүгээр зүйл</w:t>
            </w:r>
          </w:p>
        </w:tc>
        <w:tc>
          <w:tcPr>
            <w:tcW w:w="6237" w:type="dxa"/>
          </w:tcPr>
          <w:p w14:paraId="5F5C5DA5" w14:textId="39A1DEB3" w:rsidR="0066175F" w:rsidRPr="004A68F2" w:rsidRDefault="0066175F" w:rsidP="002C5654">
            <w:pPr>
              <w:spacing w:line="276" w:lineRule="auto"/>
              <w:rPr>
                <w:rFonts w:ascii="Arial" w:hAnsi="Arial" w:cs="Arial"/>
                <w:szCs w:val="24"/>
                <w:lang w:val="mn-MN"/>
              </w:rPr>
            </w:pPr>
            <w:r w:rsidRPr="004A68F2">
              <w:rPr>
                <w:rFonts w:ascii="Arial" w:hAnsi="Arial" w:cs="Arial"/>
                <w:szCs w:val="24"/>
                <w:lang w:val="mn-MN"/>
              </w:rPr>
              <w:t>Өндөр насны тэтгэврийн тусгай зохицуулалт</w:t>
            </w:r>
          </w:p>
        </w:tc>
      </w:tr>
      <w:tr w:rsidR="00D367D8" w:rsidRPr="004A68F2" w14:paraId="2E72086D" w14:textId="77777777" w:rsidTr="002C5654">
        <w:tc>
          <w:tcPr>
            <w:tcW w:w="709" w:type="dxa"/>
          </w:tcPr>
          <w:p w14:paraId="281F50E5" w14:textId="77777777" w:rsidR="00D367D8" w:rsidRPr="004A68F2" w:rsidRDefault="00D367D8" w:rsidP="002C5654">
            <w:pPr>
              <w:pStyle w:val="ListParagraph"/>
              <w:numPr>
                <w:ilvl w:val="0"/>
                <w:numId w:val="12"/>
              </w:numPr>
              <w:spacing w:line="276" w:lineRule="auto"/>
              <w:ind w:left="0" w:firstLine="0"/>
              <w:jc w:val="center"/>
              <w:rPr>
                <w:rFonts w:ascii="Arial" w:hAnsi="Arial" w:cs="Arial"/>
                <w:b/>
                <w:bCs/>
                <w:szCs w:val="24"/>
                <w:lang w:val="mn-MN"/>
              </w:rPr>
            </w:pPr>
          </w:p>
        </w:tc>
        <w:tc>
          <w:tcPr>
            <w:tcW w:w="2835" w:type="dxa"/>
          </w:tcPr>
          <w:p w14:paraId="546F20CE" w14:textId="3E3FE699" w:rsidR="00D367D8" w:rsidRPr="004A68F2" w:rsidRDefault="00D367D8" w:rsidP="002C5654">
            <w:pPr>
              <w:spacing w:line="276" w:lineRule="auto"/>
              <w:rPr>
                <w:rFonts w:ascii="Arial" w:hAnsi="Arial" w:cs="Arial"/>
                <w:szCs w:val="24"/>
                <w:lang w:val="mn-MN"/>
              </w:rPr>
            </w:pPr>
            <w:r w:rsidRPr="004A68F2">
              <w:rPr>
                <w:rFonts w:ascii="Arial" w:hAnsi="Arial" w:cs="Arial"/>
                <w:szCs w:val="24"/>
                <w:lang w:val="mn-MN"/>
              </w:rPr>
              <w:t>20 дугаар зүйл</w:t>
            </w:r>
          </w:p>
        </w:tc>
        <w:tc>
          <w:tcPr>
            <w:tcW w:w="6237" w:type="dxa"/>
          </w:tcPr>
          <w:p w14:paraId="464A60D8" w14:textId="223A685F" w:rsidR="00D367D8" w:rsidRPr="004A68F2" w:rsidRDefault="00D367D8" w:rsidP="002C5654">
            <w:pPr>
              <w:spacing w:line="276" w:lineRule="auto"/>
              <w:rPr>
                <w:rFonts w:ascii="Arial" w:hAnsi="Arial" w:cs="Arial"/>
                <w:szCs w:val="24"/>
                <w:lang w:val="mn-MN"/>
              </w:rPr>
            </w:pPr>
            <w:r w:rsidRPr="004A68F2">
              <w:rPr>
                <w:rFonts w:ascii="Arial" w:hAnsi="Arial" w:cs="Arial"/>
                <w:szCs w:val="24"/>
                <w:shd w:val="clear" w:color="auto" w:fill="FFFFFF"/>
                <w:lang w:val="mn-MN"/>
              </w:rPr>
              <w:t>Тэтгэвэр тогтоолгох цалин хөлс, түүнтэй адилтгах орлогыг тодорхойлох</w:t>
            </w:r>
          </w:p>
        </w:tc>
      </w:tr>
    </w:tbl>
    <w:p w14:paraId="49DB216D" w14:textId="77777777" w:rsidR="004F5E6F" w:rsidRPr="004A68F2" w:rsidRDefault="004F5E6F" w:rsidP="002C5654">
      <w:pPr>
        <w:spacing w:after="0" w:line="276" w:lineRule="auto"/>
        <w:rPr>
          <w:rFonts w:ascii="Arial" w:hAnsi="Arial" w:cs="Arial"/>
          <w:b/>
          <w:bCs/>
          <w:szCs w:val="24"/>
          <w:lang w:val="mn-MN"/>
        </w:rPr>
      </w:pPr>
    </w:p>
    <w:p w14:paraId="44FCBB2C" w14:textId="60BA60DF" w:rsidR="00AF7B3C" w:rsidRPr="004A68F2" w:rsidRDefault="00AF7B3C" w:rsidP="002C5654">
      <w:pPr>
        <w:pStyle w:val="Heading3"/>
        <w:numPr>
          <w:ilvl w:val="2"/>
          <w:numId w:val="18"/>
        </w:numPr>
        <w:spacing w:before="0" w:line="276" w:lineRule="auto"/>
        <w:ind w:left="0" w:firstLine="0"/>
        <w:rPr>
          <w:rFonts w:ascii="Arial" w:hAnsi="Arial" w:cs="Arial"/>
          <w:lang w:val="mn-MN"/>
        </w:rPr>
      </w:pPr>
      <w:bookmarkStart w:id="8" w:name="_Toc196842517"/>
      <w:r w:rsidRPr="004A68F2">
        <w:rPr>
          <w:rFonts w:ascii="Arial" w:hAnsi="Arial" w:cs="Arial"/>
          <w:lang w:val="mn-MN"/>
        </w:rPr>
        <w:t>“Практикт нийцэж байгаа байдал” шалгуур</w:t>
      </w:r>
      <w:bookmarkEnd w:id="8"/>
      <w:r w:rsidRPr="004A68F2">
        <w:rPr>
          <w:rFonts w:ascii="Arial" w:hAnsi="Arial" w:cs="Arial"/>
          <w:lang w:val="mn-MN"/>
        </w:rPr>
        <w:t xml:space="preserve"> </w:t>
      </w:r>
    </w:p>
    <w:p w14:paraId="58BAC9D0" w14:textId="0ADA518F" w:rsidR="00733014" w:rsidRPr="004A68F2" w:rsidRDefault="00CC6CD5"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Нийгмийн даатгалын сангаас олгох тэтгэврийн тухай хууль </w:t>
      </w:r>
      <w:r w:rsidR="00AF7B3C" w:rsidRPr="004A68F2">
        <w:rPr>
          <w:rFonts w:ascii="Arial" w:hAnsi="Arial" w:cs="Arial"/>
          <w:szCs w:val="24"/>
          <w:lang w:val="mn-MN"/>
        </w:rPr>
        <w:t xml:space="preserve">нь </w:t>
      </w:r>
      <w:r w:rsidR="00A946F1" w:rsidRPr="004A68F2">
        <w:rPr>
          <w:rFonts w:ascii="Arial" w:hAnsi="Arial" w:cs="Arial"/>
          <w:szCs w:val="24"/>
          <w:lang w:val="mn-MN"/>
        </w:rPr>
        <w:t>тэтгэв</w:t>
      </w:r>
      <w:r w:rsidR="008D2002" w:rsidRPr="004A68F2">
        <w:rPr>
          <w:rFonts w:ascii="Arial" w:hAnsi="Arial" w:cs="Arial"/>
          <w:szCs w:val="24"/>
          <w:lang w:val="mn-MN"/>
        </w:rPr>
        <w:t>рийн даатгалын санд шимтгэл төлсөн даатгуулагч</w:t>
      </w:r>
      <w:r w:rsidR="00A946F1" w:rsidRPr="004A68F2">
        <w:rPr>
          <w:rFonts w:ascii="Arial" w:hAnsi="Arial" w:cs="Arial"/>
          <w:szCs w:val="24"/>
          <w:lang w:val="mn-MN"/>
        </w:rPr>
        <w:t xml:space="preserve">ид тэтгэвэр тогтоох эрх, нөхцөлийн дагуу тэтгэвэр тогтоож, олгох, </w:t>
      </w:r>
      <w:r w:rsidR="00733014" w:rsidRPr="004A68F2">
        <w:rPr>
          <w:rFonts w:ascii="Arial" w:hAnsi="Arial" w:cs="Arial"/>
          <w:szCs w:val="24"/>
          <w:lang w:val="mn-MN"/>
        </w:rPr>
        <w:t xml:space="preserve">харилцааг зохицуулдаг ба </w:t>
      </w:r>
      <w:r w:rsidR="00A946F1" w:rsidRPr="004A68F2">
        <w:rPr>
          <w:rFonts w:ascii="Arial" w:hAnsi="Arial" w:cs="Arial"/>
          <w:szCs w:val="24"/>
          <w:lang w:val="mn-MN"/>
        </w:rPr>
        <w:t xml:space="preserve">ажил олгогч, даатгуулагч  болон төрийн </w:t>
      </w:r>
      <w:r w:rsidR="00733014" w:rsidRPr="004A68F2">
        <w:rPr>
          <w:rFonts w:ascii="Arial" w:hAnsi="Arial" w:cs="Arial"/>
          <w:szCs w:val="24"/>
          <w:lang w:val="mn-MN"/>
        </w:rPr>
        <w:t>оролцоог ханган хэрэгждэг байна.</w:t>
      </w:r>
    </w:p>
    <w:p w14:paraId="35519FAE" w14:textId="77777777" w:rsidR="007F433C" w:rsidRPr="004A68F2" w:rsidRDefault="007F433C" w:rsidP="002C5654">
      <w:pPr>
        <w:spacing w:after="0" w:line="276" w:lineRule="auto"/>
        <w:ind w:firstLine="720"/>
        <w:rPr>
          <w:rFonts w:ascii="Arial" w:hAnsi="Arial" w:cs="Arial"/>
          <w:szCs w:val="24"/>
          <w:lang w:val="mn-MN"/>
        </w:rPr>
      </w:pPr>
    </w:p>
    <w:p w14:paraId="30AFE546" w14:textId="30EA8C63" w:rsidR="00733014" w:rsidRPr="004A68F2" w:rsidRDefault="00A946F1" w:rsidP="002C5654">
      <w:pPr>
        <w:spacing w:after="0" w:line="276" w:lineRule="auto"/>
        <w:ind w:firstLine="720"/>
        <w:rPr>
          <w:rFonts w:ascii="Arial" w:hAnsi="Arial" w:cs="Arial"/>
          <w:szCs w:val="24"/>
          <w:lang w:val="mn-MN"/>
        </w:rPr>
      </w:pPr>
      <w:r w:rsidRPr="004A68F2">
        <w:rPr>
          <w:rFonts w:ascii="Arial" w:hAnsi="Arial" w:cs="Arial"/>
          <w:szCs w:val="24"/>
          <w:lang w:val="mn-MN"/>
        </w:rPr>
        <w:t>2023 онд Нийгмийн даатгалын сангаас олгох тэтгэврийн тухай хуулийн шинэчилсэн найруулга</w:t>
      </w:r>
      <w:r w:rsidR="00AC52CF" w:rsidRPr="004A68F2">
        <w:rPr>
          <w:rFonts w:ascii="Arial" w:hAnsi="Arial" w:cs="Arial"/>
          <w:szCs w:val="24"/>
          <w:lang w:val="mn-MN"/>
        </w:rPr>
        <w:t xml:space="preserve"> </w:t>
      </w:r>
      <w:r w:rsidR="009F4FC7" w:rsidRPr="004A68F2">
        <w:rPr>
          <w:rFonts w:ascii="Arial" w:hAnsi="Arial" w:cs="Arial"/>
          <w:szCs w:val="24"/>
          <w:lang w:val="mn-MN"/>
        </w:rPr>
        <w:t>батлагдсанаас хойш уг хуулийн</w:t>
      </w:r>
      <w:r w:rsidR="00A97425" w:rsidRPr="004A68F2">
        <w:rPr>
          <w:rFonts w:ascii="Arial" w:hAnsi="Arial" w:cs="Arial"/>
          <w:szCs w:val="24"/>
          <w:lang w:val="mn-MN"/>
        </w:rPr>
        <w:t xml:space="preserve"> хэрэгжилтийн зарим</w:t>
      </w:r>
      <w:r w:rsidR="009F4FC7" w:rsidRPr="004A68F2">
        <w:rPr>
          <w:rFonts w:ascii="Arial" w:hAnsi="Arial" w:cs="Arial"/>
          <w:szCs w:val="24"/>
          <w:lang w:val="mn-MN"/>
        </w:rPr>
        <w:t xml:space="preserve"> тоон мэдээллийг дурдвал: </w:t>
      </w:r>
    </w:p>
    <w:p w14:paraId="34FCF2E0" w14:textId="2C62068C" w:rsidR="009812EC" w:rsidRPr="004A68F2" w:rsidRDefault="009812EC" w:rsidP="002C5654">
      <w:pPr>
        <w:pStyle w:val="ListParagraph"/>
        <w:numPr>
          <w:ilvl w:val="0"/>
          <w:numId w:val="13"/>
        </w:numPr>
        <w:spacing w:after="0" w:line="276" w:lineRule="auto"/>
        <w:ind w:left="0" w:firstLine="0"/>
        <w:rPr>
          <w:rFonts w:ascii="Arial" w:hAnsi="Arial" w:cs="Arial"/>
          <w:szCs w:val="24"/>
          <w:lang w:val="mn-MN"/>
        </w:rPr>
      </w:pPr>
      <w:r w:rsidRPr="004A68F2">
        <w:rPr>
          <w:rFonts w:ascii="Arial" w:hAnsi="Arial" w:cs="Arial"/>
          <w:szCs w:val="24"/>
          <w:lang w:val="mn-MN"/>
        </w:rPr>
        <w:t>202</w:t>
      </w:r>
      <w:r w:rsidR="00A946F1" w:rsidRPr="004A68F2">
        <w:rPr>
          <w:rFonts w:ascii="Arial" w:hAnsi="Arial" w:cs="Arial"/>
          <w:szCs w:val="24"/>
          <w:lang w:val="mn-MN"/>
        </w:rPr>
        <w:t>4</w:t>
      </w:r>
      <w:r w:rsidRPr="004A68F2">
        <w:rPr>
          <w:rFonts w:ascii="Arial" w:hAnsi="Arial" w:cs="Arial"/>
          <w:szCs w:val="24"/>
          <w:lang w:val="mn-MN"/>
        </w:rPr>
        <w:t xml:space="preserve"> оны </w:t>
      </w:r>
      <w:r w:rsidR="00A946F1" w:rsidRPr="004A68F2">
        <w:rPr>
          <w:rFonts w:ascii="Arial" w:hAnsi="Arial" w:cs="Arial"/>
          <w:szCs w:val="24"/>
          <w:lang w:val="mn-MN"/>
        </w:rPr>
        <w:t xml:space="preserve">жилийн эцсийн </w:t>
      </w:r>
      <w:r w:rsidRPr="004A68F2">
        <w:rPr>
          <w:rFonts w:ascii="Arial" w:hAnsi="Arial" w:cs="Arial"/>
          <w:szCs w:val="24"/>
          <w:lang w:val="mn-MN"/>
        </w:rPr>
        <w:t xml:space="preserve">байдлаар нийт </w:t>
      </w:r>
      <w:r w:rsidR="00A946F1" w:rsidRPr="004A68F2">
        <w:rPr>
          <w:rFonts w:ascii="Arial" w:hAnsi="Arial" w:cs="Arial"/>
          <w:szCs w:val="24"/>
          <w:lang w:val="mn-MN"/>
        </w:rPr>
        <w:t>504.9 мянган тэтгэвэр авагчдад 4.3 их</w:t>
      </w:r>
      <w:r w:rsidR="003232D3" w:rsidRPr="004A68F2">
        <w:rPr>
          <w:rFonts w:ascii="Arial" w:hAnsi="Arial" w:cs="Arial"/>
          <w:szCs w:val="24"/>
          <w:lang w:val="mn-MN"/>
        </w:rPr>
        <w:t xml:space="preserve"> </w:t>
      </w:r>
      <w:r w:rsidR="00A946F1" w:rsidRPr="004A68F2">
        <w:rPr>
          <w:rFonts w:ascii="Arial" w:hAnsi="Arial" w:cs="Arial"/>
          <w:szCs w:val="24"/>
          <w:lang w:val="mn-MN"/>
        </w:rPr>
        <w:t>наяд төгрөгийн тэтгэвэр олгосон</w:t>
      </w:r>
      <w:r w:rsidRPr="004A68F2">
        <w:rPr>
          <w:rFonts w:ascii="Arial" w:hAnsi="Arial" w:cs="Arial"/>
          <w:szCs w:val="24"/>
          <w:lang w:val="mn-MN"/>
        </w:rPr>
        <w:t xml:space="preserve">; </w:t>
      </w:r>
    </w:p>
    <w:p w14:paraId="37C85C8B" w14:textId="47A20339" w:rsidR="00A97425" w:rsidRPr="004A68F2" w:rsidRDefault="00A97425" w:rsidP="002C5654">
      <w:pPr>
        <w:pStyle w:val="ListParagraph"/>
        <w:numPr>
          <w:ilvl w:val="0"/>
          <w:numId w:val="13"/>
        </w:numPr>
        <w:spacing w:after="0" w:line="276" w:lineRule="auto"/>
        <w:ind w:left="0" w:firstLine="0"/>
        <w:rPr>
          <w:rFonts w:ascii="Arial" w:hAnsi="Arial" w:cs="Arial"/>
          <w:szCs w:val="24"/>
          <w:lang w:val="mn-MN"/>
        </w:rPr>
      </w:pPr>
      <w:r w:rsidRPr="004A68F2">
        <w:rPr>
          <w:rFonts w:ascii="Arial" w:hAnsi="Arial" w:cs="Arial"/>
          <w:szCs w:val="24"/>
          <w:lang w:val="mn-MN"/>
        </w:rPr>
        <w:t>2025 оны жилийн эцсийн байдлаар нийт 518.7 мянган тэтгэвэр авагчдад 4.9 их</w:t>
      </w:r>
      <w:r w:rsidR="003232D3" w:rsidRPr="004A68F2">
        <w:rPr>
          <w:rFonts w:ascii="Arial" w:hAnsi="Arial" w:cs="Arial"/>
          <w:szCs w:val="24"/>
          <w:lang w:val="mn-MN"/>
        </w:rPr>
        <w:t xml:space="preserve"> </w:t>
      </w:r>
      <w:r w:rsidRPr="004A68F2">
        <w:rPr>
          <w:rFonts w:ascii="Arial" w:hAnsi="Arial" w:cs="Arial"/>
          <w:szCs w:val="24"/>
          <w:lang w:val="mn-MN"/>
        </w:rPr>
        <w:t xml:space="preserve">наяд төгрөгийн тэтгэвэр олгосон; </w:t>
      </w:r>
    </w:p>
    <w:p w14:paraId="2BF1EF10" w14:textId="1AC141B2" w:rsidR="00A97425" w:rsidRPr="004A68F2" w:rsidRDefault="009812EC" w:rsidP="002C5654">
      <w:pPr>
        <w:pStyle w:val="ListParagraph"/>
        <w:numPr>
          <w:ilvl w:val="0"/>
          <w:numId w:val="13"/>
        </w:numPr>
        <w:spacing w:after="0" w:line="276" w:lineRule="auto"/>
        <w:ind w:left="0" w:firstLine="0"/>
        <w:rPr>
          <w:rFonts w:ascii="Arial" w:hAnsi="Arial" w:cs="Arial"/>
          <w:szCs w:val="24"/>
          <w:lang w:val="mn-MN"/>
        </w:rPr>
      </w:pPr>
      <w:r w:rsidRPr="004A68F2">
        <w:rPr>
          <w:rFonts w:ascii="Arial" w:hAnsi="Arial" w:cs="Arial"/>
          <w:szCs w:val="24"/>
          <w:lang w:val="mn-MN"/>
        </w:rPr>
        <w:t>202</w:t>
      </w:r>
      <w:r w:rsidR="00A97425" w:rsidRPr="004A68F2">
        <w:rPr>
          <w:rFonts w:ascii="Arial" w:hAnsi="Arial" w:cs="Arial"/>
          <w:szCs w:val="24"/>
          <w:lang w:val="mn-MN"/>
        </w:rPr>
        <w:t>6</w:t>
      </w:r>
      <w:r w:rsidRPr="004A68F2">
        <w:rPr>
          <w:rFonts w:ascii="Arial" w:hAnsi="Arial" w:cs="Arial"/>
          <w:szCs w:val="24"/>
          <w:lang w:val="mn-MN"/>
        </w:rPr>
        <w:t xml:space="preserve"> оны </w:t>
      </w:r>
      <w:r w:rsidR="00A946F1" w:rsidRPr="004A68F2">
        <w:rPr>
          <w:rFonts w:ascii="Arial" w:hAnsi="Arial" w:cs="Arial"/>
          <w:szCs w:val="24"/>
          <w:lang w:val="mn-MN"/>
        </w:rPr>
        <w:t xml:space="preserve">01 дүгээр сарын 01-ний өдрөөс бүх тэтгэвэр авагчдын тэтгэврийн хэмжээг </w:t>
      </w:r>
      <w:r w:rsidR="00A97425" w:rsidRPr="004A68F2">
        <w:rPr>
          <w:rFonts w:ascii="Arial" w:hAnsi="Arial" w:cs="Arial"/>
          <w:szCs w:val="24"/>
          <w:lang w:val="mn-MN"/>
        </w:rPr>
        <w:t>80.0 мянган төгрөгөөр</w:t>
      </w:r>
      <w:r w:rsidR="00A946F1" w:rsidRPr="004A68F2">
        <w:rPr>
          <w:rFonts w:ascii="Arial" w:hAnsi="Arial" w:cs="Arial"/>
          <w:szCs w:val="24"/>
          <w:lang w:val="mn-MN"/>
        </w:rPr>
        <w:t xml:space="preserve"> нэмэгдүүлсэн;</w:t>
      </w:r>
    </w:p>
    <w:p w14:paraId="66FE5D3B" w14:textId="274E2268" w:rsidR="009812EC" w:rsidRPr="004A68F2" w:rsidRDefault="009812EC" w:rsidP="002C5654">
      <w:pPr>
        <w:pStyle w:val="ListParagraph"/>
        <w:numPr>
          <w:ilvl w:val="0"/>
          <w:numId w:val="13"/>
        </w:numPr>
        <w:spacing w:after="0" w:line="276" w:lineRule="auto"/>
        <w:ind w:left="0" w:firstLine="0"/>
        <w:rPr>
          <w:rFonts w:ascii="Arial" w:hAnsi="Arial" w:cs="Arial"/>
          <w:szCs w:val="24"/>
          <w:lang w:val="mn-MN"/>
        </w:rPr>
      </w:pPr>
      <w:r w:rsidRPr="004A68F2">
        <w:rPr>
          <w:rFonts w:ascii="Arial" w:hAnsi="Arial" w:cs="Arial"/>
          <w:szCs w:val="24"/>
          <w:lang w:val="mn-MN"/>
        </w:rPr>
        <w:t xml:space="preserve"> </w:t>
      </w:r>
      <w:r w:rsidR="00433E68" w:rsidRPr="004A68F2">
        <w:rPr>
          <w:rFonts w:ascii="Arial" w:hAnsi="Arial" w:cs="Arial"/>
          <w:szCs w:val="24"/>
          <w:lang w:val="mn-MN"/>
        </w:rPr>
        <w:t>Тэтгэврийн даатгалын санд 63.8</w:t>
      </w:r>
      <w:r w:rsidR="0069026A" w:rsidRPr="004A68F2">
        <w:rPr>
          <w:rFonts w:ascii="Arial" w:hAnsi="Arial" w:cs="Arial"/>
          <w:szCs w:val="24"/>
          <w:lang w:val="mn-MN"/>
        </w:rPr>
        <w:t xml:space="preserve"> мянган ажил олгогчийн </w:t>
      </w:r>
      <w:r w:rsidR="00433E68" w:rsidRPr="004A68F2">
        <w:rPr>
          <w:rFonts w:ascii="Arial" w:hAnsi="Arial" w:cs="Arial"/>
          <w:szCs w:val="24"/>
          <w:lang w:val="mn-MN"/>
        </w:rPr>
        <w:t>1.</w:t>
      </w:r>
      <w:r w:rsidR="00137E10" w:rsidRPr="004A68F2">
        <w:rPr>
          <w:rFonts w:ascii="Arial" w:hAnsi="Arial" w:cs="Arial"/>
          <w:szCs w:val="24"/>
          <w:lang w:val="mn-MN"/>
        </w:rPr>
        <w:t>009</w:t>
      </w:r>
      <w:r w:rsidR="0069026A" w:rsidRPr="004A68F2">
        <w:rPr>
          <w:rFonts w:ascii="Arial" w:hAnsi="Arial" w:cs="Arial"/>
          <w:szCs w:val="24"/>
          <w:lang w:val="mn-MN"/>
        </w:rPr>
        <w:t>.</w:t>
      </w:r>
      <w:r w:rsidR="00137E10" w:rsidRPr="004A68F2">
        <w:rPr>
          <w:rFonts w:ascii="Arial" w:hAnsi="Arial" w:cs="Arial"/>
          <w:szCs w:val="24"/>
          <w:lang w:val="mn-MN"/>
        </w:rPr>
        <w:t>9</w:t>
      </w:r>
      <w:r w:rsidR="00433E68" w:rsidRPr="004A68F2">
        <w:rPr>
          <w:rFonts w:ascii="Arial" w:hAnsi="Arial" w:cs="Arial"/>
          <w:szCs w:val="24"/>
          <w:lang w:val="mn-MN"/>
        </w:rPr>
        <w:t xml:space="preserve"> мянган даатгуулагчийн, 1</w:t>
      </w:r>
      <w:r w:rsidR="00137E10" w:rsidRPr="004A68F2">
        <w:rPr>
          <w:rFonts w:ascii="Arial" w:hAnsi="Arial" w:cs="Arial"/>
          <w:szCs w:val="24"/>
          <w:lang w:val="mn-MN"/>
        </w:rPr>
        <w:t>30</w:t>
      </w:r>
      <w:r w:rsidR="0069026A" w:rsidRPr="004A68F2">
        <w:rPr>
          <w:rFonts w:ascii="Arial" w:hAnsi="Arial" w:cs="Arial"/>
          <w:szCs w:val="24"/>
          <w:lang w:val="mn-MN"/>
        </w:rPr>
        <w:t>.</w:t>
      </w:r>
      <w:r w:rsidR="00137E10" w:rsidRPr="004A68F2">
        <w:rPr>
          <w:rFonts w:ascii="Arial" w:hAnsi="Arial" w:cs="Arial"/>
          <w:szCs w:val="24"/>
          <w:lang w:val="mn-MN"/>
        </w:rPr>
        <w:t>6</w:t>
      </w:r>
      <w:r w:rsidR="0069026A" w:rsidRPr="004A68F2">
        <w:rPr>
          <w:rFonts w:ascii="Arial" w:hAnsi="Arial" w:cs="Arial"/>
          <w:szCs w:val="24"/>
          <w:lang w:val="mn-MN"/>
        </w:rPr>
        <w:t xml:space="preserve"> мян</w:t>
      </w:r>
      <w:r w:rsidR="003232D3" w:rsidRPr="004A68F2">
        <w:rPr>
          <w:rFonts w:ascii="Arial" w:hAnsi="Arial" w:cs="Arial"/>
          <w:szCs w:val="24"/>
          <w:lang w:val="mn-MN"/>
        </w:rPr>
        <w:t>ган сайн дураар даатгуулагчийн 5</w:t>
      </w:r>
      <w:r w:rsidR="0069026A" w:rsidRPr="004A68F2">
        <w:rPr>
          <w:rFonts w:ascii="Arial" w:hAnsi="Arial" w:cs="Arial"/>
          <w:szCs w:val="24"/>
          <w:lang w:val="mn-MN"/>
        </w:rPr>
        <w:t>.</w:t>
      </w:r>
      <w:r w:rsidR="003232D3" w:rsidRPr="004A68F2">
        <w:rPr>
          <w:rFonts w:ascii="Arial" w:hAnsi="Arial" w:cs="Arial"/>
          <w:szCs w:val="24"/>
          <w:lang w:val="mn-MN"/>
        </w:rPr>
        <w:t>2</w:t>
      </w:r>
      <w:r w:rsidR="0069026A" w:rsidRPr="004A68F2">
        <w:rPr>
          <w:rFonts w:ascii="Arial" w:hAnsi="Arial" w:cs="Arial"/>
          <w:szCs w:val="24"/>
          <w:lang w:val="mn-MN"/>
        </w:rPr>
        <w:t xml:space="preserve"> их</w:t>
      </w:r>
      <w:r w:rsidR="003232D3" w:rsidRPr="004A68F2">
        <w:rPr>
          <w:rFonts w:ascii="Arial" w:hAnsi="Arial" w:cs="Arial"/>
          <w:szCs w:val="24"/>
          <w:lang w:val="mn-MN"/>
        </w:rPr>
        <w:t xml:space="preserve"> </w:t>
      </w:r>
      <w:r w:rsidR="0069026A" w:rsidRPr="004A68F2">
        <w:rPr>
          <w:rFonts w:ascii="Arial" w:hAnsi="Arial" w:cs="Arial"/>
          <w:szCs w:val="24"/>
          <w:lang w:val="mn-MN"/>
        </w:rPr>
        <w:t>наяд төгрөгийн шимтгэлийн орлого төвлөрүүлсэн.</w:t>
      </w:r>
      <w:r w:rsidR="0066175F" w:rsidRPr="004A68F2">
        <w:rPr>
          <w:rFonts w:ascii="Arial" w:hAnsi="Arial" w:cs="Arial"/>
          <w:szCs w:val="24"/>
          <w:lang w:val="mn-MN"/>
        </w:rPr>
        <w:t xml:space="preserve"> (давхардаагүй тоогоор)</w:t>
      </w:r>
    </w:p>
    <w:p w14:paraId="6A12B8BE" w14:textId="6E2384EB" w:rsidR="004B36B6" w:rsidRPr="004A68F2" w:rsidRDefault="009F4FC7" w:rsidP="002C5654">
      <w:pPr>
        <w:pStyle w:val="ListParagraph"/>
        <w:spacing w:after="0" w:line="276" w:lineRule="auto"/>
        <w:ind w:left="0" w:firstLine="720"/>
        <w:rPr>
          <w:rFonts w:ascii="Arial" w:hAnsi="Arial" w:cs="Arial"/>
          <w:szCs w:val="24"/>
          <w:lang w:val="mn-MN"/>
        </w:rPr>
      </w:pPr>
      <w:r w:rsidRPr="004A68F2">
        <w:rPr>
          <w:rFonts w:ascii="Arial" w:hAnsi="Arial" w:cs="Arial"/>
          <w:szCs w:val="24"/>
          <w:lang w:val="mn-MN"/>
        </w:rPr>
        <w:t>Иймд</w:t>
      </w:r>
      <w:r w:rsidR="004B36B6" w:rsidRPr="004A68F2">
        <w:rPr>
          <w:rFonts w:ascii="Arial" w:hAnsi="Arial" w:cs="Arial"/>
          <w:szCs w:val="24"/>
          <w:lang w:val="mn-MN"/>
        </w:rPr>
        <w:t>:</w:t>
      </w:r>
    </w:p>
    <w:p w14:paraId="4DBC4EE1" w14:textId="3C4E66B5" w:rsidR="008F629B" w:rsidRPr="004A68F2" w:rsidRDefault="009F4FC7" w:rsidP="002C5654">
      <w:pPr>
        <w:pStyle w:val="ListParagraph"/>
        <w:spacing w:after="0" w:line="276" w:lineRule="auto"/>
        <w:ind w:left="0" w:firstLine="720"/>
        <w:rPr>
          <w:rFonts w:ascii="Arial" w:hAnsi="Arial" w:cs="Arial"/>
          <w:szCs w:val="24"/>
          <w:lang w:val="mn-MN"/>
        </w:rPr>
      </w:pPr>
      <w:r w:rsidRPr="004A68F2">
        <w:rPr>
          <w:rFonts w:ascii="Arial" w:hAnsi="Arial" w:cs="Arial"/>
          <w:szCs w:val="24"/>
          <w:lang w:val="mn-MN"/>
        </w:rPr>
        <w:t xml:space="preserve"> </w:t>
      </w:r>
      <w:r w:rsidR="004B36B6" w:rsidRPr="004A68F2">
        <w:rPr>
          <w:rFonts w:ascii="Arial" w:hAnsi="Arial" w:cs="Arial"/>
          <w:szCs w:val="24"/>
          <w:lang w:val="mn-MN"/>
        </w:rPr>
        <w:t>Э</w:t>
      </w:r>
      <w:r w:rsidRPr="004A68F2">
        <w:rPr>
          <w:rFonts w:ascii="Arial" w:hAnsi="Arial" w:cs="Arial"/>
          <w:szCs w:val="24"/>
          <w:lang w:val="mn-MN"/>
        </w:rPr>
        <w:t xml:space="preserve">нэхүү шалгуур үзүүлэлтийн хүрээнд </w:t>
      </w:r>
      <w:r w:rsidR="0069026A" w:rsidRPr="004A68F2">
        <w:rPr>
          <w:rFonts w:ascii="Arial" w:hAnsi="Arial" w:cs="Arial"/>
          <w:szCs w:val="24"/>
          <w:lang w:val="mn-MN"/>
        </w:rPr>
        <w:t xml:space="preserve">Нийгмийн даатгалын сангаас олгох тэтгэврийн тухай хууль </w:t>
      </w:r>
      <w:r w:rsidRPr="004A68F2">
        <w:rPr>
          <w:rFonts w:ascii="Arial" w:hAnsi="Arial" w:cs="Arial"/>
          <w:szCs w:val="24"/>
          <w:lang w:val="mn-MN"/>
        </w:rPr>
        <w:t xml:space="preserve">тогтоомжийн зохицуулалт хэрхэн хэрэгжиж байгаа, түүний эерэг </w:t>
      </w:r>
      <w:r w:rsidRPr="004A68F2">
        <w:rPr>
          <w:rFonts w:ascii="Arial" w:hAnsi="Arial" w:cs="Arial"/>
          <w:szCs w:val="24"/>
          <w:lang w:val="mn-MN"/>
        </w:rPr>
        <w:lastRenderedPageBreak/>
        <w:t>болон сөрөг үр дагавар хэрэгжүүлэхэд хүндрэл бэрхшээл гарч байгаа эсэхийг тодорхойлоход чиглэгддэг тул дараах зүйл, хэсэг, заалтыг уг шалгуурын хүрээнд сонгосон болно.</w:t>
      </w:r>
    </w:p>
    <w:p w14:paraId="3DAB7BE7" w14:textId="77777777" w:rsidR="004C0268" w:rsidRPr="004A68F2" w:rsidRDefault="004C0268" w:rsidP="002C5654">
      <w:pPr>
        <w:pStyle w:val="Caption"/>
        <w:keepNext/>
        <w:spacing w:after="0" w:line="276" w:lineRule="auto"/>
        <w:ind w:right="400"/>
        <w:rPr>
          <w:rFonts w:ascii="Arial" w:hAnsi="Arial" w:cs="Arial"/>
          <w:b/>
          <w:bCs/>
          <w:sz w:val="24"/>
          <w:szCs w:val="24"/>
          <w:lang w:val="mn-MN"/>
        </w:rPr>
      </w:pPr>
    </w:p>
    <w:p w14:paraId="54C1FBE6" w14:textId="79A36C11" w:rsidR="009F4FC7" w:rsidRPr="004A68F2" w:rsidRDefault="009F4FC7" w:rsidP="002C5654">
      <w:pPr>
        <w:pStyle w:val="Caption"/>
        <w:keepNext/>
        <w:spacing w:after="0" w:line="276" w:lineRule="auto"/>
        <w:ind w:right="400"/>
        <w:jc w:val="center"/>
        <w:rPr>
          <w:rFonts w:ascii="Arial" w:hAnsi="Arial" w:cs="Arial"/>
          <w:b/>
          <w:bCs/>
          <w:sz w:val="24"/>
          <w:szCs w:val="24"/>
          <w:lang w:val="mn-MN"/>
        </w:rPr>
      </w:pPr>
      <w:r w:rsidRPr="004A68F2">
        <w:rPr>
          <w:rFonts w:ascii="Arial" w:hAnsi="Arial" w:cs="Arial"/>
          <w:b/>
          <w:bCs/>
          <w:sz w:val="24"/>
          <w:szCs w:val="24"/>
          <w:lang w:val="mn-MN"/>
        </w:rPr>
        <w:t xml:space="preserve">Хүснэгт </w:t>
      </w:r>
      <w:r w:rsidRPr="004A68F2">
        <w:rPr>
          <w:rFonts w:ascii="Arial" w:hAnsi="Arial" w:cs="Arial"/>
          <w:b/>
          <w:bCs/>
          <w:sz w:val="24"/>
          <w:szCs w:val="24"/>
          <w:lang w:val="mn-MN"/>
        </w:rPr>
        <w:fldChar w:fldCharType="begin"/>
      </w:r>
      <w:r w:rsidRPr="004A68F2">
        <w:rPr>
          <w:rFonts w:ascii="Arial" w:hAnsi="Arial" w:cs="Arial"/>
          <w:b/>
          <w:bCs/>
          <w:sz w:val="24"/>
          <w:szCs w:val="24"/>
          <w:lang w:val="mn-MN"/>
        </w:rPr>
        <w:instrText xml:space="preserve"> SEQ Хүснэгт \* ARABIC </w:instrText>
      </w:r>
      <w:r w:rsidRPr="004A68F2">
        <w:rPr>
          <w:rFonts w:ascii="Arial" w:hAnsi="Arial" w:cs="Arial"/>
          <w:b/>
          <w:bCs/>
          <w:sz w:val="24"/>
          <w:szCs w:val="24"/>
          <w:lang w:val="mn-MN"/>
        </w:rPr>
        <w:fldChar w:fldCharType="separate"/>
      </w:r>
      <w:r w:rsidR="00372A17">
        <w:rPr>
          <w:rFonts w:ascii="Arial" w:hAnsi="Arial" w:cs="Arial"/>
          <w:b/>
          <w:bCs/>
          <w:noProof/>
          <w:sz w:val="24"/>
          <w:szCs w:val="24"/>
          <w:lang w:val="mn-MN"/>
        </w:rPr>
        <w:t>2</w:t>
      </w:r>
      <w:r w:rsidRPr="004A68F2">
        <w:rPr>
          <w:rFonts w:ascii="Arial" w:hAnsi="Arial" w:cs="Arial"/>
          <w:b/>
          <w:bCs/>
          <w:sz w:val="24"/>
          <w:szCs w:val="24"/>
          <w:lang w:val="mn-MN"/>
        </w:rPr>
        <w:fldChar w:fldCharType="end"/>
      </w:r>
      <w:r w:rsidRPr="004A68F2">
        <w:rPr>
          <w:rFonts w:ascii="Arial" w:hAnsi="Arial" w:cs="Arial"/>
          <w:b/>
          <w:bCs/>
          <w:sz w:val="24"/>
          <w:szCs w:val="24"/>
          <w:lang w:val="mn-MN"/>
        </w:rPr>
        <w:t>. Практикт нийцэж буй байдал, шалгуур үзүүлэлтийн хүрээнд сонгосон зүйл заалтууд</w:t>
      </w:r>
    </w:p>
    <w:tbl>
      <w:tblPr>
        <w:tblStyle w:val="TableGrid"/>
        <w:tblW w:w="9776" w:type="dxa"/>
        <w:tblLook w:val="04A0" w:firstRow="1" w:lastRow="0" w:firstColumn="1" w:lastColumn="0" w:noHBand="0" w:noVBand="1"/>
      </w:tblPr>
      <w:tblGrid>
        <w:gridCol w:w="704"/>
        <w:gridCol w:w="2126"/>
        <w:gridCol w:w="6946"/>
      </w:tblGrid>
      <w:tr w:rsidR="00EC5DE1" w:rsidRPr="004A68F2" w14:paraId="2B4122CE" w14:textId="77777777" w:rsidTr="006D7B45">
        <w:tc>
          <w:tcPr>
            <w:tcW w:w="704" w:type="dxa"/>
          </w:tcPr>
          <w:p w14:paraId="0771D2F7" w14:textId="5C00D0B3" w:rsidR="00EC5DE1" w:rsidRPr="004A68F2" w:rsidRDefault="00AC52CF" w:rsidP="002C5654">
            <w:pPr>
              <w:spacing w:line="276" w:lineRule="auto"/>
              <w:rPr>
                <w:rFonts w:ascii="Arial" w:hAnsi="Arial" w:cs="Arial"/>
                <w:b/>
                <w:bCs/>
                <w:szCs w:val="24"/>
                <w:lang w:val="mn-MN"/>
              </w:rPr>
            </w:pPr>
            <w:r w:rsidRPr="004A68F2">
              <w:rPr>
                <w:rFonts w:ascii="Arial" w:hAnsi="Arial" w:cs="Arial"/>
                <w:b/>
                <w:bCs/>
                <w:szCs w:val="24"/>
                <w:lang w:val="mn-MN"/>
              </w:rPr>
              <w:t>Д/д</w:t>
            </w:r>
          </w:p>
        </w:tc>
        <w:tc>
          <w:tcPr>
            <w:tcW w:w="2126" w:type="dxa"/>
          </w:tcPr>
          <w:p w14:paraId="34B7051A" w14:textId="11A2921B" w:rsidR="00EC5DE1" w:rsidRPr="004A68F2" w:rsidRDefault="00EC5DE1" w:rsidP="002C5654">
            <w:pPr>
              <w:spacing w:line="276" w:lineRule="auto"/>
              <w:jc w:val="center"/>
              <w:rPr>
                <w:rFonts w:ascii="Arial" w:hAnsi="Arial" w:cs="Arial"/>
                <w:b/>
                <w:bCs/>
                <w:szCs w:val="24"/>
                <w:lang w:val="mn-MN"/>
              </w:rPr>
            </w:pPr>
            <w:r w:rsidRPr="004A68F2">
              <w:rPr>
                <w:rFonts w:ascii="Arial" w:hAnsi="Arial" w:cs="Arial"/>
                <w:b/>
                <w:bCs/>
                <w:szCs w:val="24"/>
                <w:lang w:val="mn-MN"/>
              </w:rPr>
              <w:t>Сонгосон зүйл, хэсэг, заалт</w:t>
            </w:r>
          </w:p>
        </w:tc>
        <w:tc>
          <w:tcPr>
            <w:tcW w:w="6946" w:type="dxa"/>
          </w:tcPr>
          <w:p w14:paraId="6C4B9933" w14:textId="24CBBEDF" w:rsidR="00EC5DE1" w:rsidRPr="004A68F2" w:rsidRDefault="00EC5DE1" w:rsidP="002C5654">
            <w:pPr>
              <w:spacing w:line="276" w:lineRule="auto"/>
              <w:jc w:val="center"/>
              <w:rPr>
                <w:rFonts w:ascii="Arial" w:hAnsi="Arial" w:cs="Arial"/>
                <w:b/>
                <w:bCs/>
                <w:szCs w:val="24"/>
                <w:lang w:val="mn-MN"/>
              </w:rPr>
            </w:pPr>
            <w:r w:rsidRPr="004A68F2">
              <w:rPr>
                <w:rFonts w:ascii="Arial" w:hAnsi="Arial" w:cs="Arial"/>
                <w:b/>
                <w:bCs/>
                <w:szCs w:val="24"/>
                <w:lang w:val="mn-MN"/>
              </w:rPr>
              <w:t>Зүйл</w:t>
            </w:r>
            <w:r w:rsidR="009812EC" w:rsidRPr="004A68F2">
              <w:rPr>
                <w:rFonts w:ascii="Arial" w:hAnsi="Arial" w:cs="Arial"/>
                <w:b/>
                <w:bCs/>
                <w:szCs w:val="24"/>
                <w:lang w:val="mn-MN"/>
              </w:rPr>
              <w:t>,</w:t>
            </w:r>
            <w:r w:rsidRPr="004A68F2">
              <w:rPr>
                <w:rFonts w:ascii="Arial" w:hAnsi="Arial" w:cs="Arial"/>
                <w:b/>
                <w:bCs/>
                <w:szCs w:val="24"/>
                <w:lang w:val="mn-MN"/>
              </w:rPr>
              <w:t xml:space="preserve"> хэсэг</w:t>
            </w:r>
            <w:r w:rsidR="009812EC" w:rsidRPr="004A68F2">
              <w:rPr>
                <w:rFonts w:ascii="Arial" w:hAnsi="Arial" w:cs="Arial"/>
                <w:b/>
                <w:bCs/>
                <w:szCs w:val="24"/>
                <w:lang w:val="mn-MN"/>
              </w:rPr>
              <w:t>,</w:t>
            </w:r>
            <w:r w:rsidRPr="004A68F2">
              <w:rPr>
                <w:rFonts w:ascii="Arial" w:hAnsi="Arial" w:cs="Arial"/>
                <w:b/>
                <w:bCs/>
                <w:szCs w:val="24"/>
                <w:lang w:val="mn-MN"/>
              </w:rPr>
              <w:t xml:space="preserve"> заалтын агуулга</w:t>
            </w:r>
          </w:p>
        </w:tc>
      </w:tr>
      <w:tr w:rsidR="00706244" w:rsidRPr="004A68F2" w14:paraId="02A5E44E" w14:textId="77777777" w:rsidTr="006D7B45">
        <w:tc>
          <w:tcPr>
            <w:tcW w:w="704" w:type="dxa"/>
          </w:tcPr>
          <w:p w14:paraId="510E42EC" w14:textId="77777777" w:rsidR="00706244" w:rsidRPr="004A68F2" w:rsidRDefault="00706244" w:rsidP="002C5654">
            <w:pPr>
              <w:pStyle w:val="ListParagraph"/>
              <w:numPr>
                <w:ilvl w:val="0"/>
                <w:numId w:val="11"/>
              </w:numPr>
              <w:spacing w:line="276" w:lineRule="auto"/>
              <w:ind w:left="0" w:firstLine="0"/>
              <w:rPr>
                <w:rFonts w:ascii="Arial" w:hAnsi="Arial" w:cs="Arial"/>
                <w:szCs w:val="24"/>
                <w:lang w:val="mn-MN"/>
              </w:rPr>
            </w:pPr>
          </w:p>
        </w:tc>
        <w:tc>
          <w:tcPr>
            <w:tcW w:w="2126" w:type="dxa"/>
          </w:tcPr>
          <w:p w14:paraId="2B2A44C2" w14:textId="33574B7E" w:rsidR="00706244" w:rsidRPr="004A68F2" w:rsidRDefault="00706244" w:rsidP="002C5654">
            <w:pPr>
              <w:spacing w:line="276" w:lineRule="auto"/>
              <w:rPr>
                <w:rFonts w:ascii="Arial" w:hAnsi="Arial" w:cs="Arial"/>
                <w:szCs w:val="24"/>
                <w:lang w:val="mn-MN"/>
              </w:rPr>
            </w:pPr>
            <w:r w:rsidRPr="004A68F2">
              <w:rPr>
                <w:rFonts w:ascii="Arial" w:hAnsi="Arial" w:cs="Arial"/>
                <w:szCs w:val="24"/>
                <w:lang w:val="mn-MN"/>
              </w:rPr>
              <w:t>3 дугаар зүйл</w:t>
            </w:r>
          </w:p>
        </w:tc>
        <w:tc>
          <w:tcPr>
            <w:tcW w:w="6946" w:type="dxa"/>
          </w:tcPr>
          <w:p w14:paraId="0F9C84F8" w14:textId="36F7E6D5" w:rsidR="00706244" w:rsidRPr="004A68F2" w:rsidRDefault="00706244" w:rsidP="002C5654">
            <w:pPr>
              <w:spacing w:line="276" w:lineRule="auto"/>
              <w:rPr>
                <w:rFonts w:ascii="Arial" w:hAnsi="Arial" w:cs="Arial"/>
                <w:szCs w:val="24"/>
                <w:lang w:val="mn-MN"/>
              </w:rPr>
            </w:pPr>
            <w:r w:rsidRPr="004A68F2">
              <w:rPr>
                <w:rFonts w:ascii="Arial" w:hAnsi="Arial" w:cs="Arial"/>
                <w:szCs w:val="24"/>
                <w:lang w:val="mn-MN"/>
              </w:rPr>
              <w:t>Тэтгэврийн даатгалын сангаас олгох тэтгэврийн төрөл</w:t>
            </w:r>
          </w:p>
        </w:tc>
      </w:tr>
      <w:tr w:rsidR="0066175F" w:rsidRPr="004A68F2" w14:paraId="4E248DCA" w14:textId="77777777" w:rsidTr="006D7B45">
        <w:tc>
          <w:tcPr>
            <w:tcW w:w="704" w:type="dxa"/>
          </w:tcPr>
          <w:p w14:paraId="011D0875" w14:textId="77777777" w:rsidR="0066175F" w:rsidRPr="004A68F2" w:rsidRDefault="0066175F" w:rsidP="002C5654">
            <w:pPr>
              <w:pStyle w:val="ListParagraph"/>
              <w:numPr>
                <w:ilvl w:val="0"/>
                <w:numId w:val="11"/>
              </w:numPr>
              <w:spacing w:line="276" w:lineRule="auto"/>
              <w:ind w:left="0" w:firstLine="0"/>
              <w:rPr>
                <w:rFonts w:ascii="Arial" w:hAnsi="Arial" w:cs="Arial"/>
                <w:szCs w:val="24"/>
                <w:lang w:val="mn-MN"/>
              </w:rPr>
            </w:pPr>
          </w:p>
        </w:tc>
        <w:tc>
          <w:tcPr>
            <w:tcW w:w="2126" w:type="dxa"/>
          </w:tcPr>
          <w:p w14:paraId="51DA2A93" w14:textId="38289D42" w:rsidR="0066175F" w:rsidRPr="004A68F2" w:rsidRDefault="0066175F" w:rsidP="002C5654">
            <w:pPr>
              <w:spacing w:line="276" w:lineRule="auto"/>
              <w:rPr>
                <w:rFonts w:ascii="Arial" w:hAnsi="Arial" w:cs="Arial"/>
                <w:szCs w:val="24"/>
                <w:lang w:val="mn-MN"/>
              </w:rPr>
            </w:pPr>
            <w:r w:rsidRPr="004A68F2">
              <w:rPr>
                <w:rFonts w:ascii="Arial" w:hAnsi="Arial" w:cs="Arial"/>
                <w:szCs w:val="24"/>
                <w:lang w:val="mn-MN"/>
              </w:rPr>
              <w:t xml:space="preserve">5 дугаар зүйл </w:t>
            </w:r>
          </w:p>
        </w:tc>
        <w:tc>
          <w:tcPr>
            <w:tcW w:w="6946" w:type="dxa"/>
          </w:tcPr>
          <w:p w14:paraId="39A01A7A" w14:textId="0925C3D2" w:rsidR="0066175F" w:rsidRPr="004A68F2" w:rsidRDefault="0066175F" w:rsidP="002C5654">
            <w:pPr>
              <w:spacing w:line="276" w:lineRule="auto"/>
              <w:rPr>
                <w:rFonts w:ascii="Arial" w:hAnsi="Arial" w:cs="Arial"/>
                <w:szCs w:val="24"/>
                <w:lang w:val="mn-MN"/>
              </w:rPr>
            </w:pPr>
            <w:r w:rsidRPr="004A68F2">
              <w:rPr>
                <w:rFonts w:ascii="Arial" w:hAnsi="Arial" w:cs="Arial"/>
                <w:szCs w:val="24"/>
                <w:lang w:val="mn-MN"/>
              </w:rPr>
              <w:t>Өндөр насны тэтгэвэр авах эрх</w:t>
            </w:r>
          </w:p>
        </w:tc>
      </w:tr>
      <w:tr w:rsidR="0066175F" w:rsidRPr="004A68F2" w14:paraId="62B98EA7" w14:textId="77777777" w:rsidTr="006D7B45">
        <w:tc>
          <w:tcPr>
            <w:tcW w:w="704" w:type="dxa"/>
          </w:tcPr>
          <w:p w14:paraId="7CE0F440" w14:textId="5DDBCB57" w:rsidR="0066175F" w:rsidRPr="004A68F2" w:rsidRDefault="0066175F" w:rsidP="002C5654">
            <w:pPr>
              <w:pStyle w:val="ListParagraph"/>
              <w:numPr>
                <w:ilvl w:val="0"/>
                <w:numId w:val="11"/>
              </w:numPr>
              <w:spacing w:line="276" w:lineRule="auto"/>
              <w:ind w:left="0" w:firstLine="0"/>
              <w:rPr>
                <w:rFonts w:ascii="Arial" w:hAnsi="Arial" w:cs="Arial"/>
                <w:szCs w:val="24"/>
                <w:lang w:val="mn-MN"/>
              </w:rPr>
            </w:pPr>
          </w:p>
        </w:tc>
        <w:tc>
          <w:tcPr>
            <w:tcW w:w="2126" w:type="dxa"/>
          </w:tcPr>
          <w:p w14:paraId="5D073D06" w14:textId="42ECFFE3" w:rsidR="0066175F" w:rsidRPr="004A68F2" w:rsidRDefault="0066175F" w:rsidP="002C5654">
            <w:pPr>
              <w:spacing w:line="276" w:lineRule="auto"/>
              <w:rPr>
                <w:rFonts w:ascii="Arial" w:hAnsi="Arial" w:cs="Arial"/>
                <w:szCs w:val="24"/>
                <w:lang w:val="mn-MN"/>
              </w:rPr>
            </w:pPr>
            <w:r w:rsidRPr="004A68F2">
              <w:rPr>
                <w:rFonts w:ascii="Arial" w:hAnsi="Arial" w:cs="Arial"/>
                <w:szCs w:val="24"/>
                <w:lang w:val="mn-MN"/>
              </w:rPr>
              <w:t>6 дугаар зүйл</w:t>
            </w:r>
          </w:p>
        </w:tc>
        <w:tc>
          <w:tcPr>
            <w:tcW w:w="6946" w:type="dxa"/>
          </w:tcPr>
          <w:p w14:paraId="79BD0018" w14:textId="19219217" w:rsidR="0066175F" w:rsidRPr="004A68F2" w:rsidRDefault="0066175F" w:rsidP="002C5654">
            <w:pPr>
              <w:spacing w:line="276" w:lineRule="auto"/>
              <w:rPr>
                <w:rFonts w:ascii="Arial" w:hAnsi="Arial" w:cs="Arial"/>
                <w:szCs w:val="24"/>
                <w:lang w:val="mn-MN"/>
              </w:rPr>
            </w:pPr>
            <w:r w:rsidRPr="004A68F2">
              <w:rPr>
                <w:rFonts w:ascii="Arial" w:hAnsi="Arial" w:cs="Arial"/>
                <w:szCs w:val="24"/>
                <w:lang w:val="mn-MN"/>
              </w:rPr>
              <w:t>Өндөр насны тэтгэвэр бодох арга</w:t>
            </w:r>
          </w:p>
        </w:tc>
      </w:tr>
      <w:tr w:rsidR="0066175F" w:rsidRPr="004A68F2" w14:paraId="5B2DCB4A" w14:textId="77777777" w:rsidTr="006D7B45">
        <w:tc>
          <w:tcPr>
            <w:tcW w:w="704" w:type="dxa"/>
          </w:tcPr>
          <w:p w14:paraId="488DB4D4" w14:textId="77777777" w:rsidR="0066175F" w:rsidRPr="004A68F2" w:rsidRDefault="0066175F" w:rsidP="002C5654">
            <w:pPr>
              <w:pStyle w:val="ListParagraph"/>
              <w:numPr>
                <w:ilvl w:val="0"/>
                <w:numId w:val="11"/>
              </w:numPr>
              <w:spacing w:line="276" w:lineRule="auto"/>
              <w:ind w:left="0" w:firstLine="0"/>
              <w:rPr>
                <w:rFonts w:ascii="Arial" w:hAnsi="Arial" w:cs="Arial"/>
                <w:szCs w:val="24"/>
                <w:lang w:val="mn-MN"/>
              </w:rPr>
            </w:pPr>
          </w:p>
        </w:tc>
        <w:tc>
          <w:tcPr>
            <w:tcW w:w="2126" w:type="dxa"/>
          </w:tcPr>
          <w:p w14:paraId="7F5EFF1B" w14:textId="43296F1F" w:rsidR="0066175F" w:rsidRPr="004A68F2" w:rsidRDefault="0066175F" w:rsidP="002C5654">
            <w:pPr>
              <w:spacing w:line="276" w:lineRule="auto"/>
              <w:rPr>
                <w:rFonts w:ascii="Arial" w:hAnsi="Arial" w:cs="Arial"/>
                <w:szCs w:val="24"/>
                <w:lang w:val="mn-MN"/>
              </w:rPr>
            </w:pPr>
            <w:r w:rsidRPr="004A68F2">
              <w:rPr>
                <w:rFonts w:ascii="Arial" w:hAnsi="Arial" w:cs="Arial"/>
                <w:szCs w:val="24"/>
                <w:lang w:val="mn-MN"/>
              </w:rPr>
              <w:t>9 дүгээр зүйл</w:t>
            </w:r>
          </w:p>
        </w:tc>
        <w:tc>
          <w:tcPr>
            <w:tcW w:w="6946" w:type="dxa"/>
          </w:tcPr>
          <w:p w14:paraId="7A6DA3B2" w14:textId="144B0F0E" w:rsidR="0066175F" w:rsidRPr="004A68F2" w:rsidRDefault="0066175F" w:rsidP="002C5654">
            <w:pPr>
              <w:spacing w:line="276" w:lineRule="auto"/>
              <w:rPr>
                <w:rFonts w:ascii="Arial" w:hAnsi="Arial" w:cs="Arial"/>
                <w:szCs w:val="24"/>
                <w:lang w:val="mn-MN"/>
              </w:rPr>
            </w:pPr>
            <w:r w:rsidRPr="004A68F2">
              <w:rPr>
                <w:rFonts w:ascii="Arial" w:hAnsi="Arial" w:cs="Arial"/>
                <w:szCs w:val="24"/>
                <w:lang w:val="mn-MN"/>
              </w:rPr>
              <w:t>Өндөр насны тэтгэврийн тусгай зохицуулалт</w:t>
            </w:r>
          </w:p>
        </w:tc>
      </w:tr>
      <w:tr w:rsidR="0066175F" w:rsidRPr="004A68F2" w14:paraId="1455D15C" w14:textId="77777777" w:rsidTr="006D7B45">
        <w:tc>
          <w:tcPr>
            <w:tcW w:w="704" w:type="dxa"/>
          </w:tcPr>
          <w:p w14:paraId="496B684B" w14:textId="77777777" w:rsidR="0066175F" w:rsidRPr="004A68F2" w:rsidRDefault="0066175F" w:rsidP="002C5654">
            <w:pPr>
              <w:pStyle w:val="ListParagraph"/>
              <w:numPr>
                <w:ilvl w:val="0"/>
                <w:numId w:val="11"/>
              </w:numPr>
              <w:spacing w:line="276" w:lineRule="auto"/>
              <w:ind w:left="0" w:firstLine="0"/>
              <w:rPr>
                <w:rFonts w:ascii="Arial" w:hAnsi="Arial" w:cs="Arial"/>
                <w:szCs w:val="24"/>
                <w:lang w:val="mn-MN"/>
              </w:rPr>
            </w:pPr>
          </w:p>
        </w:tc>
        <w:tc>
          <w:tcPr>
            <w:tcW w:w="2126" w:type="dxa"/>
          </w:tcPr>
          <w:p w14:paraId="388CECA6" w14:textId="60E556D5" w:rsidR="0066175F" w:rsidRPr="004A68F2" w:rsidRDefault="0066175F" w:rsidP="002C5654">
            <w:pPr>
              <w:spacing w:line="276" w:lineRule="auto"/>
              <w:rPr>
                <w:rFonts w:ascii="Arial" w:hAnsi="Arial" w:cs="Arial"/>
                <w:szCs w:val="24"/>
                <w:lang w:val="mn-MN"/>
              </w:rPr>
            </w:pPr>
            <w:r w:rsidRPr="004A68F2">
              <w:rPr>
                <w:rFonts w:ascii="Arial" w:hAnsi="Arial" w:cs="Arial"/>
                <w:szCs w:val="24"/>
                <w:lang w:val="mn-MN"/>
              </w:rPr>
              <w:t>20 дугаар зүйл</w:t>
            </w:r>
          </w:p>
        </w:tc>
        <w:tc>
          <w:tcPr>
            <w:tcW w:w="6946" w:type="dxa"/>
          </w:tcPr>
          <w:p w14:paraId="115F6942" w14:textId="59411A85" w:rsidR="0066175F" w:rsidRPr="004A68F2" w:rsidRDefault="0066175F" w:rsidP="002C5654">
            <w:pPr>
              <w:spacing w:line="276" w:lineRule="auto"/>
              <w:rPr>
                <w:rFonts w:ascii="Arial" w:hAnsi="Arial" w:cs="Arial"/>
                <w:szCs w:val="24"/>
                <w:lang w:val="mn-MN"/>
              </w:rPr>
            </w:pPr>
            <w:r w:rsidRPr="004A68F2">
              <w:rPr>
                <w:rFonts w:ascii="Arial" w:hAnsi="Arial" w:cs="Arial"/>
                <w:szCs w:val="24"/>
                <w:shd w:val="clear" w:color="auto" w:fill="FFFFFF"/>
                <w:lang w:val="mn-MN"/>
              </w:rPr>
              <w:t>Тэтгэвэр тогтоолгох цалин хөлс, түүнтэй адилтгах орлогыг тодорхойлох</w:t>
            </w:r>
          </w:p>
        </w:tc>
      </w:tr>
    </w:tbl>
    <w:p w14:paraId="06B9685E" w14:textId="77777777" w:rsidR="008F629B" w:rsidRPr="004A68F2" w:rsidRDefault="008F629B" w:rsidP="002C5654">
      <w:pPr>
        <w:spacing w:after="0" w:line="276" w:lineRule="auto"/>
        <w:rPr>
          <w:rFonts w:ascii="Arial" w:hAnsi="Arial" w:cs="Arial"/>
          <w:szCs w:val="24"/>
          <w:lang w:val="mn-MN"/>
        </w:rPr>
      </w:pPr>
    </w:p>
    <w:p w14:paraId="52366981" w14:textId="458CEA17" w:rsidR="00AE2D47" w:rsidRPr="004A68F2" w:rsidRDefault="00AE2D47" w:rsidP="002C5654">
      <w:pPr>
        <w:pStyle w:val="Heading2"/>
        <w:numPr>
          <w:ilvl w:val="1"/>
          <w:numId w:val="18"/>
        </w:numPr>
        <w:spacing w:before="0" w:line="276" w:lineRule="auto"/>
        <w:ind w:left="0" w:firstLine="0"/>
        <w:rPr>
          <w:rFonts w:ascii="Arial" w:hAnsi="Arial" w:cs="Arial"/>
          <w:b/>
          <w:bCs/>
          <w:szCs w:val="24"/>
          <w:lang w:val="mn-MN"/>
        </w:rPr>
      </w:pPr>
      <w:bookmarkStart w:id="9" w:name="_Toc196842518"/>
      <w:r w:rsidRPr="004A68F2">
        <w:rPr>
          <w:rFonts w:ascii="Arial" w:hAnsi="Arial" w:cs="Arial"/>
          <w:b/>
          <w:bCs/>
          <w:szCs w:val="24"/>
          <w:lang w:val="mn-MN"/>
        </w:rPr>
        <w:t>Шалгуур үзүүлэлтийг томьёолох</w:t>
      </w:r>
      <w:bookmarkEnd w:id="9"/>
      <w:r w:rsidRPr="004A68F2">
        <w:rPr>
          <w:rFonts w:ascii="Arial" w:hAnsi="Arial" w:cs="Arial"/>
          <w:b/>
          <w:bCs/>
          <w:szCs w:val="24"/>
          <w:lang w:val="mn-MN"/>
        </w:rPr>
        <w:t xml:space="preserve"> </w:t>
      </w:r>
    </w:p>
    <w:p w14:paraId="3CB5CF25" w14:textId="77777777" w:rsidR="004012CB" w:rsidRPr="004A68F2" w:rsidRDefault="004012CB" w:rsidP="002C5654">
      <w:pPr>
        <w:spacing w:after="0" w:line="276" w:lineRule="auto"/>
        <w:rPr>
          <w:rFonts w:ascii="Arial" w:hAnsi="Arial" w:cs="Arial"/>
          <w:szCs w:val="24"/>
          <w:lang w:val="mn-MN"/>
        </w:rPr>
      </w:pPr>
    </w:p>
    <w:p w14:paraId="286ED50F" w14:textId="77777777" w:rsidR="00ED55C1" w:rsidRPr="004A68F2" w:rsidRDefault="009812EC" w:rsidP="002C5654">
      <w:pPr>
        <w:spacing w:after="0" w:line="276" w:lineRule="auto"/>
        <w:ind w:firstLine="720"/>
        <w:rPr>
          <w:rFonts w:ascii="Arial" w:hAnsi="Arial" w:cs="Arial"/>
          <w:szCs w:val="24"/>
          <w:lang w:val="mn-MN"/>
        </w:rPr>
      </w:pPr>
      <w:r w:rsidRPr="004A68F2">
        <w:rPr>
          <w:rFonts w:ascii="Arial" w:hAnsi="Arial" w:cs="Arial"/>
          <w:szCs w:val="24"/>
          <w:lang w:val="mn-MN"/>
        </w:rPr>
        <w:t>Э</w:t>
      </w:r>
      <w:r w:rsidR="00AE2D47" w:rsidRPr="004A68F2">
        <w:rPr>
          <w:rFonts w:ascii="Arial" w:hAnsi="Arial" w:cs="Arial"/>
          <w:szCs w:val="24"/>
          <w:lang w:val="mn-MN"/>
        </w:rPr>
        <w:t xml:space="preserve">нэхүү үнэлгээг хийхэд </w:t>
      </w:r>
      <w:r w:rsidR="0032125D" w:rsidRPr="004A68F2">
        <w:rPr>
          <w:rFonts w:ascii="Arial" w:hAnsi="Arial" w:cs="Arial"/>
          <w:szCs w:val="24"/>
          <w:lang w:val="mn-MN"/>
        </w:rPr>
        <w:t>“</w:t>
      </w:r>
      <w:r w:rsidR="00AE2D47" w:rsidRPr="004A68F2">
        <w:rPr>
          <w:rFonts w:ascii="Arial" w:hAnsi="Arial" w:cs="Arial"/>
          <w:szCs w:val="24"/>
          <w:lang w:val="mn-MN"/>
        </w:rPr>
        <w:t>зорилгод хүрсэн түвшин</w:t>
      </w:r>
      <w:r w:rsidR="0032125D" w:rsidRPr="004A68F2">
        <w:rPr>
          <w:rFonts w:ascii="Arial" w:hAnsi="Arial" w:cs="Arial"/>
          <w:szCs w:val="24"/>
          <w:lang w:val="mn-MN"/>
        </w:rPr>
        <w:t>” болон</w:t>
      </w:r>
      <w:r w:rsidR="00AE2D47" w:rsidRPr="004A68F2">
        <w:rPr>
          <w:rFonts w:ascii="Arial" w:hAnsi="Arial" w:cs="Arial"/>
          <w:szCs w:val="24"/>
          <w:lang w:val="mn-MN"/>
        </w:rPr>
        <w:t xml:space="preserve"> </w:t>
      </w:r>
      <w:r w:rsidR="0032125D" w:rsidRPr="004A68F2">
        <w:rPr>
          <w:rFonts w:ascii="Arial" w:hAnsi="Arial" w:cs="Arial"/>
          <w:szCs w:val="24"/>
          <w:lang w:val="mn-MN"/>
        </w:rPr>
        <w:t>“</w:t>
      </w:r>
      <w:r w:rsidR="00AE2D47" w:rsidRPr="004A68F2">
        <w:rPr>
          <w:rFonts w:ascii="Arial" w:hAnsi="Arial" w:cs="Arial"/>
          <w:szCs w:val="24"/>
          <w:lang w:val="mn-MN"/>
        </w:rPr>
        <w:t>практикт нийцэж байгаа байдал</w:t>
      </w:r>
      <w:r w:rsidR="0032125D" w:rsidRPr="004A68F2">
        <w:rPr>
          <w:rFonts w:ascii="Arial" w:hAnsi="Arial" w:cs="Arial"/>
          <w:szCs w:val="24"/>
          <w:lang w:val="mn-MN"/>
        </w:rPr>
        <w:t>”</w:t>
      </w:r>
      <w:r w:rsidR="00AE2D47" w:rsidRPr="004A68F2">
        <w:rPr>
          <w:rFonts w:ascii="Arial" w:hAnsi="Arial" w:cs="Arial"/>
          <w:szCs w:val="24"/>
          <w:lang w:val="mn-MN"/>
        </w:rPr>
        <w:t xml:space="preserve"> гэсэн шалгуур үзүүлэлтүүдийг сонгож авсан болно. </w:t>
      </w:r>
    </w:p>
    <w:p w14:paraId="6EB166F9" w14:textId="6EBC9A5A" w:rsidR="00AE2D47" w:rsidRPr="004A68F2" w:rsidRDefault="00AE2D47" w:rsidP="002C5654">
      <w:pPr>
        <w:spacing w:after="0" w:line="276" w:lineRule="auto"/>
        <w:ind w:firstLine="720"/>
        <w:rPr>
          <w:rFonts w:ascii="Arial" w:hAnsi="Arial" w:cs="Arial"/>
          <w:szCs w:val="24"/>
          <w:lang w:val="mn-MN"/>
        </w:rPr>
      </w:pPr>
      <w:r w:rsidRPr="004A68F2">
        <w:rPr>
          <w:rFonts w:ascii="Arial" w:hAnsi="Arial" w:cs="Arial"/>
          <w:szCs w:val="24"/>
          <w:lang w:val="mn-MN"/>
        </w:rPr>
        <w:t>Шалгуур үзүүлэлтийг томьёолохдоо сонгосон шал</w:t>
      </w:r>
      <w:r w:rsidR="003F43BB" w:rsidRPr="004A68F2">
        <w:rPr>
          <w:rFonts w:ascii="Arial" w:hAnsi="Arial" w:cs="Arial"/>
          <w:szCs w:val="24"/>
          <w:lang w:val="mn-MN"/>
        </w:rPr>
        <w:t>гуур үзүүлэлтийн хүрээнд дараах асуултуудыг боловсруулав</w:t>
      </w:r>
      <w:r w:rsidRPr="004A68F2">
        <w:rPr>
          <w:rFonts w:ascii="Arial" w:hAnsi="Arial" w:cs="Arial"/>
          <w:szCs w:val="24"/>
          <w:lang w:val="mn-MN"/>
        </w:rPr>
        <w:t>.</w:t>
      </w:r>
    </w:p>
    <w:p w14:paraId="685D670D" w14:textId="77777777" w:rsidR="0069026A" w:rsidRPr="004A68F2" w:rsidRDefault="0069026A" w:rsidP="002C5654">
      <w:pPr>
        <w:spacing w:after="0" w:line="276" w:lineRule="auto"/>
        <w:ind w:firstLine="720"/>
        <w:rPr>
          <w:rFonts w:ascii="Arial" w:hAnsi="Arial" w:cs="Arial"/>
          <w:b/>
          <w:bCs/>
          <w:i/>
          <w:iCs/>
          <w:szCs w:val="24"/>
          <w:lang w:val="mn-MN"/>
        </w:rPr>
      </w:pPr>
    </w:p>
    <w:p w14:paraId="2E5FFD27" w14:textId="21C04680" w:rsidR="00AE2D47" w:rsidRPr="004A68F2" w:rsidRDefault="00AE2D47" w:rsidP="002C5654">
      <w:pPr>
        <w:spacing w:after="0" w:line="276" w:lineRule="auto"/>
        <w:ind w:firstLine="720"/>
        <w:rPr>
          <w:rFonts w:ascii="Arial" w:hAnsi="Arial" w:cs="Arial"/>
          <w:b/>
          <w:bCs/>
          <w:i/>
          <w:iCs/>
          <w:szCs w:val="24"/>
          <w:lang w:val="mn-MN"/>
        </w:rPr>
      </w:pPr>
      <w:r w:rsidRPr="004A68F2">
        <w:rPr>
          <w:rFonts w:ascii="Arial" w:hAnsi="Arial" w:cs="Arial"/>
          <w:b/>
          <w:bCs/>
          <w:i/>
          <w:iCs/>
          <w:szCs w:val="24"/>
          <w:lang w:val="mn-MN"/>
        </w:rPr>
        <w:t xml:space="preserve">Зорилгод хүрсэн түвшин шалгуур үзүүлэлтийн хүрээнд: </w:t>
      </w:r>
    </w:p>
    <w:p w14:paraId="6FFAC8F4" w14:textId="3680B7A7" w:rsidR="0069026A" w:rsidRPr="004A68F2" w:rsidRDefault="00ED55C1" w:rsidP="002C5654">
      <w:pPr>
        <w:pStyle w:val="ListParagraph"/>
        <w:spacing w:after="0" w:line="276" w:lineRule="auto"/>
        <w:ind w:left="0" w:firstLine="567"/>
        <w:rPr>
          <w:rFonts w:ascii="Arial" w:hAnsi="Arial" w:cs="Arial"/>
          <w:szCs w:val="24"/>
          <w:lang w:val="mn-MN"/>
        </w:rPr>
      </w:pPr>
      <w:r w:rsidRPr="004A68F2">
        <w:rPr>
          <w:rFonts w:ascii="Arial" w:hAnsi="Arial" w:cs="Arial"/>
          <w:szCs w:val="24"/>
          <w:lang w:val="mn-MN"/>
        </w:rPr>
        <w:t>1.</w:t>
      </w:r>
      <w:r w:rsidR="00B31901" w:rsidRPr="004A68F2">
        <w:rPr>
          <w:rFonts w:ascii="Arial" w:hAnsi="Arial" w:cs="Arial"/>
          <w:szCs w:val="24"/>
          <w:lang w:val="mn-MN"/>
        </w:rPr>
        <w:t xml:space="preserve"> </w:t>
      </w:r>
      <w:r w:rsidR="0069026A" w:rsidRPr="004A68F2">
        <w:rPr>
          <w:rFonts w:ascii="Arial" w:hAnsi="Arial" w:cs="Arial"/>
          <w:szCs w:val="24"/>
          <w:lang w:val="mn-MN"/>
        </w:rPr>
        <w:t>Нийгмийн даатгалын сангаас олгох тэтгэврийн тухай хуулийн 3</w:t>
      </w:r>
      <w:r w:rsidR="0032125D" w:rsidRPr="004A68F2">
        <w:rPr>
          <w:rFonts w:ascii="Arial" w:hAnsi="Arial" w:cs="Arial"/>
          <w:szCs w:val="24"/>
          <w:lang w:val="mn-MN"/>
        </w:rPr>
        <w:t xml:space="preserve"> дугаар зүйл.</w:t>
      </w:r>
      <w:r w:rsidR="0018254C" w:rsidRPr="004A68F2">
        <w:rPr>
          <w:rFonts w:ascii="Arial" w:hAnsi="Arial" w:cs="Arial"/>
          <w:szCs w:val="24"/>
          <w:lang w:val="mn-MN"/>
        </w:rPr>
        <w:t xml:space="preserve"> </w:t>
      </w:r>
      <w:r w:rsidR="0069026A" w:rsidRPr="004A68F2">
        <w:rPr>
          <w:rFonts w:ascii="Arial" w:hAnsi="Arial" w:cs="Arial"/>
          <w:szCs w:val="24"/>
          <w:lang w:val="mn-MN"/>
        </w:rPr>
        <w:t>Монгол Улсын урт, дунд хугацааны бодлого, хөтөлбөрт тусгасан “олон давхаргат тэтгэврийн тогтолцоо”-</w:t>
      </w:r>
      <w:r w:rsidR="00742120" w:rsidRPr="004A68F2">
        <w:rPr>
          <w:rFonts w:ascii="Arial" w:hAnsi="Arial" w:cs="Arial"/>
          <w:szCs w:val="24"/>
          <w:lang w:val="mn-MN"/>
        </w:rPr>
        <w:t xml:space="preserve">ны </w:t>
      </w:r>
      <w:r w:rsidR="004A68F2" w:rsidRPr="004A68F2">
        <w:rPr>
          <w:rFonts w:ascii="Arial" w:hAnsi="Arial" w:cs="Arial"/>
          <w:szCs w:val="24"/>
          <w:lang w:val="mn-MN"/>
        </w:rPr>
        <w:t>элементийг</w:t>
      </w:r>
      <w:r w:rsidR="00742120" w:rsidRPr="004A68F2">
        <w:rPr>
          <w:rFonts w:ascii="Arial" w:hAnsi="Arial" w:cs="Arial"/>
          <w:szCs w:val="24"/>
          <w:lang w:val="mn-MN"/>
        </w:rPr>
        <w:t xml:space="preserve"> нэвтрүүлсэн эсэх</w:t>
      </w:r>
      <w:r w:rsidR="00F74958" w:rsidRPr="004A68F2">
        <w:rPr>
          <w:rFonts w:ascii="Arial" w:hAnsi="Arial" w:cs="Arial"/>
          <w:szCs w:val="24"/>
          <w:lang w:val="mn-MN"/>
        </w:rPr>
        <w:t xml:space="preserve">; </w:t>
      </w:r>
    </w:p>
    <w:p w14:paraId="6562FFAE" w14:textId="343889E9" w:rsidR="00706244" w:rsidRPr="004A68F2" w:rsidRDefault="00706244" w:rsidP="002C5654">
      <w:pPr>
        <w:pStyle w:val="ListParagraph"/>
        <w:spacing w:after="0" w:line="276" w:lineRule="auto"/>
        <w:ind w:left="0" w:firstLine="567"/>
        <w:rPr>
          <w:rFonts w:ascii="Arial" w:hAnsi="Arial" w:cs="Arial"/>
          <w:szCs w:val="24"/>
          <w:lang w:val="mn-MN"/>
        </w:rPr>
      </w:pPr>
      <w:r w:rsidRPr="004A68F2">
        <w:rPr>
          <w:rFonts w:ascii="Arial" w:hAnsi="Arial" w:cs="Arial"/>
          <w:szCs w:val="24"/>
          <w:lang w:val="mn-MN"/>
        </w:rPr>
        <w:t xml:space="preserve">2. Нийгмийн даатгалын сангаас олгох тэтгэврийн тухай хуулийн 5 дугаар зүйл. “Өндөр насны тэтгэвэр авах эрх” нь Монгол Улсын урт, дунд хугацааны бодлого, хөтөлбөрт нийцсэн эсэх;  </w:t>
      </w:r>
    </w:p>
    <w:p w14:paraId="14705E21" w14:textId="7011BACB" w:rsidR="00DF51D9" w:rsidRPr="004A68F2" w:rsidRDefault="0066175F" w:rsidP="002C5654">
      <w:pPr>
        <w:pStyle w:val="ListParagraph"/>
        <w:spacing w:after="0" w:line="276" w:lineRule="auto"/>
        <w:ind w:left="0" w:firstLine="567"/>
        <w:rPr>
          <w:rFonts w:ascii="Arial" w:hAnsi="Arial" w:cs="Arial"/>
          <w:szCs w:val="24"/>
          <w:lang w:val="mn-MN" w:bidi="mn-Mong-MN"/>
        </w:rPr>
      </w:pPr>
      <w:r w:rsidRPr="004A68F2">
        <w:rPr>
          <w:rFonts w:ascii="Arial" w:hAnsi="Arial" w:cs="Arial"/>
          <w:szCs w:val="24"/>
          <w:lang w:val="mn-MN"/>
        </w:rPr>
        <w:t>3. Нийгмийн даатгалын сангаас о</w:t>
      </w:r>
      <w:r w:rsidR="0077204F" w:rsidRPr="004A68F2">
        <w:rPr>
          <w:rFonts w:ascii="Arial" w:hAnsi="Arial" w:cs="Arial"/>
          <w:szCs w:val="24"/>
          <w:lang w:val="mn-MN"/>
        </w:rPr>
        <w:t>лгох тэтгэврийн тухай хуулийн 6</w:t>
      </w:r>
      <w:r w:rsidRPr="004A68F2">
        <w:rPr>
          <w:rFonts w:ascii="Arial" w:hAnsi="Arial" w:cs="Arial"/>
          <w:szCs w:val="24"/>
          <w:lang w:val="mn-MN"/>
        </w:rPr>
        <w:t xml:space="preserve"> дугаар зүйл. </w:t>
      </w:r>
      <w:r w:rsidR="00DF51D9" w:rsidRPr="004A68F2">
        <w:rPr>
          <w:rFonts w:ascii="Arial" w:hAnsi="Arial" w:cs="Arial"/>
          <w:szCs w:val="24"/>
          <w:lang w:val="mn-MN"/>
        </w:rPr>
        <w:t>Нэрийн дансны аргаар</w:t>
      </w:r>
      <w:r w:rsidR="0077204F" w:rsidRPr="004A68F2">
        <w:rPr>
          <w:rFonts w:ascii="Arial" w:hAnsi="Arial" w:cs="Arial"/>
          <w:szCs w:val="24"/>
          <w:lang w:val="mn-MN"/>
        </w:rPr>
        <w:t xml:space="preserve"> тэтгэвэр бодох арга</w:t>
      </w:r>
      <w:r w:rsidRPr="004A68F2">
        <w:rPr>
          <w:rFonts w:ascii="Arial" w:hAnsi="Arial" w:cs="Arial"/>
          <w:szCs w:val="24"/>
          <w:lang w:val="mn-MN" w:bidi="mn-Mong-MN"/>
        </w:rPr>
        <w:t xml:space="preserve"> нь </w:t>
      </w:r>
      <w:r w:rsidR="00DF51D9" w:rsidRPr="004A68F2">
        <w:rPr>
          <w:rFonts w:ascii="Arial" w:hAnsi="Arial" w:cs="Arial"/>
          <w:szCs w:val="24"/>
          <w:lang w:val="mn-MN" w:bidi="mn-Mong-MN"/>
        </w:rPr>
        <w:t>Монгол Улсын урт, дунд хугацааны бодлого, хөтөлбөрт нийцсэн эсэх;</w:t>
      </w:r>
    </w:p>
    <w:p w14:paraId="2333D3A6" w14:textId="6B32BC58" w:rsidR="0077204F" w:rsidRPr="004A68F2" w:rsidRDefault="0077204F" w:rsidP="002C5654">
      <w:pPr>
        <w:pStyle w:val="ListParagraph"/>
        <w:spacing w:after="0" w:line="276" w:lineRule="auto"/>
        <w:ind w:left="0" w:firstLine="567"/>
        <w:rPr>
          <w:rFonts w:ascii="Arial" w:hAnsi="Arial" w:cs="Arial"/>
          <w:szCs w:val="24"/>
          <w:lang w:val="mn-MN" w:bidi="mn-Mong-MN"/>
        </w:rPr>
      </w:pPr>
      <w:r w:rsidRPr="004A68F2">
        <w:rPr>
          <w:rFonts w:ascii="Arial" w:hAnsi="Arial" w:cs="Arial"/>
          <w:szCs w:val="24"/>
          <w:lang w:val="mn-MN" w:bidi="mn-Mong-MN"/>
        </w:rPr>
        <w:t>4.</w:t>
      </w:r>
      <w:r w:rsidRPr="004A68F2">
        <w:rPr>
          <w:rFonts w:ascii="Arial" w:hAnsi="Arial" w:cs="Arial"/>
          <w:szCs w:val="24"/>
          <w:lang w:val="mn-MN"/>
        </w:rPr>
        <w:t xml:space="preserve"> Нийгмийн даатгалын сангаас олгох тэтгэврийн тухай хуулийн 9 дүгээр зүйл. Өндөр насны тэтгэврийн тусгай зохицуулалт нь</w:t>
      </w:r>
      <w:r w:rsidRPr="004A68F2">
        <w:rPr>
          <w:rFonts w:ascii="Arial" w:hAnsi="Arial" w:cs="Arial"/>
          <w:szCs w:val="24"/>
          <w:lang w:val="mn-MN" w:bidi="mn-Mong-MN"/>
        </w:rPr>
        <w:t xml:space="preserve"> хууль тогтоомжид нийцсэн эсэх.</w:t>
      </w:r>
    </w:p>
    <w:p w14:paraId="2D890616" w14:textId="68ED2A22" w:rsidR="003232D3" w:rsidRPr="004A68F2" w:rsidRDefault="0077204F" w:rsidP="002C5654">
      <w:pPr>
        <w:pStyle w:val="ListParagraph"/>
        <w:spacing w:after="0" w:line="276" w:lineRule="auto"/>
        <w:ind w:left="0" w:firstLine="567"/>
        <w:rPr>
          <w:rFonts w:ascii="Arial" w:hAnsi="Arial" w:cs="Arial"/>
          <w:szCs w:val="24"/>
          <w:lang w:val="mn-MN" w:bidi="mn-Mong-MN"/>
        </w:rPr>
      </w:pPr>
      <w:r w:rsidRPr="004A68F2">
        <w:rPr>
          <w:rFonts w:ascii="Arial" w:hAnsi="Arial" w:cs="Arial"/>
          <w:szCs w:val="24"/>
          <w:lang w:val="mn-MN"/>
        </w:rPr>
        <w:t>5</w:t>
      </w:r>
      <w:r w:rsidR="003232D3" w:rsidRPr="004A68F2">
        <w:rPr>
          <w:rFonts w:ascii="Arial" w:hAnsi="Arial" w:cs="Arial"/>
          <w:szCs w:val="24"/>
          <w:lang w:val="mn-MN"/>
        </w:rPr>
        <w:t xml:space="preserve">. Нийгмийн даатгалын сангаас олгох тэтгэврийн тухай хуулийн 20 дугаар зүйл. Тэтгэвэр тогтооход баримтлах дундаж цалин </w:t>
      </w:r>
      <w:r w:rsidR="003232D3" w:rsidRPr="004A68F2">
        <w:rPr>
          <w:rFonts w:ascii="Arial" w:hAnsi="Arial" w:cs="Arial"/>
          <w:szCs w:val="24"/>
          <w:lang w:val="mn-MN" w:bidi="mn-Mong-MN"/>
        </w:rPr>
        <w:t>(5 жил) хөлс нь Монгол Улсын урт, дунд хугацааны бодлого, хөтөлбөрт нийцсэн эсэх.</w:t>
      </w:r>
    </w:p>
    <w:p w14:paraId="6D68DF76" w14:textId="22C8190E" w:rsidR="002C5654" w:rsidRPr="004A68F2" w:rsidRDefault="00F74958" w:rsidP="00733F5E">
      <w:pPr>
        <w:pStyle w:val="ListParagraph"/>
        <w:spacing w:after="0" w:line="276" w:lineRule="auto"/>
        <w:ind w:left="0" w:firstLine="567"/>
        <w:rPr>
          <w:rFonts w:ascii="Arial" w:hAnsi="Arial" w:cs="Arial"/>
          <w:szCs w:val="24"/>
          <w:lang w:val="mn-MN"/>
        </w:rPr>
      </w:pPr>
      <w:r w:rsidRPr="004A68F2">
        <w:rPr>
          <w:rFonts w:ascii="Arial" w:hAnsi="Arial" w:cs="Arial"/>
          <w:szCs w:val="24"/>
          <w:lang w:val="mn-MN"/>
        </w:rPr>
        <w:t xml:space="preserve"> </w:t>
      </w:r>
    </w:p>
    <w:p w14:paraId="0306D929" w14:textId="5105FA87" w:rsidR="00B31901" w:rsidRPr="004A68F2" w:rsidRDefault="00B31901" w:rsidP="002C5654">
      <w:pPr>
        <w:spacing w:after="0" w:line="276" w:lineRule="auto"/>
        <w:ind w:firstLine="720"/>
        <w:rPr>
          <w:rFonts w:ascii="Arial" w:hAnsi="Arial" w:cs="Arial"/>
          <w:b/>
          <w:bCs/>
          <w:i/>
          <w:iCs/>
          <w:szCs w:val="24"/>
          <w:lang w:val="mn-MN"/>
        </w:rPr>
      </w:pPr>
      <w:r w:rsidRPr="004A68F2">
        <w:rPr>
          <w:rFonts w:ascii="Arial" w:hAnsi="Arial" w:cs="Arial"/>
          <w:b/>
          <w:bCs/>
          <w:i/>
          <w:iCs/>
          <w:szCs w:val="24"/>
          <w:lang w:val="mn-MN"/>
        </w:rPr>
        <w:t xml:space="preserve">Практикт нийцэж буй байдал шалгуур үзүүлэлтийн хүрээнд: </w:t>
      </w:r>
    </w:p>
    <w:p w14:paraId="638FC983" w14:textId="73D4D356" w:rsidR="00ED55C1" w:rsidRPr="004A68F2" w:rsidRDefault="00742120" w:rsidP="002C5654">
      <w:pPr>
        <w:pStyle w:val="ListParagraph"/>
        <w:spacing w:after="0" w:line="276" w:lineRule="auto"/>
        <w:ind w:left="0" w:firstLine="567"/>
        <w:rPr>
          <w:rFonts w:ascii="Arial" w:hAnsi="Arial" w:cs="Arial"/>
          <w:szCs w:val="24"/>
          <w:lang w:val="mn-MN"/>
        </w:rPr>
      </w:pPr>
      <w:r w:rsidRPr="004A68F2">
        <w:rPr>
          <w:rFonts w:ascii="Arial" w:hAnsi="Arial" w:cs="Arial"/>
          <w:szCs w:val="24"/>
          <w:lang w:val="mn-MN"/>
        </w:rPr>
        <w:t xml:space="preserve">- </w:t>
      </w:r>
      <w:r w:rsidR="0069026A" w:rsidRPr="004A68F2">
        <w:rPr>
          <w:rFonts w:ascii="Arial" w:hAnsi="Arial" w:cs="Arial"/>
          <w:szCs w:val="24"/>
          <w:lang w:val="mn-MN"/>
        </w:rPr>
        <w:t>Нийгмийн даатгалын сангаас олгох тэтгэврийн тухай хуулийн 3</w:t>
      </w:r>
      <w:r w:rsidR="00B31901" w:rsidRPr="004A68F2">
        <w:rPr>
          <w:rFonts w:ascii="Arial" w:hAnsi="Arial" w:cs="Arial"/>
          <w:szCs w:val="24"/>
          <w:lang w:val="mn-MN"/>
        </w:rPr>
        <w:t xml:space="preserve"> </w:t>
      </w:r>
      <w:r w:rsidR="0069026A" w:rsidRPr="004A68F2">
        <w:rPr>
          <w:rFonts w:ascii="Arial" w:hAnsi="Arial" w:cs="Arial"/>
          <w:szCs w:val="24"/>
          <w:lang w:val="mn-MN"/>
        </w:rPr>
        <w:t>дугаар зүйл:</w:t>
      </w:r>
    </w:p>
    <w:p w14:paraId="3C2E1761" w14:textId="28735AA9" w:rsidR="00742120" w:rsidRPr="004A68F2" w:rsidRDefault="0069026A" w:rsidP="002C5654">
      <w:pPr>
        <w:spacing w:after="0" w:line="276" w:lineRule="auto"/>
        <w:rPr>
          <w:rFonts w:ascii="Arial" w:hAnsi="Arial" w:cs="Arial"/>
          <w:szCs w:val="24"/>
          <w:lang w:val="mn-MN"/>
        </w:rPr>
      </w:pPr>
      <w:r w:rsidRPr="004A68F2">
        <w:rPr>
          <w:rFonts w:ascii="Arial" w:hAnsi="Arial" w:cs="Arial"/>
          <w:szCs w:val="24"/>
          <w:lang w:val="mn-MN"/>
        </w:rPr>
        <w:lastRenderedPageBreak/>
        <w:tab/>
        <w:t xml:space="preserve">Тэтгэврийн даатгалын сангаас олгох тэтгэврийн төрлийг тусгасан хэдий ч Монгол Улсын </w:t>
      </w:r>
      <w:r w:rsidR="00742120" w:rsidRPr="004A68F2">
        <w:rPr>
          <w:rFonts w:ascii="Arial" w:hAnsi="Arial" w:cs="Arial"/>
          <w:szCs w:val="24"/>
          <w:lang w:val="mn-MN"/>
        </w:rPr>
        <w:t>урт, дунд хугацааны бодлогын баримт бичигт тусгасан суурь тэтгэвэр олгох зорилго, зорилт туссан эсэх;</w:t>
      </w:r>
    </w:p>
    <w:p w14:paraId="38FC1D32" w14:textId="7BF18847" w:rsidR="00742120" w:rsidRPr="004A68F2" w:rsidRDefault="00742120" w:rsidP="002C5654">
      <w:pPr>
        <w:pStyle w:val="ListParagraph"/>
        <w:spacing w:after="0" w:line="276" w:lineRule="auto"/>
        <w:ind w:left="0" w:firstLine="567"/>
        <w:rPr>
          <w:rFonts w:ascii="Arial" w:hAnsi="Arial" w:cs="Arial"/>
          <w:szCs w:val="24"/>
          <w:lang w:val="mn-MN"/>
        </w:rPr>
      </w:pPr>
      <w:r w:rsidRPr="004A68F2">
        <w:rPr>
          <w:rFonts w:ascii="Arial" w:hAnsi="Arial" w:cs="Arial"/>
          <w:szCs w:val="24"/>
          <w:lang w:val="mn-MN"/>
        </w:rPr>
        <w:t xml:space="preserve">- Нийгмийн даатгалын сангаас олгох тэтгэврийн тухай хуулийн 5 дугаар зүйл: Даатгуулагчийн өндөр насны тэтгэвэр тогтоолгох </w:t>
      </w:r>
      <w:r w:rsidR="003232D3" w:rsidRPr="004A68F2">
        <w:rPr>
          <w:rFonts w:ascii="Arial" w:hAnsi="Arial" w:cs="Arial"/>
          <w:szCs w:val="24"/>
          <w:lang w:val="mn-MN"/>
        </w:rPr>
        <w:t>нас шударгаар тодорхойлсон эсэх;</w:t>
      </w:r>
    </w:p>
    <w:p w14:paraId="4B4BE241" w14:textId="03FF863C" w:rsidR="0077204F" w:rsidRPr="004A68F2" w:rsidRDefault="00ED55C1" w:rsidP="002C5654">
      <w:pPr>
        <w:pStyle w:val="ListParagraph"/>
        <w:spacing w:after="0" w:line="276" w:lineRule="auto"/>
        <w:ind w:left="0" w:firstLine="567"/>
        <w:rPr>
          <w:rFonts w:ascii="Arial" w:hAnsi="Arial" w:cs="Arial"/>
          <w:szCs w:val="24"/>
          <w:lang w:val="mn-MN" w:bidi="mn-Mong-MN"/>
        </w:rPr>
      </w:pPr>
      <w:r w:rsidRPr="004A68F2">
        <w:rPr>
          <w:rFonts w:ascii="Arial" w:hAnsi="Arial" w:cs="Arial"/>
          <w:szCs w:val="24"/>
          <w:lang w:val="mn-MN"/>
        </w:rPr>
        <w:t xml:space="preserve">- </w:t>
      </w:r>
      <w:r w:rsidR="00742120" w:rsidRPr="004A68F2">
        <w:rPr>
          <w:rFonts w:ascii="Arial" w:hAnsi="Arial" w:cs="Arial"/>
          <w:szCs w:val="24"/>
          <w:lang w:val="mn-MN"/>
        </w:rPr>
        <w:t>Нийгмийн даатгалын сангаас олгох тэтгэврийн тухай хуулийн 6</w:t>
      </w:r>
      <w:r w:rsidR="0066170B" w:rsidRPr="004A68F2">
        <w:rPr>
          <w:rFonts w:ascii="Arial" w:hAnsi="Arial" w:cs="Arial"/>
          <w:szCs w:val="24"/>
          <w:lang w:val="mn-MN"/>
        </w:rPr>
        <w:t xml:space="preserve"> дугаар зүйл. </w:t>
      </w:r>
      <w:r w:rsidR="00742120" w:rsidRPr="004A68F2">
        <w:rPr>
          <w:rFonts w:ascii="Arial" w:hAnsi="Arial" w:cs="Arial"/>
          <w:szCs w:val="24"/>
          <w:lang w:val="mn-MN"/>
        </w:rPr>
        <w:t>Хагас хуримтлалын тогтолцоонд үе шаттай шилжих зорилгоор даатгуулагчийн тэтгэврийн даатгалын шимтгэлийн 2 хувийг тэтгэврийн</w:t>
      </w:r>
      <w:r w:rsidR="003F43BB" w:rsidRPr="004A68F2">
        <w:rPr>
          <w:rFonts w:ascii="Arial" w:hAnsi="Arial" w:cs="Arial"/>
          <w:szCs w:val="24"/>
          <w:lang w:val="mn-MN"/>
        </w:rPr>
        <w:t xml:space="preserve"> </w:t>
      </w:r>
      <w:r w:rsidR="00742120" w:rsidRPr="004A68F2">
        <w:rPr>
          <w:rFonts w:ascii="Arial" w:hAnsi="Arial" w:cs="Arial"/>
          <w:szCs w:val="24"/>
          <w:lang w:val="mn-MN"/>
        </w:rPr>
        <w:t>нөөц санд хуримтлуулж байгаа</w:t>
      </w:r>
      <w:r w:rsidR="003F43BB" w:rsidRPr="004A68F2">
        <w:rPr>
          <w:rFonts w:ascii="Arial" w:hAnsi="Arial" w:cs="Arial"/>
          <w:szCs w:val="24"/>
          <w:lang w:val="mn-MN"/>
        </w:rPr>
        <w:t>т</w:t>
      </w:r>
      <w:r w:rsidR="00742120" w:rsidRPr="004A68F2">
        <w:rPr>
          <w:rFonts w:ascii="Arial" w:hAnsi="Arial" w:cs="Arial"/>
          <w:szCs w:val="24"/>
          <w:lang w:val="mn-MN"/>
        </w:rPr>
        <w:t>ай холбогдуулан тэтгэвэр бодох аргыг оновчтой тодорхойлсон эсэх</w:t>
      </w:r>
      <w:r w:rsidR="003232D3" w:rsidRPr="004A68F2">
        <w:rPr>
          <w:rFonts w:ascii="Arial" w:hAnsi="Arial" w:cs="Arial"/>
          <w:szCs w:val="24"/>
          <w:lang w:val="mn-MN" w:bidi="mn-Mong-MN"/>
        </w:rPr>
        <w:t>;</w:t>
      </w:r>
    </w:p>
    <w:p w14:paraId="7CCD542E" w14:textId="270A92E9" w:rsidR="0036029B" w:rsidRPr="004A68F2" w:rsidRDefault="0036029B" w:rsidP="002C5654">
      <w:pPr>
        <w:pStyle w:val="ListParagraph"/>
        <w:spacing w:after="0" w:line="276" w:lineRule="auto"/>
        <w:ind w:left="0" w:firstLine="567"/>
        <w:rPr>
          <w:rFonts w:ascii="Arial" w:hAnsi="Arial" w:cs="Arial"/>
          <w:szCs w:val="24"/>
          <w:lang w:val="mn-MN" w:bidi="mn-Mong-MN"/>
        </w:rPr>
      </w:pPr>
      <w:r w:rsidRPr="004A68F2">
        <w:rPr>
          <w:rFonts w:ascii="Arial" w:hAnsi="Arial" w:cs="Arial"/>
          <w:szCs w:val="24"/>
          <w:lang w:val="mn-MN" w:bidi="mn-Mong-MN"/>
        </w:rPr>
        <w:t>-</w:t>
      </w:r>
      <w:r w:rsidRPr="004A68F2">
        <w:rPr>
          <w:rFonts w:ascii="Arial" w:hAnsi="Arial" w:cs="Arial"/>
          <w:szCs w:val="24"/>
          <w:lang w:val="mn-MN"/>
        </w:rPr>
        <w:t xml:space="preserve"> Нийгмийн даатгалын сангаас олгох тэтгэврийн тухай хуулийн 9 дүгээр зүйл. Өндөр насны тэтгэврийн тусгай зохицуулалт нь</w:t>
      </w:r>
      <w:r w:rsidRPr="004A68F2">
        <w:rPr>
          <w:rFonts w:ascii="Arial" w:hAnsi="Arial" w:cs="Arial"/>
          <w:szCs w:val="24"/>
          <w:lang w:val="mn-MN" w:bidi="mn-Mong-MN"/>
        </w:rPr>
        <w:t xml:space="preserve"> зөв тодорхойлогдсон эсэх;</w:t>
      </w:r>
    </w:p>
    <w:p w14:paraId="4913B085" w14:textId="4D0C77AA" w:rsidR="003F43BB" w:rsidRPr="004A68F2" w:rsidRDefault="003F43BB" w:rsidP="002C5654">
      <w:pPr>
        <w:pStyle w:val="ListParagraph"/>
        <w:spacing w:after="0" w:line="276" w:lineRule="auto"/>
        <w:ind w:left="0" w:firstLine="567"/>
        <w:rPr>
          <w:rFonts w:ascii="Arial" w:hAnsi="Arial" w:cs="Arial"/>
          <w:szCs w:val="24"/>
          <w:lang w:val="mn-MN" w:bidi="mn-Mong-MN"/>
        </w:rPr>
      </w:pPr>
      <w:r w:rsidRPr="004A68F2">
        <w:rPr>
          <w:rFonts w:ascii="Arial" w:hAnsi="Arial" w:cs="Arial"/>
          <w:szCs w:val="24"/>
          <w:lang w:val="mn-MN" w:bidi="mn-Mong-MN"/>
        </w:rPr>
        <w:t>-</w:t>
      </w:r>
      <w:r w:rsidRPr="004A68F2">
        <w:rPr>
          <w:rFonts w:ascii="Arial" w:hAnsi="Arial" w:cs="Arial"/>
          <w:szCs w:val="24"/>
          <w:lang w:val="mn-MN"/>
        </w:rPr>
        <w:t xml:space="preserve"> Нийгмийн даатгалын сангаас олгох тэтгэврийн тухай хуулийн 20 дугаар зүйл</w:t>
      </w:r>
      <w:r w:rsidR="00482C72" w:rsidRPr="004A68F2">
        <w:rPr>
          <w:rFonts w:ascii="Arial" w:hAnsi="Arial" w:cs="Arial"/>
          <w:szCs w:val="24"/>
          <w:lang w:val="mn-MN"/>
        </w:rPr>
        <w:t>.</w:t>
      </w:r>
      <w:r w:rsidRPr="004A68F2">
        <w:rPr>
          <w:rFonts w:ascii="Arial" w:hAnsi="Arial" w:cs="Arial"/>
          <w:szCs w:val="24"/>
          <w:lang w:val="mn-MN"/>
        </w:rPr>
        <w:t xml:space="preserve"> Даатгуулагчийн тэтгэвэр тогтооход баримтлах дундаж ца</w:t>
      </w:r>
      <w:r w:rsidR="0036029B" w:rsidRPr="004A68F2">
        <w:rPr>
          <w:rFonts w:ascii="Arial" w:hAnsi="Arial" w:cs="Arial"/>
          <w:szCs w:val="24"/>
          <w:lang w:val="mn-MN"/>
        </w:rPr>
        <w:t>лин</w:t>
      </w:r>
      <w:r w:rsidR="00482C72" w:rsidRPr="004A68F2">
        <w:rPr>
          <w:rFonts w:ascii="Arial" w:hAnsi="Arial" w:cs="Arial"/>
          <w:szCs w:val="24"/>
          <w:lang w:val="mn-MN"/>
        </w:rPr>
        <w:t>г</w:t>
      </w:r>
      <w:r w:rsidR="0036029B" w:rsidRPr="004A68F2">
        <w:rPr>
          <w:rFonts w:ascii="Arial" w:hAnsi="Arial" w:cs="Arial"/>
          <w:szCs w:val="24"/>
          <w:lang w:val="mn-MN"/>
        </w:rPr>
        <w:t xml:space="preserve"> шударгаар тодорхойлсон эсэх</w:t>
      </w:r>
      <w:r w:rsidR="0036029B" w:rsidRPr="004A68F2">
        <w:rPr>
          <w:rFonts w:ascii="Arial" w:hAnsi="Arial" w:cs="Arial"/>
          <w:szCs w:val="24"/>
          <w:lang w:val="mn-MN" w:bidi="mn-Mong-MN"/>
        </w:rPr>
        <w:t>:</w:t>
      </w:r>
    </w:p>
    <w:p w14:paraId="6F441771" w14:textId="349CC051" w:rsidR="00445FAD" w:rsidRPr="004A68F2" w:rsidRDefault="003551F0" w:rsidP="002C5654">
      <w:pPr>
        <w:spacing w:after="0" w:line="276" w:lineRule="auto"/>
        <w:rPr>
          <w:rFonts w:ascii="Arial" w:hAnsi="Arial" w:cs="Arial"/>
          <w:szCs w:val="24"/>
          <w:lang w:val="mn-MN"/>
        </w:rPr>
      </w:pPr>
      <w:r w:rsidRPr="004A68F2">
        <w:rPr>
          <w:rFonts w:ascii="Arial" w:hAnsi="Arial" w:cs="Arial"/>
          <w:szCs w:val="24"/>
          <w:lang w:val="mn-MN"/>
        </w:rPr>
        <w:t xml:space="preserve"> </w:t>
      </w:r>
    </w:p>
    <w:p w14:paraId="30C0F6BB" w14:textId="6EED1981" w:rsidR="00AA3E03" w:rsidRPr="004A68F2" w:rsidRDefault="00AA3E03" w:rsidP="002C5654">
      <w:pPr>
        <w:pStyle w:val="Heading2"/>
        <w:numPr>
          <w:ilvl w:val="1"/>
          <w:numId w:val="18"/>
        </w:numPr>
        <w:spacing w:before="0" w:line="276" w:lineRule="auto"/>
        <w:rPr>
          <w:rFonts w:ascii="Arial" w:hAnsi="Arial" w:cs="Arial"/>
          <w:b/>
          <w:bCs/>
          <w:szCs w:val="24"/>
          <w:lang w:val="mn-MN"/>
        </w:rPr>
      </w:pPr>
      <w:bookmarkStart w:id="10" w:name="_Toc196842519"/>
      <w:r w:rsidRPr="004A68F2">
        <w:rPr>
          <w:rFonts w:ascii="Arial" w:hAnsi="Arial" w:cs="Arial"/>
          <w:b/>
          <w:bCs/>
          <w:szCs w:val="24"/>
          <w:lang w:val="mn-MN"/>
        </w:rPr>
        <w:t>Мэдээлэл цуглуулах аргыг сонгох</w:t>
      </w:r>
      <w:bookmarkEnd w:id="10"/>
    </w:p>
    <w:p w14:paraId="0159226C" w14:textId="77777777" w:rsidR="004012CB" w:rsidRPr="004A68F2" w:rsidRDefault="004012CB" w:rsidP="002C5654">
      <w:pPr>
        <w:pStyle w:val="ListParagraph"/>
        <w:spacing w:after="0" w:line="276" w:lineRule="auto"/>
        <w:ind w:left="482"/>
        <w:rPr>
          <w:rFonts w:ascii="Arial" w:hAnsi="Arial" w:cs="Arial"/>
          <w:szCs w:val="24"/>
          <w:lang w:val="mn-MN"/>
        </w:rPr>
      </w:pPr>
    </w:p>
    <w:p w14:paraId="0548FC3E" w14:textId="0E2E388B" w:rsidR="00ED55C1" w:rsidRPr="004A68F2" w:rsidRDefault="00AA3E03"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Энэхүү ажлын хүрээнд үнэлгээ хийх хуулийн зүйл, хэсэг, заалтын зорилгод хүрсэн түвшин, практик хэрэгжилт болон хүлээн зөвшөөрөгдсөн байдлыг илрүүлэх зорилгоор аргачлалын 3.7.3-т тусгасан мэдээлэл дараах аргуудыг ашигласан болно. Үүнд: </w:t>
      </w:r>
    </w:p>
    <w:p w14:paraId="4177FA87" w14:textId="03125285" w:rsidR="00F94B7D" w:rsidRPr="004A68F2" w:rsidRDefault="00ED55C1" w:rsidP="002C5654">
      <w:pPr>
        <w:spacing w:after="0" w:line="276" w:lineRule="auto"/>
        <w:ind w:firstLine="720"/>
        <w:rPr>
          <w:rFonts w:ascii="Arial" w:hAnsi="Arial" w:cs="Arial"/>
          <w:szCs w:val="24"/>
          <w:lang w:val="mn-MN"/>
        </w:rPr>
      </w:pPr>
      <w:r w:rsidRPr="004A68F2">
        <w:rPr>
          <w:rFonts w:ascii="Arial" w:hAnsi="Arial" w:cs="Arial"/>
          <w:szCs w:val="24"/>
          <w:lang w:val="mn-MN"/>
        </w:rPr>
        <w:t>1.</w:t>
      </w:r>
      <w:r w:rsidR="00AA3E03" w:rsidRPr="004A68F2">
        <w:rPr>
          <w:rFonts w:ascii="Arial" w:hAnsi="Arial" w:cs="Arial"/>
          <w:szCs w:val="24"/>
          <w:lang w:val="mn-MN"/>
        </w:rPr>
        <w:t xml:space="preserve">Хууль тогтоомжийн хэрэгжилтийг хариуцан зохион байгуулж байгаа </w:t>
      </w:r>
      <w:r w:rsidR="00742120" w:rsidRPr="004A68F2">
        <w:rPr>
          <w:rFonts w:ascii="Arial" w:hAnsi="Arial" w:cs="Arial"/>
          <w:szCs w:val="24"/>
          <w:lang w:val="mn-MN"/>
        </w:rPr>
        <w:t>байгууллага, холбогдох төрийн болон</w:t>
      </w:r>
      <w:r w:rsidR="003F43BB" w:rsidRPr="004A68F2">
        <w:rPr>
          <w:rFonts w:ascii="Arial" w:hAnsi="Arial" w:cs="Arial"/>
          <w:szCs w:val="24"/>
          <w:lang w:val="mn-MN"/>
        </w:rPr>
        <w:t xml:space="preserve"> төрийн бус байгууллагын төлөөл</w:t>
      </w:r>
      <w:r w:rsidR="00742120" w:rsidRPr="004A68F2">
        <w:rPr>
          <w:rFonts w:ascii="Arial" w:hAnsi="Arial" w:cs="Arial"/>
          <w:szCs w:val="24"/>
          <w:lang w:val="mn-MN"/>
        </w:rPr>
        <w:t>лийг оролцуулан Нийгмийн даатгалын салбарт хэрэгжүүлж байгаа хууль тогтоомж, бодлогод хийсэн үнэлгээ;</w:t>
      </w:r>
    </w:p>
    <w:p w14:paraId="777098BD" w14:textId="4E85B3CA" w:rsidR="00742120" w:rsidRPr="004A68F2" w:rsidRDefault="00742120" w:rsidP="002C5654">
      <w:pPr>
        <w:spacing w:after="0" w:line="276" w:lineRule="auto"/>
        <w:ind w:firstLine="720"/>
        <w:rPr>
          <w:rFonts w:ascii="Arial" w:hAnsi="Arial" w:cs="Arial"/>
          <w:szCs w:val="24"/>
          <w:lang w:val="mn-MN"/>
        </w:rPr>
      </w:pPr>
      <w:r w:rsidRPr="004A68F2">
        <w:rPr>
          <w:rFonts w:ascii="Arial" w:hAnsi="Arial" w:cs="Arial"/>
          <w:szCs w:val="24"/>
          <w:lang w:val="mn-MN"/>
        </w:rPr>
        <w:t>2. Дэлхийн банк, олон улсын байгууллагаас өгсөн зөв</w:t>
      </w:r>
      <w:r w:rsidR="00A90606" w:rsidRPr="004A68F2">
        <w:rPr>
          <w:rFonts w:ascii="Arial" w:hAnsi="Arial" w:cs="Arial"/>
          <w:szCs w:val="24"/>
          <w:lang w:val="mn-MN"/>
        </w:rPr>
        <w:t>лөмж, тайлан;</w:t>
      </w:r>
    </w:p>
    <w:p w14:paraId="6B94B2B0" w14:textId="2A668469" w:rsidR="00A90606" w:rsidRPr="004A68F2" w:rsidRDefault="00A90606" w:rsidP="002C5654">
      <w:pPr>
        <w:spacing w:after="0" w:line="276" w:lineRule="auto"/>
        <w:ind w:firstLine="720"/>
        <w:rPr>
          <w:rFonts w:ascii="Arial" w:hAnsi="Arial" w:cs="Arial"/>
          <w:szCs w:val="24"/>
          <w:lang w:val="mn-MN"/>
        </w:rPr>
      </w:pPr>
      <w:r w:rsidRPr="004A68F2">
        <w:rPr>
          <w:rFonts w:ascii="Arial" w:hAnsi="Arial" w:cs="Arial"/>
          <w:szCs w:val="24"/>
          <w:lang w:val="mn-MN"/>
        </w:rPr>
        <w:t>3. Хороо, олон нийтийн байгууллагуудаас ирүүлсэн санал.</w:t>
      </w:r>
    </w:p>
    <w:p w14:paraId="4077D44D" w14:textId="2E9A5AA4" w:rsidR="00F94B7D" w:rsidRPr="004A68F2" w:rsidRDefault="00F94B7D" w:rsidP="002C5654">
      <w:pPr>
        <w:spacing w:after="0" w:line="276" w:lineRule="auto"/>
        <w:jc w:val="left"/>
        <w:rPr>
          <w:rFonts w:ascii="Arial" w:hAnsi="Arial" w:cs="Arial"/>
          <w:szCs w:val="24"/>
          <w:lang w:val="mn-MN"/>
        </w:rPr>
      </w:pPr>
      <w:r w:rsidRPr="004A68F2">
        <w:rPr>
          <w:rFonts w:ascii="Arial" w:hAnsi="Arial" w:cs="Arial"/>
          <w:szCs w:val="24"/>
          <w:lang w:val="mn-MN"/>
        </w:rPr>
        <w:br w:type="page"/>
      </w:r>
    </w:p>
    <w:p w14:paraId="68CEE046" w14:textId="70B73A86" w:rsidR="002F0A46" w:rsidRPr="004A68F2" w:rsidRDefault="00F94B7D" w:rsidP="002C5654">
      <w:pPr>
        <w:pStyle w:val="Heading1"/>
        <w:spacing w:before="0" w:line="276" w:lineRule="auto"/>
        <w:rPr>
          <w:rFonts w:ascii="Arial" w:hAnsi="Arial" w:cs="Arial"/>
          <w:sz w:val="24"/>
          <w:szCs w:val="24"/>
          <w:u w:val="none"/>
          <w:lang w:val="mn-MN"/>
        </w:rPr>
      </w:pPr>
      <w:bookmarkStart w:id="11" w:name="_Toc196842520"/>
      <w:r w:rsidRPr="004A68F2">
        <w:rPr>
          <w:rFonts w:ascii="Arial" w:hAnsi="Arial" w:cs="Arial"/>
          <w:sz w:val="24"/>
          <w:szCs w:val="24"/>
          <w:u w:val="none"/>
          <w:lang w:val="mn-MN"/>
        </w:rPr>
        <w:lastRenderedPageBreak/>
        <w:t>ХОЁР. ХЭРЭГЖҮҮЛЭХ ҮЕ ШАТ</w:t>
      </w:r>
      <w:bookmarkEnd w:id="11"/>
      <w:r w:rsidRPr="004A68F2">
        <w:rPr>
          <w:rFonts w:ascii="Arial" w:hAnsi="Arial" w:cs="Arial"/>
          <w:sz w:val="24"/>
          <w:szCs w:val="24"/>
          <w:u w:val="none"/>
          <w:lang w:val="mn-MN"/>
        </w:rPr>
        <w:t xml:space="preserve"> </w:t>
      </w:r>
    </w:p>
    <w:p w14:paraId="023684E5" w14:textId="77777777" w:rsidR="002F0A46" w:rsidRPr="004A68F2" w:rsidRDefault="002F0A46" w:rsidP="002C5654">
      <w:pPr>
        <w:spacing w:after="0" w:line="276" w:lineRule="auto"/>
        <w:rPr>
          <w:rFonts w:ascii="Arial" w:hAnsi="Arial" w:cs="Arial"/>
          <w:szCs w:val="24"/>
          <w:lang w:val="mn-MN"/>
        </w:rPr>
      </w:pPr>
    </w:p>
    <w:p w14:paraId="127B4ABF" w14:textId="4A162D01" w:rsidR="00F94B7D" w:rsidRPr="004A68F2" w:rsidRDefault="00742120"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Нийгмийн даатгалын сангаас олгох тэтгэврийн тухай хуулийн </w:t>
      </w:r>
      <w:r w:rsidR="00F94B7D" w:rsidRPr="004A68F2">
        <w:rPr>
          <w:rFonts w:ascii="Arial" w:hAnsi="Arial" w:cs="Arial"/>
          <w:szCs w:val="24"/>
          <w:lang w:val="mn-MN"/>
        </w:rPr>
        <w:t xml:space="preserve">хэрэгжилтийн үр дагаварт үнэлгээ хийхдээ мэдээлэл цуглуулах аргуудын дагуу холбогдох мэдээлэл цуглуулах, судалгаа хийх ажлыг холбогдох материалыг цуглуулан үнэлгээг хийсэн болно. </w:t>
      </w:r>
      <w:bookmarkStart w:id="12" w:name="_Hlk231742401"/>
      <w:r w:rsidR="00B25098" w:rsidRPr="004A68F2">
        <w:rPr>
          <w:rFonts w:ascii="Arial" w:hAnsi="Arial" w:cs="Arial"/>
          <w:szCs w:val="24"/>
          <w:lang w:val="mn-MN"/>
        </w:rPr>
        <w:t>Үүнд:</w:t>
      </w:r>
    </w:p>
    <w:p w14:paraId="3904B941" w14:textId="70866257" w:rsidR="009F0350" w:rsidRPr="004A68F2" w:rsidRDefault="009F0350" w:rsidP="002C5654">
      <w:pPr>
        <w:pStyle w:val="ListParagraph"/>
        <w:numPr>
          <w:ilvl w:val="0"/>
          <w:numId w:val="41"/>
        </w:numPr>
        <w:spacing w:after="0" w:line="276" w:lineRule="auto"/>
        <w:rPr>
          <w:rFonts w:ascii="Arial" w:hAnsi="Arial" w:cs="Arial"/>
          <w:szCs w:val="24"/>
          <w:lang w:val="mn-MN"/>
        </w:rPr>
      </w:pPr>
      <w:r w:rsidRPr="004A68F2">
        <w:rPr>
          <w:rFonts w:ascii="Arial" w:hAnsi="Arial" w:cs="Arial"/>
          <w:szCs w:val="24"/>
          <w:lang w:val="mn-MN"/>
        </w:rPr>
        <w:t>Монгол Улсын хууль тогтоомж</w:t>
      </w:r>
      <w:r w:rsidR="00F94B7D" w:rsidRPr="004A68F2">
        <w:rPr>
          <w:rFonts w:ascii="Arial" w:hAnsi="Arial" w:cs="Arial"/>
          <w:szCs w:val="24"/>
          <w:lang w:val="mn-MN"/>
        </w:rPr>
        <w:t xml:space="preserve"> </w:t>
      </w:r>
    </w:p>
    <w:p w14:paraId="1A4247F8" w14:textId="79F50C3A" w:rsidR="009F0350" w:rsidRPr="004A68F2" w:rsidRDefault="009F0350" w:rsidP="002C5654">
      <w:pPr>
        <w:pStyle w:val="ListParagraph"/>
        <w:numPr>
          <w:ilvl w:val="0"/>
          <w:numId w:val="41"/>
        </w:numPr>
        <w:spacing w:after="0" w:line="276" w:lineRule="auto"/>
        <w:rPr>
          <w:rFonts w:ascii="Arial" w:hAnsi="Arial" w:cs="Arial"/>
          <w:szCs w:val="24"/>
          <w:lang w:val="mn-MN"/>
        </w:rPr>
      </w:pPr>
      <w:r w:rsidRPr="004A68F2">
        <w:rPr>
          <w:rFonts w:ascii="Arial" w:hAnsi="Arial" w:cs="Arial"/>
          <w:szCs w:val="24"/>
          <w:lang w:val="mn-MN"/>
        </w:rPr>
        <w:t>Бодлогын баримт бичиг</w:t>
      </w:r>
    </w:p>
    <w:p w14:paraId="76CDDEC4" w14:textId="4B4CAA64" w:rsidR="009F0350" w:rsidRPr="004A68F2" w:rsidRDefault="009F0350" w:rsidP="002C5654">
      <w:pPr>
        <w:pStyle w:val="ListParagraph"/>
        <w:numPr>
          <w:ilvl w:val="0"/>
          <w:numId w:val="41"/>
        </w:numPr>
        <w:spacing w:after="0" w:line="276" w:lineRule="auto"/>
        <w:rPr>
          <w:rFonts w:ascii="Arial" w:hAnsi="Arial" w:cs="Arial"/>
          <w:szCs w:val="24"/>
          <w:lang w:val="mn-MN"/>
        </w:rPr>
      </w:pPr>
      <w:r w:rsidRPr="004A68F2">
        <w:rPr>
          <w:rFonts w:ascii="Arial" w:hAnsi="Arial" w:cs="Arial"/>
          <w:szCs w:val="24"/>
          <w:lang w:val="mn-MN"/>
        </w:rPr>
        <w:t>Судалгааны тайлан</w:t>
      </w:r>
    </w:p>
    <w:p w14:paraId="119D2B29" w14:textId="0C8DDE28" w:rsidR="00ED55C1" w:rsidRPr="004A68F2" w:rsidRDefault="00C4511F" w:rsidP="002C5654">
      <w:pPr>
        <w:pStyle w:val="ListParagraph"/>
        <w:numPr>
          <w:ilvl w:val="0"/>
          <w:numId w:val="41"/>
        </w:numPr>
        <w:spacing w:after="0" w:line="276" w:lineRule="auto"/>
        <w:rPr>
          <w:rFonts w:ascii="Arial" w:hAnsi="Arial" w:cs="Arial"/>
          <w:szCs w:val="24"/>
          <w:lang w:val="mn-MN"/>
        </w:rPr>
      </w:pPr>
      <w:r w:rsidRPr="004A68F2">
        <w:rPr>
          <w:rFonts w:ascii="Arial" w:hAnsi="Arial" w:cs="Arial"/>
          <w:szCs w:val="24"/>
          <w:lang w:val="mn-MN"/>
        </w:rPr>
        <w:t>Цахим эх сурвалж</w:t>
      </w:r>
    </w:p>
    <w:p w14:paraId="39905F20" w14:textId="41D972B8" w:rsidR="002C5654" w:rsidRPr="004A68F2" w:rsidRDefault="002C5654" w:rsidP="002C5654">
      <w:pPr>
        <w:pStyle w:val="ListParagraph"/>
        <w:numPr>
          <w:ilvl w:val="0"/>
          <w:numId w:val="41"/>
        </w:numPr>
        <w:spacing w:after="0" w:line="276" w:lineRule="auto"/>
        <w:rPr>
          <w:rFonts w:ascii="Arial" w:hAnsi="Arial" w:cs="Arial"/>
          <w:szCs w:val="24"/>
          <w:lang w:val="mn-MN"/>
        </w:rPr>
      </w:pPr>
      <w:r w:rsidRPr="004A68F2">
        <w:rPr>
          <w:rFonts w:ascii="Arial" w:hAnsi="Arial" w:cs="Arial"/>
          <w:szCs w:val="24"/>
          <w:lang w:val="mn-MN"/>
        </w:rPr>
        <w:t>Нийгмийн даатгалын сангийн статистик эмхэтгэлүүд</w:t>
      </w:r>
    </w:p>
    <w:bookmarkEnd w:id="12"/>
    <w:p w14:paraId="1358D0B8" w14:textId="598F418F" w:rsidR="004A0635" w:rsidRPr="004A68F2" w:rsidRDefault="004A0635" w:rsidP="002C5654">
      <w:pPr>
        <w:spacing w:after="0" w:line="276" w:lineRule="auto"/>
        <w:jc w:val="left"/>
        <w:rPr>
          <w:rFonts w:ascii="Arial" w:hAnsi="Arial" w:cs="Arial"/>
          <w:szCs w:val="24"/>
          <w:lang w:val="mn-MN"/>
        </w:rPr>
      </w:pPr>
    </w:p>
    <w:p w14:paraId="5ED51192" w14:textId="5AD3C5E2" w:rsidR="004A0635" w:rsidRPr="004A68F2" w:rsidRDefault="004A0635" w:rsidP="002C5654">
      <w:pPr>
        <w:pStyle w:val="Heading1"/>
        <w:spacing w:before="0" w:line="276" w:lineRule="auto"/>
        <w:rPr>
          <w:rFonts w:ascii="Arial" w:hAnsi="Arial" w:cs="Arial"/>
          <w:sz w:val="24"/>
          <w:szCs w:val="24"/>
          <w:u w:val="none"/>
          <w:lang w:val="mn-MN"/>
        </w:rPr>
      </w:pPr>
      <w:bookmarkStart w:id="13" w:name="_Toc196842521"/>
      <w:r w:rsidRPr="004A68F2">
        <w:rPr>
          <w:rFonts w:ascii="Arial" w:hAnsi="Arial" w:cs="Arial"/>
          <w:sz w:val="24"/>
          <w:szCs w:val="24"/>
          <w:u w:val="none"/>
          <w:lang w:val="mn-MN"/>
        </w:rPr>
        <w:t>ГУРАВ</w:t>
      </w:r>
      <w:r w:rsidR="00BB62AC" w:rsidRPr="004A68F2">
        <w:rPr>
          <w:rFonts w:ascii="Arial" w:hAnsi="Arial" w:cs="Arial"/>
          <w:sz w:val="24"/>
          <w:szCs w:val="24"/>
          <w:u w:val="none"/>
          <w:lang w:val="mn-MN"/>
        </w:rPr>
        <w:t>. ҮНЭЛЭХ ҮЕ ШАТ</w:t>
      </w:r>
      <w:bookmarkEnd w:id="13"/>
      <w:r w:rsidR="00BB62AC" w:rsidRPr="004A68F2">
        <w:rPr>
          <w:rFonts w:ascii="Arial" w:hAnsi="Arial" w:cs="Arial"/>
          <w:sz w:val="24"/>
          <w:szCs w:val="24"/>
          <w:u w:val="none"/>
          <w:lang w:val="mn-MN"/>
        </w:rPr>
        <w:t xml:space="preserve"> </w:t>
      </w:r>
    </w:p>
    <w:p w14:paraId="28E20ED2" w14:textId="77777777" w:rsidR="002D364C" w:rsidRPr="004A68F2" w:rsidRDefault="002D364C" w:rsidP="002C5654">
      <w:pPr>
        <w:spacing w:after="0" w:line="276" w:lineRule="auto"/>
        <w:ind w:firstLine="720"/>
        <w:rPr>
          <w:rFonts w:ascii="Arial" w:hAnsi="Arial" w:cs="Arial"/>
          <w:szCs w:val="24"/>
          <w:lang w:val="mn-MN"/>
        </w:rPr>
      </w:pPr>
    </w:p>
    <w:p w14:paraId="7C3C21E7" w14:textId="2CA0C1F5" w:rsidR="002D364C" w:rsidRPr="004A68F2" w:rsidRDefault="00BB62AC"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Үнэлэх үе шатанд сонгосон шалгуур үзүүлэлтийн томьёоллын дагуу </w:t>
      </w:r>
      <w:proofErr w:type="spellStart"/>
      <w:r w:rsidRPr="004A68F2">
        <w:rPr>
          <w:rFonts w:ascii="Arial" w:hAnsi="Arial" w:cs="Arial"/>
          <w:szCs w:val="24"/>
          <w:lang w:val="mn-MN"/>
        </w:rPr>
        <w:t>БОНБҮтХ</w:t>
      </w:r>
      <w:proofErr w:type="spellEnd"/>
      <w:r w:rsidR="002F0A46" w:rsidRPr="004A68F2">
        <w:rPr>
          <w:rFonts w:ascii="Arial" w:hAnsi="Arial" w:cs="Arial"/>
          <w:szCs w:val="24"/>
          <w:lang w:val="mn-MN"/>
        </w:rPr>
        <w:t>-аас</w:t>
      </w:r>
      <w:r w:rsidRPr="004A68F2">
        <w:rPr>
          <w:rFonts w:ascii="Arial" w:hAnsi="Arial" w:cs="Arial"/>
          <w:szCs w:val="24"/>
          <w:lang w:val="mn-MN"/>
        </w:rPr>
        <w:t xml:space="preserve"> сонгож авсан зохицуулалтуудад дараах байдлаар үнэлгээ хийлээ.</w:t>
      </w:r>
    </w:p>
    <w:p w14:paraId="68F5ED58" w14:textId="035F5B3F" w:rsidR="00BB62AC" w:rsidRPr="004A68F2" w:rsidRDefault="00BB62AC"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 </w:t>
      </w:r>
    </w:p>
    <w:p w14:paraId="46BD6294" w14:textId="6FB1F87A" w:rsidR="00BB62AC" w:rsidRPr="004A68F2" w:rsidRDefault="008025D4" w:rsidP="002C5654">
      <w:pPr>
        <w:pStyle w:val="Heading2"/>
        <w:spacing w:before="0" w:line="276" w:lineRule="auto"/>
        <w:ind w:firstLine="720"/>
        <w:rPr>
          <w:rFonts w:ascii="Arial" w:hAnsi="Arial" w:cs="Arial"/>
          <w:b/>
          <w:bCs/>
          <w:szCs w:val="24"/>
          <w:lang w:val="mn-MN"/>
        </w:rPr>
      </w:pPr>
      <w:bookmarkStart w:id="14" w:name="_Toc196842522"/>
      <w:r w:rsidRPr="004A68F2">
        <w:rPr>
          <w:rFonts w:ascii="Arial" w:hAnsi="Arial" w:cs="Arial"/>
          <w:b/>
          <w:bCs/>
          <w:szCs w:val="24"/>
          <w:lang w:val="mn-MN"/>
        </w:rPr>
        <w:t>3.1.</w:t>
      </w:r>
      <w:r w:rsidR="00BB62AC" w:rsidRPr="004A68F2">
        <w:rPr>
          <w:rFonts w:ascii="Arial" w:hAnsi="Arial" w:cs="Arial"/>
          <w:b/>
          <w:bCs/>
          <w:szCs w:val="24"/>
          <w:lang w:val="mn-MN"/>
        </w:rPr>
        <w:t>“Зорилгод хүрсэн түвшин” шалгуур үзүүлэлтийн хүрээнд үнэлсэн байдал:</w:t>
      </w:r>
      <w:bookmarkEnd w:id="14"/>
      <w:r w:rsidR="00BB62AC" w:rsidRPr="004A68F2">
        <w:rPr>
          <w:rFonts w:ascii="Arial" w:hAnsi="Arial" w:cs="Arial"/>
          <w:b/>
          <w:bCs/>
          <w:szCs w:val="24"/>
          <w:lang w:val="mn-MN"/>
        </w:rPr>
        <w:t xml:space="preserve"> </w:t>
      </w:r>
    </w:p>
    <w:p w14:paraId="27AC610C" w14:textId="035CF56A" w:rsidR="00632E44" w:rsidRPr="004A68F2" w:rsidRDefault="00A90606"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Нийгмийн даатгалын сангаас олгох тэтгэврийн тухай хуулийн </w:t>
      </w:r>
      <w:r w:rsidR="00315EA6" w:rsidRPr="004A68F2">
        <w:rPr>
          <w:rFonts w:ascii="Arial" w:hAnsi="Arial" w:cs="Arial"/>
          <w:szCs w:val="24"/>
          <w:lang w:val="mn-MN"/>
        </w:rPr>
        <w:t>үндсэн зорилтыг “Монгол Улсын Үндсэн хуулийн Арван зурга</w:t>
      </w:r>
      <w:r w:rsidR="00262AA2" w:rsidRPr="004A68F2">
        <w:rPr>
          <w:rFonts w:ascii="Arial" w:hAnsi="Arial" w:cs="Arial"/>
          <w:szCs w:val="24"/>
          <w:lang w:val="mn-MN"/>
        </w:rPr>
        <w:t>а</w:t>
      </w:r>
      <w:r w:rsidR="00315EA6" w:rsidRPr="004A68F2">
        <w:rPr>
          <w:rFonts w:ascii="Arial" w:hAnsi="Arial" w:cs="Arial"/>
          <w:szCs w:val="24"/>
          <w:lang w:val="mn-MN"/>
        </w:rPr>
        <w:t xml:space="preserve">дугаар зүйлийн </w:t>
      </w:r>
      <w:r w:rsidRPr="004A68F2">
        <w:rPr>
          <w:rFonts w:ascii="Arial" w:hAnsi="Arial" w:cs="Arial"/>
          <w:szCs w:val="24"/>
          <w:lang w:val="mn-MN"/>
        </w:rPr>
        <w:t>5</w:t>
      </w:r>
      <w:r w:rsidR="00315EA6" w:rsidRPr="004A68F2">
        <w:rPr>
          <w:rFonts w:ascii="Arial" w:hAnsi="Arial" w:cs="Arial"/>
          <w:szCs w:val="24"/>
          <w:lang w:val="mn-MN"/>
        </w:rPr>
        <w:t xml:space="preserve"> дахь заалтыг хэрэгжүүлэх, </w:t>
      </w:r>
      <w:r w:rsidRPr="004A68F2">
        <w:rPr>
          <w:rFonts w:ascii="Arial" w:hAnsi="Arial" w:cs="Arial"/>
          <w:szCs w:val="24"/>
          <w:lang w:val="mn-MN"/>
        </w:rPr>
        <w:t xml:space="preserve">Монгол Улсын урт, дунд хугацааны бодлогын баримт бичигт тусгасан зорилго зорилтыг </w:t>
      </w:r>
      <w:r w:rsidR="00632E44" w:rsidRPr="004A68F2">
        <w:rPr>
          <w:rFonts w:ascii="Arial" w:hAnsi="Arial" w:cs="Arial"/>
          <w:szCs w:val="24"/>
          <w:lang w:val="mn-MN"/>
        </w:rPr>
        <w:t>хангаж байх ёс</w:t>
      </w:r>
      <w:r w:rsidRPr="004A68F2">
        <w:rPr>
          <w:rFonts w:ascii="Arial" w:hAnsi="Arial" w:cs="Arial"/>
          <w:szCs w:val="24"/>
          <w:lang w:val="mn-MN"/>
        </w:rPr>
        <w:t>той гэж үзсэн учир тус хуулийн 3, 6, 7</w:t>
      </w:r>
      <w:r w:rsidR="00632E44" w:rsidRPr="004A68F2">
        <w:rPr>
          <w:rFonts w:ascii="Arial" w:hAnsi="Arial" w:cs="Arial"/>
          <w:szCs w:val="24"/>
          <w:lang w:val="mn-MN"/>
        </w:rPr>
        <w:t xml:space="preserve"> дугаар зүйлийг </w:t>
      </w:r>
      <w:r w:rsidRPr="004A68F2">
        <w:rPr>
          <w:rFonts w:ascii="Arial" w:hAnsi="Arial" w:cs="Arial"/>
          <w:szCs w:val="24"/>
          <w:lang w:val="mn-MN"/>
        </w:rPr>
        <w:t xml:space="preserve">тус тус </w:t>
      </w:r>
      <w:r w:rsidR="00632E44" w:rsidRPr="004A68F2">
        <w:rPr>
          <w:rFonts w:ascii="Arial" w:hAnsi="Arial" w:cs="Arial"/>
          <w:szCs w:val="24"/>
          <w:lang w:val="mn-MN"/>
        </w:rPr>
        <w:t xml:space="preserve">сонгож авч үзсэн болно. </w:t>
      </w:r>
    </w:p>
    <w:p w14:paraId="18512972" w14:textId="77777777" w:rsidR="002D364C" w:rsidRPr="004A68F2" w:rsidRDefault="002D364C" w:rsidP="002C5654">
      <w:pPr>
        <w:spacing w:after="0" w:line="276" w:lineRule="auto"/>
        <w:ind w:firstLine="720"/>
        <w:rPr>
          <w:rFonts w:ascii="Arial" w:hAnsi="Arial" w:cs="Arial"/>
          <w:szCs w:val="24"/>
          <w:lang w:val="mn-MN"/>
        </w:rPr>
      </w:pPr>
    </w:p>
    <w:p w14:paraId="2098E8DC" w14:textId="1FEA6532" w:rsidR="00262AA2" w:rsidRPr="004A68F2" w:rsidRDefault="00190D90" w:rsidP="002C5654">
      <w:pPr>
        <w:spacing w:after="0" w:line="276" w:lineRule="auto"/>
        <w:ind w:firstLine="720"/>
        <w:rPr>
          <w:rFonts w:ascii="Arial" w:hAnsi="Arial" w:cs="Arial"/>
          <w:b/>
          <w:bCs/>
          <w:i/>
          <w:iCs/>
          <w:szCs w:val="24"/>
          <w:lang w:val="mn-MN"/>
        </w:rPr>
      </w:pPr>
      <w:r w:rsidRPr="004A68F2">
        <w:rPr>
          <w:rFonts w:ascii="Arial" w:hAnsi="Arial" w:cs="Arial"/>
          <w:b/>
          <w:bCs/>
          <w:i/>
          <w:iCs/>
          <w:szCs w:val="24"/>
          <w:lang w:val="mn-MN"/>
        </w:rPr>
        <w:t xml:space="preserve">Шалгуур үзүүлэлтийн томьёолол 1. </w:t>
      </w:r>
    </w:p>
    <w:p w14:paraId="7E38E376" w14:textId="77777777" w:rsidR="0049507E" w:rsidRPr="004A68F2" w:rsidRDefault="0049507E" w:rsidP="002C5654">
      <w:pPr>
        <w:spacing w:after="0" w:line="276" w:lineRule="auto"/>
        <w:ind w:firstLine="720"/>
        <w:rPr>
          <w:rFonts w:ascii="Arial" w:hAnsi="Arial" w:cs="Arial"/>
          <w:szCs w:val="24"/>
          <w:lang w:val="mn-MN"/>
        </w:rPr>
      </w:pPr>
    </w:p>
    <w:p w14:paraId="37833298" w14:textId="4A1B3798" w:rsidR="00A90606" w:rsidRPr="004A68F2" w:rsidRDefault="00A90606" w:rsidP="002C5654">
      <w:pPr>
        <w:spacing w:after="0" w:line="276" w:lineRule="auto"/>
        <w:ind w:firstLine="720"/>
        <w:rPr>
          <w:rFonts w:ascii="Arial" w:hAnsi="Arial" w:cs="Arial"/>
          <w:szCs w:val="24"/>
          <w:lang w:val="mn-MN" w:bidi="mn-Mong-MN"/>
        </w:rPr>
      </w:pPr>
      <w:r w:rsidRPr="004A68F2">
        <w:rPr>
          <w:rFonts w:ascii="Arial" w:hAnsi="Arial" w:cs="Arial"/>
          <w:szCs w:val="24"/>
          <w:u w:val="single"/>
          <w:lang w:val="mn-MN"/>
        </w:rPr>
        <w:t xml:space="preserve">Нийгмийн даатгалын сангаас олгох тэтгэврийн тухай хуулийн 3 </w:t>
      </w:r>
      <w:r w:rsidR="009F4EF6" w:rsidRPr="004A68F2">
        <w:rPr>
          <w:rFonts w:ascii="Arial" w:hAnsi="Arial" w:cs="Arial"/>
          <w:szCs w:val="24"/>
          <w:u w:val="single"/>
          <w:lang w:val="mn-MN"/>
        </w:rPr>
        <w:t>дугаар зүйл.</w:t>
      </w:r>
      <w:r w:rsidR="009F4EF6" w:rsidRPr="004A68F2">
        <w:rPr>
          <w:rFonts w:ascii="Arial" w:hAnsi="Arial" w:cs="Arial"/>
          <w:szCs w:val="24"/>
          <w:lang w:val="mn-MN"/>
        </w:rPr>
        <w:t xml:space="preserve"> “</w:t>
      </w:r>
      <w:r w:rsidRPr="004A68F2">
        <w:rPr>
          <w:rFonts w:ascii="Arial" w:hAnsi="Arial" w:cs="Arial"/>
          <w:szCs w:val="24"/>
          <w:lang w:val="mn-MN"/>
        </w:rPr>
        <w:t>Тэтгэврийн даатгалын сангаас олгох тэтгэврийн төрөл</w:t>
      </w:r>
      <w:r w:rsidR="009F4EF6" w:rsidRPr="004A68F2">
        <w:rPr>
          <w:rFonts w:ascii="Arial" w:hAnsi="Arial" w:cs="Arial"/>
          <w:szCs w:val="24"/>
          <w:lang w:val="mn-MN"/>
        </w:rPr>
        <w:t xml:space="preserve">” нь </w:t>
      </w:r>
      <w:r w:rsidRPr="004A68F2">
        <w:rPr>
          <w:rFonts w:ascii="Arial" w:hAnsi="Arial" w:cs="Arial"/>
          <w:szCs w:val="24"/>
          <w:lang w:val="mn-MN"/>
        </w:rPr>
        <w:t>Монгол Улсын урт, дунд хугацааны бодлогын баримт бичигт тусгасан суурь тэтгэвэр ол</w:t>
      </w:r>
      <w:r w:rsidR="003F43BB" w:rsidRPr="004A68F2">
        <w:rPr>
          <w:rFonts w:ascii="Arial" w:hAnsi="Arial" w:cs="Arial"/>
          <w:szCs w:val="24"/>
          <w:lang w:val="mn-MN"/>
        </w:rPr>
        <w:t>гох зорилго, зорилт туссан эсэх</w:t>
      </w:r>
      <w:r w:rsidR="003F43BB" w:rsidRPr="004A68F2">
        <w:rPr>
          <w:rFonts w:ascii="Arial" w:hAnsi="Arial" w:cs="Arial"/>
          <w:szCs w:val="24"/>
          <w:lang w:val="mn-MN" w:bidi="mn-Mong-MN"/>
        </w:rPr>
        <w:t>;</w:t>
      </w:r>
    </w:p>
    <w:p w14:paraId="758BFDC1" w14:textId="77777777" w:rsidR="00A90606" w:rsidRPr="004A68F2" w:rsidRDefault="00A90606" w:rsidP="002C5654">
      <w:pPr>
        <w:spacing w:after="0" w:line="276" w:lineRule="auto"/>
        <w:ind w:firstLine="720"/>
        <w:rPr>
          <w:rFonts w:ascii="Arial" w:hAnsi="Arial" w:cs="Arial"/>
          <w:szCs w:val="24"/>
          <w:lang w:val="mn-MN"/>
        </w:rPr>
      </w:pPr>
    </w:p>
    <w:p w14:paraId="59136BFC" w14:textId="72EBF417" w:rsidR="007F433C" w:rsidRPr="004A68F2" w:rsidRDefault="00A90606"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Нийгмийн даатгалын сангаас олгох тэтгэврийн тухай хуулийн 3 </w:t>
      </w:r>
      <w:r w:rsidR="009F4EF6" w:rsidRPr="004A68F2">
        <w:rPr>
          <w:rFonts w:ascii="Arial" w:hAnsi="Arial" w:cs="Arial"/>
          <w:szCs w:val="24"/>
          <w:lang w:val="mn-MN"/>
        </w:rPr>
        <w:t xml:space="preserve">дугаар зүйлд </w:t>
      </w:r>
      <w:r w:rsidRPr="004A68F2">
        <w:rPr>
          <w:rFonts w:ascii="Arial" w:hAnsi="Arial" w:cs="Arial"/>
          <w:szCs w:val="24"/>
          <w:lang w:val="mn-MN"/>
        </w:rPr>
        <w:t>тэтгэврийн даатгалын сангаас</w:t>
      </w:r>
      <w:r w:rsidR="00137B47" w:rsidRPr="004A68F2">
        <w:rPr>
          <w:rFonts w:ascii="Arial" w:hAnsi="Arial" w:cs="Arial"/>
          <w:szCs w:val="24"/>
          <w:lang w:val="mn-MN"/>
        </w:rPr>
        <w:t xml:space="preserve"> </w:t>
      </w:r>
      <w:r w:rsidRPr="004A68F2">
        <w:rPr>
          <w:rFonts w:ascii="Arial" w:hAnsi="Arial" w:cs="Arial"/>
          <w:szCs w:val="24"/>
          <w:lang w:val="mn-MN"/>
        </w:rPr>
        <w:t xml:space="preserve">олгох тэтгэврийн төрлийг тусгасан. </w:t>
      </w:r>
    </w:p>
    <w:p w14:paraId="1C5264E5" w14:textId="77777777" w:rsidR="007F433C" w:rsidRPr="004A68F2" w:rsidRDefault="007F433C" w:rsidP="002C5654">
      <w:pPr>
        <w:spacing w:after="0" w:line="276" w:lineRule="auto"/>
        <w:ind w:firstLine="720"/>
        <w:rPr>
          <w:rFonts w:ascii="Arial" w:hAnsi="Arial" w:cs="Arial"/>
          <w:szCs w:val="24"/>
          <w:lang w:val="mn-MN"/>
        </w:rPr>
      </w:pPr>
    </w:p>
    <w:p w14:paraId="2ACC244A" w14:textId="760095A2" w:rsidR="002F0A46" w:rsidRPr="004A68F2" w:rsidRDefault="009F4EF6"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Мөн </w:t>
      </w:r>
      <w:r w:rsidR="00A90606" w:rsidRPr="004A68F2">
        <w:rPr>
          <w:rFonts w:ascii="Arial" w:hAnsi="Arial" w:cs="Arial"/>
          <w:szCs w:val="24"/>
          <w:lang w:val="mn-MN"/>
        </w:rPr>
        <w:t>Нийгмийн даатгалын сангаас олгох тэтгэврийн тухай хуулийн 6 дугаар зүйлийн 6.1-д өндөр насны тэтгэвэ</w:t>
      </w:r>
      <w:r w:rsidR="006C36FF" w:rsidRPr="004A68F2">
        <w:rPr>
          <w:rFonts w:ascii="Arial" w:hAnsi="Arial" w:cs="Arial"/>
          <w:szCs w:val="24"/>
          <w:lang w:val="mn-MN"/>
        </w:rPr>
        <w:t>р</w:t>
      </w:r>
      <w:r w:rsidR="00A90606" w:rsidRPr="004A68F2">
        <w:rPr>
          <w:rFonts w:ascii="Arial" w:hAnsi="Arial" w:cs="Arial"/>
          <w:szCs w:val="24"/>
          <w:lang w:val="mn-MN"/>
        </w:rPr>
        <w:t xml:space="preserve"> бодох аргыг нарийвчлан тусгасан.</w:t>
      </w:r>
      <w:r w:rsidR="006C36FF" w:rsidRPr="004A68F2">
        <w:rPr>
          <w:rFonts w:ascii="Arial" w:hAnsi="Arial" w:cs="Arial"/>
          <w:szCs w:val="24"/>
          <w:lang w:val="mn-MN"/>
        </w:rPr>
        <w:t xml:space="preserve"> Мөн хуулийн 4 дүгээр зүйлд хувийн нэмэлт тэтгэврийн хөтөлбөрт хамрагдаж, нэмэлт тэтгэвэр авч болохоор тусгасан ч холбогдох хууль нь батлагдаагүй байна.</w:t>
      </w:r>
    </w:p>
    <w:p w14:paraId="534FDC70" w14:textId="77777777" w:rsidR="007F433C" w:rsidRPr="004A68F2" w:rsidRDefault="007F433C" w:rsidP="002C5654">
      <w:pPr>
        <w:spacing w:after="0" w:line="276" w:lineRule="auto"/>
        <w:ind w:firstLine="720"/>
        <w:rPr>
          <w:rFonts w:ascii="Arial" w:hAnsi="Arial" w:cs="Arial"/>
          <w:szCs w:val="24"/>
          <w:lang w:val="mn-MN"/>
        </w:rPr>
      </w:pPr>
    </w:p>
    <w:p w14:paraId="2D7C701B" w14:textId="781D4855" w:rsidR="00842EB7" w:rsidRPr="004A68F2" w:rsidRDefault="00A90606"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 xml:space="preserve">Нийгмийн даатгалын сангаас олгох тэтгэврийн тухай хууль хэрэгжиж эхэлснээс хойш Гэр бүл, хөдөлмөр, нийгмийн хамгааллын яам салбарын </w:t>
      </w:r>
      <w:proofErr w:type="spellStart"/>
      <w:r w:rsidRPr="004A68F2">
        <w:rPr>
          <w:rFonts w:ascii="Arial" w:hAnsi="Arial" w:cs="Arial"/>
          <w:szCs w:val="24"/>
          <w:lang w:val="mn-MN"/>
        </w:rPr>
        <w:t>хэмээнд</w:t>
      </w:r>
      <w:proofErr w:type="spellEnd"/>
      <w:r w:rsidRPr="004A68F2">
        <w:rPr>
          <w:rFonts w:ascii="Arial" w:hAnsi="Arial" w:cs="Arial"/>
          <w:szCs w:val="24"/>
          <w:lang w:val="mn-MN"/>
        </w:rPr>
        <w:t xml:space="preserve"> хэрэгжиж буй хууль тогтоомж, бодлогын баримт бичигт бодлогын үнэлгээ хийсэн. </w:t>
      </w:r>
      <w:r w:rsidR="006C36FF" w:rsidRPr="004A68F2">
        <w:rPr>
          <w:rFonts w:ascii="Arial" w:hAnsi="Arial" w:cs="Arial"/>
          <w:szCs w:val="24"/>
          <w:lang w:val="mn-MN"/>
        </w:rPr>
        <w:t xml:space="preserve">Нийгмийн даатгалын салбарын бодлогод үнэлэлт, дүгнэлт өгөх ажлын тайланд </w:t>
      </w:r>
      <w:r w:rsidRPr="004A68F2">
        <w:rPr>
          <w:rFonts w:ascii="Arial" w:hAnsi="Arial" w:cs="Arial"/>
          <w:szCs w:val="24"/>
          <w:lang w:val="mn-MN"/>
        </w:rPr>
        <w:t>Монгол Улсын урт, дунд хугацааны бодлогын баримт бичигт тусгасан зарим зорил</w:t>
      </w:r>
      <w:r w:rsidR="006C36FF" w:rsidRPr="004A68F2">
        <w:rPr>
          <w:rFonts w:ascii="Arial" w:hAnsi="Arial" w:cs="Arial"/>
          <w:szCs w:val="24"/>
          <w:lang w:val="mn-MN"/>
        </w:rPr>
        <w:t xml:space="preserve">го, зорилт хуульд тусгагдаагүй тухай дүгнэлт гарсан. Тухайлбал, ““Алсын хараа-2050” Монгол Улсын урт хугацааны хөгжлийн бодлогын хүрээнд 2021-2030 онд хэрэгжүүлэх үйл ажиллагааны зорилт”-ын 3.1.2-т “Нийгмийн даатгалын хууль, эрх зүйн орчныг боловсронгуй болгоно.” гэж, 3.1.3-т “Бүх ахмад настанд суурь тэтгэвэр олгоно.” гэж, 3.1.4-т “Хувийн тэтгэврийн нэмэлт даатгалыг нэвтрүүлж, төрийн болон хувийн тэтгэврийн сангаас тэтгэвэр авах нөхцөлийг бүрдүүлж, санхүүгийн зах зээлийг дэмжинэ” гэж, 3.1.8-д “Тэтгэврийн даатгалын хагас хуримтлалын тогтолцоонд хэсэгчлэн шилжүүлж, 1979 оноос хойш төрсөн даатгуулагчийн тэтгэврийн даатгалын шимтгэлийг бодит хуримтлал болгоно” гэж, 3.1.9-д “Тэтгэврийн даатгалын тогтолцоог бүрэн хуримтлалын тогтолцоонд шилжүүлэх үе шатыг эхлүүлнэ” гэж, мөн УИХ-ын 2015 оны 52 дугаар тогтоолоор баталсан “Төрөөс тэтгэврийн шинэчлэлийн талаар баримтлах бодлого 2015-2030”-д заасан “Төрөөс тэтгэврийн шинэчлэлийн талаар баримтлах бодлого (2015-2030)”-ын 2.1.4-т заасан “эрэгтэй, эмэгтэй даатгуулагчийн өндөр насны тэтгэвэр тогтоолгох насны доод хязгаар ижил байх” гэж, 3.2.10-т “тэтгэврийн даатгалын сангаас өндөр насны тэтгэвэр тогтоолгох эрх үүссэн ахмад настан </w:t>
      </w:r>
      <w:proofErr w:type="spellStart"/>
      <w:r w:rsidR="006C36FF" w:rsidRPr="004A68F2">
        <w:rPr>
          <w:rFonts w:ascii="Arial" w:hAnsi="Arial" w:cs="Arial"/>
          <w:szCs w:val="24"/>
          <w:lang w:val="mn-MN"/>
        </w:rPr>
        <w:t>бүрт</w:t>
      </w:r>
      <w:proofErr w:type="spellEnd"/>
      <w:r w:rsidR="006C36FF" w:rsidRPr="004A68F2">
        <w:rPr>
          <w:rFonts w:ascii="Arial" w:hAnsi="Arial" w:cs="Arial"/>
          <w:szCs w:val="24"/>
          <w:lang w:val="mn-MN"/>
        </w:rPr>
        <w:t xml:space="preserve"> суурь тэтгэвэр олгоно” гэж тус тус заасан зорилт нь хуульд тусгагдаагүй, ахмад настан олон эх үүсвэрээс тэтгэвэр авах боломж бүрдээгүй байна гэж үзсэн.</w:t>
      </w:r>
    </w:p>
    <w:p w14:paraId="3F079897" w14:textId="77777777" w:rsidR="007F433C" w:rsidRPr="004A68F2" w:rsidRDefault="007F433C" w:rsidP="002C5654">
      <w:pPr>
        <w:spacing w:after="0" w:line="276" w:lineRule="auto"/>
        <w:ind w:firstLine="720"/>
        <w:rPr>
          <w:rFonts w:ascii="Arial" w:hAnsi="Arial" w:cs="Arial"/>
          <w:szCs w:val="24"/>
          <w:lang w:val="mn-MN"/>
        </w:rPr>
      </w:pPr>
    </w:p>
    <w:p w14:paraId="6D0D65A7" w14:textId="0CC6897B" w:rsidR="00B25098" w:rsidRPr="004A68F2" w:rsidRDefault="006C36FF"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 xml:space="preserve">Мөн Олон улсын хөдөлмөрийн байгууллага, Дэлхийн банк, Азийн хөгжлийн банк, Европын холбоо зэрэг олон улсын байгууллагаас Монгол Улсын тэтгэврийн тогтолцоонд 2011 оноос хойш 10 гаруй удаагийн </w:t>
      </w:r>
      <w:proofErr w:type="spellStart"/>
      <w:r w:rsidRPr="004A68F2">
        <w:rPr>
          <w:rFonts w:ascii="Arial" w:hAnsi="Arial" w:cs="Arial"/>
          <w:szCs w:val="24"/>
          <w:lang w:val="mn-MN"/>
        </w:rPr>
        <w:t>актуар</w:t>
      </w:r>
      <w:proofErr w:type="spellEnd"/>
      <w:r w:rsidRPr="004A68F2">
        <w:rPr>
          <w:rFonts w:ascii="Arial" w:hAnsi="Arial" w:cs="Arial"/>
          <w:szCs w:val="24"/>
          <w:lang w:val="mn-MN"/>
        </w:rPr>
        <w:t xml:space="preserve"> тооцооллыг хийж, үүний үр дүнд тэтгэврийн олон давхаргат тогтолцоог нэвтрүүлэх, шимтгэлийн хувь хэмжээ, тэтгэвэр тогтоолгох насыг үе шаттай нэмэгдүүлэх зэрэг параметрийн шинэчлэлийг хийхийг зөвлөж ирсэн.</w:t>
      </w:r>
    </w:p>
    <w:p w14:paraId="3794F59F" w14:textId="77777777" w:rsidR="00B25098" w:rsidRPr="004A68F2" w:rsidRDefault="00B25098" w:rsidP="002C5654">
      <w:pPr>
        <w:spacing w:after="0" w:line="276" w:lineRule="auto"/>
        <w:ind w:firstLine="720"/>
        <w:contextualSpacing/>
        <w:rPr>
          <w:rFonts w:ascii="Arial" w:hAnsi="Arial" w:cs="Arial"/>
          <w:szCs w:val="24"/>
          <w:lang w:val="mn-MN"/>
        </w:rPr>
      </w:pPr>
    </w:p>
    <w:p w14:paraId="591CACC9" w14:textId="0F0FD28F" w:rsidR="00842EB7" w:rsidRPr="004A68F2" w:rsidRDefault="00B507EF"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Д</w:t>
      </w:r>
      <w:r w:rsidR="006C36FF" w:rsidRPr="004A68F2">
        <w:rPr>
          <w:rFonts w:ascii="Arial" w:hAnsi="Arial" w:cs="Arial"/>
          <w:szCs w:val="24"/>
          <w:lang w:val="mn-MN"/>
        </w:rPr>
        <w:t>ээрх “Нийгмийн даатгалын салбарын бодлогод үнэлэлт, дүгнэлт өгөх ажлын тайлан, олон улсын байгууллагуудаас өгсөн зөвлөмж зэрэгт дурдсан олон давхаргат тэтгэврийн тогтолцооны шинэчлэл, зарим параметрийн шинэчлэл зэргийг хуульд тусгасан хэдий ч зарим з</w:t>
      </w:r>
      <w:r w:rsidRPr="004A68F2">
        <w:rPr>
          <w:rFonts w:ascii="Arial" w:hAnsi="Arial" w:cs="Arial"/>
          <w:szCs w:val="24"/>
          <w:lang w:val="mn-MN"/>
        </w:rPr>
        <w:t xml:space="preserve">охицуулалт буюу суурь тэтгэврийн харилцааг зохицуулаагүй байна. </w:t>
      </w:r>
    </w:p>
    <w:p w14:paraId="0F0D691F" w14:textId="77777777" w:rsidR="007F433C" w:rsidRPr="004A68F2" w:rsidRDefault="007F433C" w:rsidP="002C5654">
      <w:pPr>
        <w:spacing w:after="0" w:line="276" w:lineRule="auto"/>
        <w:ind w:firstLine="720"/>
        <w:rPr>
          <w:rFonts w:ascii="Arial" w:hAnsi="Arial" w:cs="Arial"/>
          <w:b/>
          <w:bCs/>
          <w:i/>
          <w:iCs/>
          <w:szCs w:val="24"/>
          <w:lang w:val="mn-MN"/>
        </w:rPr>
      </w:pPr>
    </w:p>
    <w:p w14:paraId="5FC58F0E" w14:textId="0D199DBB" w:rsidR="007F433C" w:rsidRPr="004A68F2" w:rsidRDefault="00D74EF5" w:rsidP="002C5654">
      <w:pPr>
        <w:spacing w:after="0" w:line="276" w:lineRule="auto"/>
        <w:ind w:firstLine="720"/>
        <w:rPr>
          <w:rFonts w:ascii="Arial" w:hAnsi="Arial" w:cs="Arial"/>
          <w:szCs w:val="24"/>
          <w:lang w:val="mn-MN"/>
        </w:rPr>
      </w:pPr>
      <w:r w:rsidRPr="004A68F2">
        <w:rPr>
          <w:rFonts w:ascii="Arial" w:hAnsi="Arial" w:cs="Arial"/>
          <w:b/>
          <w:bCs/>
          <w:i/>
          <w:iCs/>
          <w:szCs w:val="24"/>
          <w:lang w:val="mn-MN"/>
        </w:rPr>
        <w:t xml:space="preserve">Шалгуур үзүүлэлтийн томьёолол </w:t>
      </w:r>
      <w:r w:rsidR="006C36FF" w:rsidRPr="004A68F2">
        <w:rPr>
          <w:rFonts w:ascii="Arial" w:hAnsi="Arial" w:cs="Arial"/>
          <w:b/>
          <w:bCs/>
          <w:i/>
          <w:iCs/>
          <w:szCs w:val="24"/>
          <w:lang w:val="mn-MN"/>
        </w:rPr>
        <w:t>2</w:t>
      </w:r>
      <w:r w:rsidRPr="004A68F2">
        <w:rPr>
          <w:rFonts w:ascii="Arial" w:hAnsi="Arial" w:cs="Arial"/>
          <w:b/>
          <w:bCs/>
          <w:i/>
          <w:iCs/>
          <w:szCs w:val="24"/>
          <w:lang w:val="mn-MN"/>
        </w:rPr>
        <w:t>.</w:t>
      </w:r>
      <w:r w:rsidRPr="004A68F2">
        <w:rPr>
          <w:rFonts w:ascii="Arial" w:hAnsi="Arial" w:cs="Arial"/>
          <w:szCs w:val="24"/>
          <w:lang w:val="mn-MN"/>
        </w:rPr>
        <w:t xml:space="preserve"> </w:t>
      </w:r>
    </w:p>
    <w:p w14:paraId="2AC4CB41" w14:textId="77777777" w:rsidR="0049507E" w:rsidRPr="004A68F2" w:rsidRDefault="0049507E" w:rsidP="002C5654">
      <w:pPr>
        <w:spacing w:after="0" w:line="276" w:lineRule="auto"/>
        <w:ind w:firstLine="720"/>
        <w:rPr>
          <w:rFonts w:ascii="Arial" w:hAnsi="Arial" w:cs="Arial"/>
          <w:szCs w:val="24"/>
          <w:lang w:val="mn-MN"/>
        </w:rPr>
      </w:pPr>
    </w:p>
    <w:p w14:paraId="6686E58F" w14:textId="1D8FF6A0" w:rsidR="00B507EF" w:rsidRPr="004A68F2" w:rsidRDefault="00B507EF" w:rsidP="002C5654">
      <w:pPr>
        <w:pStyle w:val="ListParagraph"/>
        <w:spacing w:after="0" w:line="276" w:lineRule="auto"/>
        <w:ind w:left="567"/>
        <w:rPr>
          <w:rFonts w:ascii="Arial" w:hAnsi="Arial"/>
          <w:szCs w:val="30"/>
          <w:lang w:val="mn-MN" w:bidi="mn-Mong-MN"/>
        </w:rPr>
      </w:pPr>
      <w:r w:rsidRPr="004A68F2">
        <w:rPr>
          <w:rFonts w:ascii="Arial" w:hAnsi="Arial" w:cs="Arial"/>
          <w:szCs w:val="24"/>
          <w:u w:val="single"/>
          <w:lang w:val="mn-MN"/>
        </w:rPr>
        <w:t>Нийгмийн даатгалын сангаас олгох тэтгэврийн тухай хуулийн  5</w:t>
      </w:r>
      <w:r w:rsidR="00D74EF5" w:rsidRPr="004A68F2">
        <w:rPr>
          <w:rFonts w:ascii="Arial" w:hAnsi="Arial" w:cs="Arial"/>
          <w:szCs w:val="24"/>
          <w:u w:val="single"/>
          <w:lang w:val="mn-MN"/>
        </w:rPr>
        <w:t xml:space="preserve"> дугаар зүйл</w:t>
      </w:r>
      <w:r w:rsidR="00D74EF5" w:rsidRPr="004A68F2">
        <w:rPr>
          <w:rFonts w:ascii="Arial" w:hAnsi="Arial" w:cs="Arial"/>
          <w:szCs w:val="24"/>
          <w:lang w:val="mn-MN"/>
        </w:rPr>
        <w:t>. “</w:t>
      </w:r>
      <w:r w:rsidRPr="004A68F2">
        <w:rPr>
          <w:rFonts w:ascii="Arial" w:hAnsi="Arial" w:cs="Arial"/>
          <w:szCs w:val="24"/>
          <w:lang w:val="mn-MN"/>
        </w:rPr>
        <w:t>Өндөр насны тэтгэвэр авах эрх</w:t>
      </w:r>
      <w:r w:rsidR="00D74EF5" w:rsidRPr="004A68F2">
        <w:rPr>
          <w:rFonts w:ascii="Arial" w:hAnsi="Arial" w:cs="Arial"/>
          <w:szCs w:val="24"/>
          <w:lang w:val="mn-MN"/>
        </w:rPr>
        <w:t>”-</w:t>
      </w:r>
      <w:r w:rsidRPr="004A68F2">
        <w:rPr>
          <w:rFonts w:ascii="Arial" w:hAnsi="Arial" w:cs="Arial"/>
          <w:szCs w:val="24"/>
          <w:lang w:val="mn-MN"/>
        </w:rPr>
        <w:t xml:space="preserve"> Даатгуулагчийн өндөр насны тэтгэвэр тогтоолгох </w:t>
      </w:r>
      <w:r w:rsidR="00B25098" w:rsidRPr="004A68F2">
        <w:rPr>
          <w:rFonts w:ascii="Arial" w:hAnsi="Arial" w:cs="Arial"/>
          <w:szCs w:val="24"/>
          <w:lang w:val="mn-MN"/>
        </w:rPr>
        <w:t>нас шударгаар тодорхойлсон эсэх</w:t>
      </w:r>
      <w:r w:rsidR="00B25098" w:rsidRPr="004A68F2">
        <w:rPr>
          <w:rFonts w:ascii="Arial" w:hAnsi="Arial"/>
          <w:szCs w:val="30"/>
          <w:lang w:val="mn-MN" w:bidi="mn-Mong-MN"/>
        </w:rPr>
        <w:t>;</w:t>
      </w:r>
    </w:p>
    <w:p w14:paraId="79E90AA0" w14:textId="3C17578F" w:rsidR="006D7B45" w:rsidRPr="004A68F2" w:rsidRDefault="006D7B45" w:rsidP="002C5654">
      <w:pPr>
        <w:spacing w:after="0" w:line="276" w:lineRule="auto"/>
        <w:ind w:firstLine="720"/>
        <w:rPr>
          <w:rFonts w:ascii="Arial" w:hAnsi="Arial" w:cs="Arial"/>
          <w:szCs w:val="24"/>
          <w:lang w:val="mn-MN"/>
        </w:rPr>
      </w:pPr>
    </w:p>
    <w:p w14:paraId="213C3A2E" w14:textId="1ED1E2C1" w:rsidR="00B507EF" w:rsidRPr="004A68F2" w:rsidRDefault="00B507EF"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Нийгмийн даатгалын сангаас олгох тэтгэврийн тухай хуулийн 5 дугаар зүйлд даатгуулагчийн өндөр насны тэтгэвэр авах эрхийг зааж өгсөн. </w:t>
      </w:r>
    </w:p>
    <w:p w14:paraId="74F4B5EA" w14:textId="77777777" w:rsidR="002C5654" w:rsidRPr="004A68F2" w:rsidRDefault="002C5654" w:rsidP="002C5654">
      <w:pPr>
        <w:spacing w:after="0" w:line="276" w:lineRule="auto"/>
        <w:ind w:firstLine="720"/>
        <w:rPr>
          <w:rFonts w:ascii="Arial" w:hAnsi="Arial" w:cs="Arial"/>
          <w:szCs w:val="24"/>
          <w:lang w:val="mn-MN"/>
        </w:rPr>
      </w:pPr>
    </w:p>
    <w:p w14:paraId="2B89AC81" w14:textId="3E63448A" w:rsidR="00B507EF" w:rsidRPr="004A68F2" w:rsidRDefault="00B507EF"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Мөн Нийгмийн даатгалын сангаас олгох тэтгэвэр, тэтгэмжийн тухай хууль (хүчингүйд тооцсон)-д 2017 онд нэмэлт, өөрчлөлт оруулж даатгуулагчид өндөр насны тэтгэвэр тогтоох ердийн нас (эрэгтэй 60, эмэгтэй 55 нас)-ыг жил бүр 3 сараар нэмэгдүүлж, 2018 оноос хэрэгжиж эхэлсэн. Гэвч УИХ-аас 2023 онд баталсан Нийгмийн даатгалын багц хуулийн шинэчилсэн найруулгын хүрээнд бусад нөхцөлөөр өндөр насны тэтгэвэр тогтоолгох даатгуулагчийн насыг хэвээр үлдээсэн нь нийгэмд шударга бус байдлыг бий болгож байна.</w:t>
      </w:r>
    </w:p>
    <w:p w14:paraId="7E0E8C1C" w14:textId="77777777" w:rsidR="00B25098" w:rsidRPr="004A68F2" w:rsidRDefault="00B25098" w:rsidP="002C5654">
      <w:pPr>
        <w:spacing w:after="0" w:line="276" w:lineRule="auto"/>
        <w:ind w:firstLine="720"/>
        <w:contextualSpacing/>
        <w:rPr>
          <w:rFonts w:ascii="Arial" w:hAnsi="Arial" w:cs="Arial"/>
          <w:szCs w:val="24"/>
          <w:lang w:val="mn-MN"/>
        </w:rPr>
      </w:pPr>
    </w:p>
    <w:p w14:paraId="5BAB90DA" w14:textId="5898D6CA" w:rsidR="00B507EF" w:rsidRPr="004A68F2" w:rsidRDefault="00B507EF"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Манай улсын хүн амын дундаж наслалт 2023 онд 71.5 жил болж, 2000 оны дундаж наслалтаас 8.3 жилээр өссөн үзүүлэлттэй, харин эрэгтэйчүүдийн дундаж наслалт 7.2 жилээр нэмэгдэж 67.6 жил, эмэгтэйчүүдийн дундаж наслалт 10.8 жилээр нэмэгдэж 76.9 жил болж нэмэгдсэн нь 0 наснаас тооцоолсон дундаж бөгөөд харин тэтгэврийн тогтолцоонд тэтгэврийн насанд хүрсэн хүний цаашид амьдрах хугацааг авч үздэг. Дэлхийн банкнаас хийсэн 2024-2050 он хүртэлх хугацааны тооцооллоор 65 настай байх үеийн дундаж наслалт эрчүүдийн хувьд 13.0 жил байгаа нь эрэгтэй хүн 78 нас, эмэгтэйчүүдийн хувьд 16.9 байгаа нь 81.9 нас болж өсө</w:t>
      </w:r>
      <w:r w:rsidR="0049507E" w:rsidRPr="004A68F2">
        <w:rPr>
          <w:rFonts w:ascii="Arial" w:hAnsi="Arial" w:cs="Arial"/>
          <w:szCs w:val="24"/>
          <w:lang w:val="mn-MN"/>
        </w:rPr>
        <w:t>х төлөвтэй, энэ нь цаашид ч нэмэгдэх</w:t>
      </w:r>
      <w:r w:rsidRPr="004A68F2">
        <w:rPr>
          <w:rFonts w:ascii="Arial" w:hAnsi="Arial" w:cs="Arial"/>
          <w:szCs w:val="24"/>
          <w:lang w:val="mn-MN"/>
        </w:rPr>
        <w:t xml:space="preserve"> хандлагатай байна.</w:t>
      </w:r>
    </w:p>
    <w:p w14:paraId="59F0F1A8" w14:textId="77777777" w:rsidR="00B25098" w:rsidRPr="004A68F2" w:rsidRDefault="00B25098" w:rsidP="002C5654">
      <w:pPr>
        <w:spacing w:after="0" w:line="276" w:lineRule="auto"/>
        <w:ind w:firstLine="720"/>
        <w:contextualSpacing/>
        <w:rPr>
          <w:rFonts w:ascii="Arial" w:hAnsi="Arial" w:cs="Arial"/>
          <w:szCs w:val="24"/>
          <w:lang w:val="mn-MN"/>
        </w:rPr>
      </w:pPr>
    </w:p>
    <w:p w14:paraId="5FE0D9AE" w14:textId="7955F372" w:rsidR="00B507EF" w:rsidRPr="004A68F2" w:rsidRDefault="00B507EF"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 xml:space="preserve">Нийгмийн даатгалын сангаас болон цэргийн тэтгэвэр авагчдын тоо жил бүр </w:t>
      </w:r>
      <w:proofErr w:type="spellStart"/>
      <w:r w:rsidRPr="004A68F2">
        <w:rPr>
          <w:rFonts w:ascii="Arial" w:hAnsi="Arial" w:cs="Arial"/>
          <w:szCs w:val="24"/>
          <w:lang w:val="mn-MN"/>
        </w:rPr>
        <w:t>өсч</w:t>
      </w:r>
      <w:proofErr w:type="spellEnd"/>
      <w:r w:rsidRPr="004A68F2">
        <w:rPr>
          <w:rFonts w:ascii="Arial" w:hAnsi="Arial" w:cs="Arial"/>
          <w:szCs w:val="24"/>
          <w:lang w:val="mn-MN"/>
        </w:rPr>
        <w:t>, 202</w:t>
      </w:r>
      <w:r w:rsidR="00262AA2" w:rsidRPr="004A68F2">
        <w:rPr>
          <w:rFonts w:ascii="Arial" w:hAnsi="Arial" w:cs="Arial"/>
          <w:szCs w:val="24"/>
          <w:lang w:val="mn-MN"/>
        </w:rPr>
        <w:t>5 оны жилийн эцсийн байдлаар 546</w:t>
      </w:r>
      <w:r w:rsidRPr="004A68F2">
        <w:rPr>
          <w:rFonts w:ascii="Arial" w:hAnsi="Arial" w:cs="Arial"/>
          <w:szCs w:val="24"/>
          <w:lang w:val="mn-MN"/>
        </w:rPr>
        <w:t>.</w:t>
      </w:r>
      <w:r w:rsidR="00262AA2" w:rsidRPr="004A68F2">
        <w:rPr>
          <w:rFonts w:ascii="Arial" w:hAnsi="Arial" w:cs="Arial"/>
          <w:szCs w:val="24"/>
          <w:lang w:val="mn-MN"/>
        </w:rPr>
        <w:t>1 мянгад хүрсний 428</w:t>
      </w:r>
      <w:r w:rsidRPr="004A68F2">
        <w:rPr>
          <w:rFonts w:ascii="Arial" w:hAnsi="Arial" w:cs="Arial"/>
          <w:szCs w:val="24"/>
          <w:lang w:val="mn-MN"/>
        </w:rPr>
        <w:t>.</w:t>
      </w:r>
      <w:r w:rsidR="00262AA2" w:rsidRPr="004A68F2">
        <w:rPr>
          <w:rFonts w:ascii="Arial" w:hAnsi="Arial" w:cs="Arial"/>
          <w:szCs w:val="24"/>
          <w:lang w:val="mn-MN"/>
        </w:rPr>
        <w:t>4</w:t>
      </w:r>
      <w:r w:rsidRPr="004A68F2">
        <w:rPr>
          <w:rFonts w:ascii="Arial" w:hAnsi="Arial" w:cs="Arial"/>
          <w:szCs w:val="24"/>
          <w:lang w:val="mn-MN"/>
        </w:rPr>
        <w:t xml:space="preserve"> мянга нь өндөр насны тэтгэвэр авагч бай</w:t>
      </w:r>
      <w:r w:rsidR="00EA0476" w:rsidRPr="004A68F2">
        <w:rPr>
          <w:rFonts w:ascii="Arial" w:hAnsi="Arial" w:cs="Arial"/>
          <w:szCs w:val="24"/>
          <w:lang w:val="mn-MN"/>
        </w:rPr>
        <w:t>гаа нь нийт тэтгэвэр авагчдын 78</w:t>
      </w:r>
      <w:r w:rsidRPr="004A68F2">
        <w:rPr>
          <w:rFonts w:ascii="Arial" w:hAnsi="Arial" w:cs="Arial"/>
          <w:szCs w:val="24"/>
          <w:lang w:val="mn-MN"/>
        </w:rPr>
        <w:t>.</w:t>
      </w:r>
      <w:r w:rsidR="00EA0476" w:rsidRPr="004A68F2">
        <w:rPr>
          <w:rFonts w:ascii="Arial" w:hAnsi="Arial" w:cs="Arial"/>
          <w:szCs w:val="24"/>
          <w:lang w:val="mn-MN"/>
        </w:rPr>
        <w:t>5</w:t>
      </w:r>
      <w:r w:rsidRPr="004A68F2">
        <w:rPr>
          <w:rFonts w:ascii="Arial" w:hAnsi="Arial" w:cs="Arial"/>
          <w:szCs w:val="24"/>
          <w:lang w:val="mn-MN"/>
        </w:rPr>
        <w:t xml:space="preserve"> хувийг эзэлж байна. </w:t>
      </w:r>
    </w:p>
    <w:p w14:paraId="71695BB7" w14:textId="77777777" w:rsidR="00B25098" w:rsidRPr="004A68F2" w:rsidRDefault="00B25098" w:rsidP="002C5654">
      <w:pPr>
        <w:spacing w:after="0" w:line="276" w:lineRule="auto"/>
        <w:ind w:firstLine="720"/>
        <w:contextualSpacing/>
        <w:rPr>
          <w:rFonts w:ascii="Arial" w:hAnsi="Arial" w:cs="Arial"/>
          <w:szCs w:val="24"/>
          <w:lang w:val="mn-MN"/>
        </w:rPr>
      </w:pPr>
    </w:p>
    <w:p w14:paraId="500BC3EC" w14:textId="6E21E9C4" w:rsidR="00B507EF" w:rsidRPr="004A68F2" w:rsidRDefault="00B507EF"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Харин ний</w:t>
      </w:r>
      <w:r w:rsidR="00EA0476" w:rsidRPr="004A68F2">
        <w:rPr>
          <w:rFonts w:ascii="Arial" w:hAnsi="Arial" w:cs="Arial"/>
          <w:szCs w:val="24"/>
          <w:lang w:val="mn-MN"/>
        </w:rPr>
        <w:t>т 428</w:t>
      </w:r>
      <w:r w:rsidRPr="004A68F2">
        <w:rPr>
          <w:rFonts w:ascii="Arial" w:hAnsi="Arial" w:cs="Arial"/>
          <w:szCs w:val="24"/>
          <w:lang w:val="mn-MN"/>
        </w:rPr>
        <w:t>.</w:t>
      </w:r>
      <w:r w:rsidR="00EA0476" w:rsidRPr="004A68F2">
        <w:rPr>
          <w:rFonts w:ascii="Arial" w:hAnsi="Arial" w:cs="Arial"/>
          <w:szCs w:val="24"/>
          <w:lang w:val="mn-MN"/>
        </w:rPr>
        <w:t>4</w:t>
      </w:r>
      <w:r w:rsidR="00CD637A" w:rsidRPr="004A68F2">
        <w:rPr>
          <w:rFonts w:ascii="Arial" w:hAnsi="Arial" w:cs="Arial"/>
          <w:szCs w:val="24"/>
          <w:lang w:val="mn-MN"/>
        </w:rPr>
        <w:t xml:space="preserve"> мянган </w:t>
      </w:r>
      <w:r w:rsidR="0049507E" w:rsidRPr="004A68F2">
        <w:rPr>
          <w:rFonts w:ascii="Arial" w:hAnsi="Arial" w:cs="Arial"/>
          <w:szCs w:val="24"/>
          <w:lang w:val="mn-MN"/>
        </w:rPr>
        <w:t xml:space="preserve">өндөр насны тэтгэвэр </w:t>
      </w:r>
      <w:r w:rsidR="00CD637A" w:rsidRPr="004A68F2">
        <w:rPr>
          <w:rFonts w:ascii="Arial" w:hAnsi="Arial" w:cs="Arial"/>
          <w:szCs w:val="24"/>
          <w:lang w:val="mn-MN"/>
        </w:rPr>
        <w:t>авагчийн 43</w:t>
      </w:r>
      <w:r w:rsidRPr="004A68F2">
        <w:rPr>
          <w:rFonts w:ascii="Arial" w:hAnsi="Arial" w:cs="Arial"/>
          <w:szCs w:val="24"/>
          <w:lang w:val="mn-MN"/>
        </w:rPr>
        <w:t>.</w:t>
      </w:r>
      <w:r w:rsidR="00CD637A" w:rsidRPr="004A68F2">
        <w:rPr>
          <w:rFonts w:ascii="Arial" w:hAnsi="Arial" w:cs="Arial"/>
          <w:szCs w:val="24"/>
          <w:lang w:val="mn-MN"/>
        </w:rPr>
        <w:t>0</w:t>
      </w:r>
      <w:r w:rsidRPr="004A68F2">
        <w:rPr>
          <w:rFonts w:ascii="Arial" w:hAnsi="Arial" w:cs="Arial"/>
          <w:szCs w:val="24"/>
          <w:lang w:val="mn-MN"/>
        </w:rPr>
        <w:t xml:space="preserve"> хувь буюу 184.0 мянган тэтгэвэр авагч нь хөнгөлөлттэй буюу эрт тэтгэвэр тогтоолгон авч байна. </w:t>
      </w:r>
    </w:p>
    <w:p w14:paraId="7D8EDBD7" w14:textId="7C49F265" w:rsidR="0077204F" w:rsidRPr="004A68F2" w:rsidRDefault="0077204F" w:rsidP="002C5654">
      <w:pPr>
        <w:spacing w:after="0" w:line="276" w:lineRule="auto"/>
        <w:contextualSpacing/>
        <w:rPr>
          <w:rFonts w:ascii="Arial" w:hAnsi="Arial" w:cs="Arial"/>
          <w:szCs w:val="24"/>
          <w:lang w:val="mn-MN"/>
        </w:rPr>
      </w:pPr>
    </w:p>
    <w:p w14:paraId="7F224EFC" w14:textId="7849B9A4" w:rsidR="00C74C79" w:rsidRPr="004A68F2" w:rsidRDefault="0077204F" w:rsidP="002C5654">
      <w:pPr>
        <w:spacing w:after="0" w:line="276" w:lineRule="auto"/>
        <w:ind w:firstLine="720"/>
        <w:rPr>
          <w:rFonts w:ascii="Arial" w:hAnsi="Arial" w:cs="Arial"/>
          <w:szCs w:val="24"/>
          <w:lang w:val="mn-MN"/>
        </w:rPr>
      </w:pPr>
      <w:r w:rsidRPr="004A68F2">
        <w:rPr>
          <w:rFonts w:ascii="Arial" w:hAnsi="Arial" w:cs="Arial"/>
          <w:b/>
          <w:bCs/>
          <w:i/>
          <w:iCs/>
          <w:szCs w:val="24"/>
          <w:lang w:val="mn-MN"/>
        </w:rPr>
        <w:t>Шалгуур үзүүлэлтийн томьёолол 3.</w:t>
      </w:r>
      <w:r w:rsidRPr="004A68F2">
        <w:rPr>
          <w:rFonts w:ascii="Arial" w:hAnsi="Arial" w:cs="Arial"/>
          <w:szCs w:val="24"/>
          <w:lang w:val="mn-MN"/>
        </w:rPr>
        <w:t xml:space="preserve"> </w:t>
      </w:r>
    </w:p>
    <w:p w14:paraId="3F63C5C9" w14:textId="77777777" w:rsidR="0049507E" w:rsidRPr="004A68F2" w:rsidRDefault="0049507E" w:rsidP="002C5654">
      <w:pPr>
        <w:spacing w:after="0" w:line="276" w:lineRule="auto"/>
        <w:ind w:firstLine="720"/>
        <w:rPr>
          <w:rFonts w:ascii="Arial" w:hAnsi="Arial" w:cs="Arial"/>
          <w:szCs w:val="24"/>
          <w:lang w:val="mn-MN"/>
        </w:rPr>
      </w:pPr>
    </w:p>
    <w:p w14:paraId="49642475" w14:textId="4BB91174" w:rsidR="00DF51D9" w:rsidRPr="004A68F2" w:rsidRDefault="0077204F" w:rsidP="002C5654">
      <w:pPr>
        <w:pStyle w:val="ListParagraph"/>
        <w:spacing w:after="0" w:line="276" w:lineRule="auto"/>
        <w:ind w:left="0" w:firstLine="720"/>
        <w:rPr>
          <w:rFonts w:ascii="Arial" w:hAnsi="Arial" w:cs="Arial"/>
          <w:szCs w:val="24"/>
          <w:lang w:val="mn-MN" w:bidi="mn-Mong-MN"/>
        </w:rPr>
      </w:pPr>
      <w:r w:rsidRPr="004A68F2">
        <w:rPr>
          <w:rFonts w:ascii="Arial" w:hAnsi="Arial" w:cs="Arial"/>
          <w:szCs w:val="24"/>
          <w:u w:val="single"/>
          <w:lang w:val="mn-MN"/>
        </w:rPr>
        <w:t>Нийгмийн даатгалын сангаас олгох тэтгэврийн тухай хуулийн  6 дугаар зүйл</w:t>
      </w:r>
      <w:r w:rsidRPr="004A68F2">
        <w:rPr>
          <w:rFonts w:ascii="Arial" w:hAnsi="Arial" w:cs="Arial"/>
          <w:szCs w:val="24"/>
          <w:lang w:val="mn-MN"/>
        </w:rPr>
        <w:t>.</w:t>
      </w:r>
      <w:r w:rsidR="0049507E" w:rsidRPr="004A68F2">
        <w:rPr>
          <w:rFonts w:ascii="Arial" w:hAnsi="Arial" w:cs="Arial"/>
          <w:szCs w:val="24"/>
          <w:lang w:val="mn-MN"/>
        </w:rPr>
        <w:t xml:space="preserve"> </w:t>
      </w:r>
      <w:r w:rsidR="00DF51D9" w:rsidRPr="004A68F2">
        <w:rPr>
          <w:rFonts w:ascii="Arial" w:hAnsi="Arial" w:cs="Arial"/>
          <w:szCs w:val="24"/>
          <w:lang w:val="mn-MN"/>
        </w:rPr>
        <w:t>Нэрийн дансны аргаар тэтгэвэр бодох арга</w:t>
      </w:r>
      <w:r w:rsidR="00DF51D9" w:rsidRPr="004A68F2">
        <w:rPr>
          <w:rFonts w:ascii="Arial" w:hAnsi="Arial" w:cs="Arial"/>
          <w:szCs w:val="24"/>
          <w:lang w:val="mn-MN" w:bidi="mn-Mong-MN"/>
        </w:rPr>
        <w:t xml:space="preserve"> нь Монгол Улсын урт, дунд хугацааны бодлого, хөтөлбөрт нийцсэн эсэх;</w:t>
      </w:r>
    </w:p>
    <w:p w14:paraId="01A0B890" w14:textId="4F0DDD99" w:rsidR="0077204F" w:rsidRPr="004A68F2" w:rsidRDefault="0077204F" w:rsidP="002C5654">
      <w:pPr>
        <w:spacing w:after="0" w:line="276" w:lineRule="auto"/>
        <w:contextualSpacing/>
        <w:rPr>
          <w:rFonts w:ascii="Arial" w:hAnsi="Arial" w:cs="Arial"/>
          <w:color w:val="7030A0"/>
          <w:szCs w:val="24"/>
          <w:lang w:val="mn-MN"/>
        </w:rPr>
      </w:pPr>
    </w:p>
    <w:p w14:paraId="3853B251" w14:textId="77777777" w:rsidR="00B25098" w:rsidRPr="004A68F2" w:rsidRDefault="0077204F" w:rsidP="002C5654">
      <w:pPr>
        <w:spacing w:after="0" w:line="276" w:lineRule="auto"/>
        <w:ind w:firstLine="720"/>
        <w:rPr>
          <w:rFonts w:ascii="Arial" w:hAnsi="Arial" w:cs="Arial"/>
          <w:color w:val="000000" w:themeColor="text1"/>
          <w:szCs w:val="24"/>
          <w:lang w:val="mn-MN"/>
        </w:rPr>
      </w:pPr>
      <w:r w:rsidRPr="004A68F2">
        <w:rPr>
          <w:rFonts w:ascii="Arial" w:hAnsi="Arial" w:cs="Arial"/>
          <w:szCs w:val="24"/>
          <w:lang w:val="mn-MN"/>
        </w:rPr>
        <w:t>“Алсын хараа-2050” Монгол Улсын урт хугацааны хөгжлийн бодлогын хүрээнд 2021-2030 онд хэрэгжүүлэх үйл ажиллагааны зорилт”-ын 3.1.2-т “Нийгмийн даатгалын хууль, эрх зүйн орчныг боловсронгуй болгоно.” гэж, 3.1.8-д “Тэтгэврийн даатгалын хагас хуримтлалын тогтолцоонд хэсэгчлэн шилжүүлж, 1979 оноос хойш төрсөн даатгуулагчийн тэтгэврийн даатгалын шимтгэлийг бодит хуримтлал болгоно” гэж, 3.1.9-д “Тэтгэврийн даатгалын тогтолцоог бүрэн хуримтлалын тогтолцоонд шилжүүлэх үе шатыг эхлүүлнэ” гэж заасан</w:t>
      </w:r>
      <w:r w:rsidRPr="004A68F2">
        <w:rPr>
          <w:rFonts w:ascii="Arial" w:hAnsi="Arial" w:cs="Arial"/>
          <w:color w:val="000000" w:themeColor="text1"/>
          <w:szCs w:val="24"/>
          <w:lang w:val="mn-MN"/>
        </w:rPr>
        <w:t xml:space="preserve">. </w:t>
      </w:r>
    </w:p>
    <w:p w14:paraId="6E94F884" w14:textId="77777777" w:rsidR="00B25098" w:rsidRPr="004A68F2" w:rsidRDefault="00B25098" w:rsidP="002C5654">
      <w:pPr>
        <w:spacing w:after="0" w:line="276" w:lineRule="auto"/>
        <w:ind w:firstLine="720"/>
        <w:rPr>
          <w:rFonts w:ascii="Arial" w:hAnsi="Arial" w:cs="Arial"/>
          <w:color w:val="000000" w:themeColor="text1"/>
          <w:szCs w:val="24"/>
          <w:lang w:val="mn-MN"/>
        </w:rPr>
      </w:pPr>
    </w:p>
    <w:p w14:paraId="64564026" w14:textId="3DEDEF49" w:rsidR="0077204F" w:rsidRPr="004A68F2" w:rsidRDefault="009D3A3B" w:rsidP="002C5654">
      <w:pPr>
        <w:spacing w:line="276" w:lineRule="auto"/>
        <w:ind w:firstLine="720"/>
        <w:rPr>
          <w:rFonts w:ascii="Arial" w:hAnsi="Arial" w:cs="Arial"/>
          <w:szCs w:val="44"/>
          <w:lang w:val="mn-MN"/>
        </w:rPr>
      </w:pPr>
      <w:r w:rsidRPr="004A68F2">
        <w:rPr>
          <w:rFonts w:ascii="Arial" w:hAnsi="Arial" w:cs="Arial"/>
          <w:color w:val="000000" w:themeColor="text1"/>
          <w:szCs w:val="44"/>
          <w:lang w:val="mn-MN"/>
        </w:rPr>
        <w:t xml:space="preserve">Нэрийн дансны аргаар </w:t>
      </w:r>
      <w:r w:rsidR="00465021" w:rsidRPr="004A68F2">
        <w:rPr>
          <w:rFonts w:ascii="Arial" w:hAnsi="Arial" w:cs="Arial"/>
          <w:color w:val="000000" w:themeColor="text1"/>
          <w:szCs w:val="44"/>
          <w:lang w:val="mn-MN"/>
        </w:rPr>
        <w:t>7</w:t>
      </w:r>
      <w:r w:rsidRPr="004A68F2">
        <w:rPr>
          <w:rFonts w:ascii="Arial" w:hAnsi="Arial" w:cs="Arial"/>
          <w:color w:val="000000" w:themeColor="text1"/>
          <w:szCs w:val="44"/>
          <w:lang w:val="mn-MN"/>
        </w:rPr>
        <w:t xml:space="preserve"> хүн л тэтгэвэр тогтоолгосон, </w:t>
      </w:r>
      <w:r w:rsidR="00B25098" w:rsidRPr="004A68F2">
        <w:rPr>
          <w:rFonts w:ascii="Arial" w:hAnsi="Arial" w:cs="Arial"/>
          <w:color w:val="000000" w:themeColor="text1"/>
          <w:szCs w:val="44"/>
          <w:lang w:val="mn-MN"/>
        </w:rPr>
        <w:t xml:space="preserve">цалинд үндэслэсэн аргаар бодогдсон тэтгэврээс </w:t>
      </w:r>
      <w:r w:rsidRPr="004A68F2">
        <w:rPr>
          <w:rFonts w:ascii="Arial" w:hAnsi="Arial" w:cs="Arial"/>
          <w:color w:val="000000" w:themeColor="text1"/>
          <w:szCs w:val="44"/>
          <w:lang w:val="mn-MN"/>
        </w:rPr>
        <w:t xml:space="preserve">хэт бага тогтоогдохоор байгаа тул </w:t>
      </w:r>
      <w:r w:rsidR="00B25098" w:rsidRPr="004A68F2">
        <w:rPr>
          <w:rFonts w:ascii="Arial" w:hAnsi="Arial" w:cs="Arial"/>
          <w:color w:val="000000" w:themeColor="text1"/>
          <w:szCs w:val="44"/>
          <w:lang w:val="mn-MN"/>
        </w:rPr>
        <w:t xml:space="preserve">тэтгэврийн зөрүү их, ялгаатай </w:t>
      </w:r>
      <w:r w:rsidR="00B25098" w:rsidRPr="004A68F2">
        <w:rPr>
          <w:rFonts w:ascii="Arial" w:hAnsi="Arial" w:cs="Arial"/>
          <w:szCs w:val="44"/>
          <w:lang w:val="mn-MN"/>
        </w:rPr>
        <w:t xml:space="preserve">тогтоогдох нөхцөл </w:t>
      </w:r>
      <w:r w:rsidRPr="004A68F2">
        <w:rPr>
          <w:rFonts w:ascii="Arial" w:hAnsi="Arial" w:cs="Arial"/>
          <w:szCs w:val="44"/>
          <w:lang w:val="mn-MN"/>
        </w:rPr>
        <w:t xml:space="preserve">байдал </w:t>
      </w:r>
      <w:proofErr w:type="spellStart"/>
      <w:r w:rsidR="00B25098" w:rsidRPr="004A68F2">
        <w:rPr>
          <w:rFonts w:ascii="Arial" w:hAnsi="Arial" w:cs="Arial"/>
          <w:szCs w:val="44"/>
          <w:lang w:val="mn-MN"/>
        </w:rPr>
        <w:t>үүсч</w:t>
      </w:r>
      <w:proofErr w:type="spellEnd"/>
      <w:r w:rsidR="00B25098" w:rsidRPr="004A68F2">
        <w:rPr>
          <w:rFonts w:ascii="Arial" w:hAnsi="Arial" w:cs="Arial"/>
          <w:szCs w:val="44"/>
          <w:lang w:val="mn-MN"/>
        </w:rPr>
        <w:t xml:space="preserve"> байна. </w:t>
      </w:r>
    </w:p>
    <w:p w14:paraId="03D5BE59" w14:textId="5CD8DABA" w:rsidR="00DF51D9" w:rsidRPr="004A68F2" w:rsidRDefault="00DF51D9" w:rsidP="002C5654">
      <w:pPr>
        <w:spacing w:after="0" w:line="276" w:lineRule="auto"/>
        <w:ind w:firstLine="720"/>
        <w:rPr>
          <w:rFonts w:ascii="Arial" w:hAnsi="Arial" w:cs="Arial"/>
          <w:szCs w:val="24"/>
          <w:lang w:val="mn-MN"/>
        </w:rPr>
      </w:pPr>
      <w:r w:rsidRPr="004A68F2">
        <w:rPr>
          <w:rFonts w:ascii="Arial" w:hAnsi="Arial" w:cs="Arial"/>
          <w:b/>
          <w:bCs/>
          <w:i/>
          <w:iCs/>
          <w:szCs w:val="24"/>
          <w:lang w:val="mn-MN"/>
        </w:rPr>
        <w:t>Шалгуур үзүүлэлтийн томьёолол 4.</w:t>
      </w:r>
      <w:r w:rsidRPr="004A68F2">
        <w:rPr>
          <w:rFonts w:ascii="Arial" w:hAnsi="Arial" w:cs="Arial"/>
          <w:szCs w:val="24"/>
          <w:lang w:val="mn-MN"/>
        </w:rPr>
        <w:t xml:space="preserve"> </w:t>
      </w:r>
    </w:p>
    <w:p w14:paraId="064BF4C7" w14:textId="77777777" w:rsidR="0049507E" w:rsidRPr="004A68F2" w:rsidRDefault="0049507E" w:rsidP="002C5654">
      <w:pPr>
        <w:spacing w:after="0" w:line="276" w:lineRule="auto"/>
        <w:ind w:firstLine="720"/>
        <w:rPr>
          <w:rFonts w:ascii="Arial" w:hAnsi="Arial" w:cs="Arial"/>
          <w:szCs w:val="24"/>
          <w:lang w:val="mn-MN"/>
        </w:rPr>
      </w:pPr>
    </w:p>
    <w:p w14:paraId="34B2F9CB" w14:textId="05F9C3D6" w:rsidR="00DF51D9" w:rsidRPr="004A68F2" w:rsidRDefault="00DF51D9" w:rsidP="00733F5E">
      <w:pPr>
        <w:pStyle w:val="ListParagraph"/>
        <w:spacing w:after="0" w:line="276" w:lineRule="auto"/>
        <w:ind w:left="0" w:firstLine="567"/>
        <w:rPr>
          <w:rFonts w:ascii="Arial" w:hAnsi="Arial" w:cs="Arial"/>
          <w:szCs w:val="24"/>
          <w:lang w:val="mn-MN"/>
        </w:rPr>
      </w:pPr>
      <w:r w:rsidRPr="004A68F2">
        <w:rPr>
          <w:rFonts w:ascii="Arial" w:hAnsi="Arial" w:cs="Arial"/>
          <w:szCs w:val="24"/>
          <w:u w:val="single"/>
          <w:lang w:val="mn-MN"/>
        </w:rPr>
        <w:t>Нийгмийн даатгалын сангаас олгох тэтгэврийн тухай хуулийн  9 дүгээр дугаар зүйл</w:t>
      </w:r>
      <w:r w:rsidRPr="004A68F2">
        <w:rPr>
          <w:rFonts w:ascii="Arial" w:hAnsi="Arial" w:cs="Arial"/>
          <w:szCs w:val="24"/>
          <w:lang w:val="mn-MN"/>
        </w:rPr>
        <w:t>. Өндөр насны тэтгэврийн тусгай зохицуулалт нь</w:t>
      </w:r>
      <w:r w:rsidRPr="004A68F2">
        <w:rPr>
          <w:rFonts w:ascii="Arial" w:hAnsi="Arial" w:cs="Arial"/>
          <w:szCs w:val="24"/>
          <w:lang w:val="mn-MN" w:bidi="mn-Mong-MN"/>
        </w:rPr>
        <w:t xml:space="preserve"> хууль тогтоомжид нийцсэн эсэх;</w:t>
      </w:r>
    </w:p>
    <w:p w14:paraId="54ED70EE" w14:textId="77777777" w:rsidR="00EE70C7" w:rsidRPr="004A68F2" w:rsidRDefault="00DF51D9" w:rsidP="002C5654">
      <w:pPr>
        <w:spacing w:after="0" w:line="276" w:lineRule="auto"/>
        <w:ind w:firstLine="720"/>
        <w:rPr>
          <w:rFonts w:ascii="Arial" w:hAnsi="Arial" w:cs="Arial"/>
          <w:szCs w:val="24"/>
          <w:lang w:val="mn-MN" w:bidi="mn-Mong-MN"/>
        </w:rPr>
      </w:pPr>
      <w:r w:rsidRPr="004A68F2">
        <w:rPr>
          <w:rFonts w:ascii="Arial" w:hAnsi="Arial" w:cs="Arial"/>
          <w:szCs w:val="24"/>
          <w:lang w:val="mn-MN" w:bidi="mn-Mong-MN"/>
        </w:rPr>
        <w:t xml:space="preserve">Нийгмийн даатгалын сангаас өндөр насны тэтгэвэр авч байсан гэр бүлийн хоёр тэтгэвэр авагчийн аль нэг нь нас барсан бол нас барсан тэтгэвэр авагчийн авч байсан тэтгэврийн 20 хувьтай тэнцэх хэмжээний мөнгөн дүнгээр нөгөө нөхөр эсхүл эхнэрийн өндөр насны тэтгэврийн хэмжээг нэмэгдүүлэхээр хуульчилсан. </w:t>
      </w:r>
    </w:p>
    <w:p w14:paraId="5CD763F7" w14:textId="77777777" w:rsidR="00B25098" w:rsidRPr="004A68F2" w:rsidRDefault="00B25098" w:rsidP="002C5654">
      <w:pPr>
        <w:spacing w:after="0" w:line="276" w:lineRule="auto"/>
        <w:ind w:firstLine="720"/>
        <w:rPr>
          <w:rFonts w:ascii="Arial" w:hAnsi="Arial" w:cs="Arial"/>
          <w:szCs w:val="24"/>
          <w:lang w:val="mn-MN" w:bidi="mn-Mong-MN"/>
        </w:rPr>
      </w:pPr>
    </w:p>
    <w:p w14:paraId="1D8120BB" w14:textId="708CAE16" w:rsidR="00DF51D9" w:rsidRPr="004A68F2" w:rsidRDefault="00DF51D9" w:rsidP="002C5654">
      <w:pPr>
        <w:spacing w:after="0" w:line="276" w:lineRule="auto"/>
        <w:ind w:firstLine="720"/>
        <w:rPr>
          <w:rFonts w:ascii="Arial" w:hAnsi="Arial" w:cs="Arial"/>
          <w:szCs w:val="24"/>
          <w:lang w:val="mn-MN" w:bidi="mn-Mong-MN"/>
        </w:rPr>
      </w:pPr>
      <w:r w:rsidRPr="004A68F2">
        <w:rPr>
          <w:rFonts w:ascii="Arial" w:hAnsi="Arial" w:cs="Arial"/>
          <w:szCs w:val="24"/>
          <w:lang w:val="mn-MN" w:bidi="mn-Mong-MN"/>
        </w:rPr>
        <w:t>Энэ хуулийн үйлчлэлд 2025 оны байдлаар 3</w:t>
      </w:r>
      <w:r w:rsidR="00B25098" w:rsidRPr="004A68F2">
        <w:rPr>
          <w:rFonts w:ascii="Arial" w:hAnsi="Arial" w:cs="Arial"/>
          <w:szCs w:val="24"/>
          <w:lang w:val="mn-MN" w:bidi="mn-Mong-MN"/>
        </w:rPr>
        <w:t>.5 мянган</w:t>
      </w:r>
      <w:r w:rsidRPr="004A68F2">
        <w:rPr>
          <w:rFonts w:ascii="Arial" w:hAnsi="Arial" w:cs="Arial"/>
          <w:szCs w:val="24"/>
          <w:lang w:val="mn-MN" w:bidi="mn-Mong-MN"/>
        </w:rPr>
        <w:t xml:space="preserve"> тэтгэвэр авагч хамрагдсан байна. </w:t>
      </w:r>
      <w:r w:rsidR="0049507E" w:rsidRPr="004A68F2">
        <w:rPr>
          <w:rFonts w:ascii="Arial" w:hAnsi="Arial" w:cs="Arial"/>
          <w:szCs w:val="24"/>
          <w:lang w:val="mn-MN" w:bidi="mn-Mong-MN"/>
        </w:rPr>
        <w:t xml:space="preserve"> </w:t>
      </w:r>
      <w:r w:rsidRPr="004A68F2">
        <w:rPr>
          <w:rFonts w:ascii="Arial" w:hAnsi="Arial" w:cs="Arial"/>
          <w:szCs w:val="24"/>
          <w:lang w:val="mn-MN" w:bidi="mn-Mong-MN"/>
        </w:rPr>
        <w:t>Дундж</w:t>
      </w:r>
      <w:r w:rsidR="001A4B5D" w:rsidRPr="004A68F2">
        <w:rPr>
          <w:rFonts w:ascii="Arial" w:hAnsi="Arial" w:cs="Arial"/>
          <w:szCs w:val="24"/>
          <w:lang w:val="mn-MN" w:bidi="mn-Mong-MN"/>
        </w:rPr>
        <w:t>аар сарын тэтгэврийн хэмжээ 168.</w:t>
      </w:r>
      <w:r w:rsidRPr="004A68F2">
        <w:rPr>
          <w:rFonts w:ascii="Arial" w:hAnsi="Arial" w:cs="Arial"/>
          <w:szCs w:val="24"/>
          <w:lang w:val="mn-MN" w:bidi="mn-Mong-MN"/>
        </w:rPr>
        <w:t>5 мянган төгрөгөөр нэмэгд</w:t>
      </w:r>
      <w:r w:rsidR="00B25098" w:rsidRPr="004A68F2">
        <w:rPr>
          <w:rFonts w:ascii="Arial" w:hAnsi="Arial" w:cs="Arial"/>
          <w:szCs w:val="24"/>
          <w:lang w:val="mn-MN" w:bidi="mn-Mong-MN"/>
        </w:rPr>
        <w:t>сэн</w:t>
      </w:r>
      <w:r w:rsidRPr="004A68F2">
        <w:rPr>
          <w:rFonts w:ascii="Arial" w:hAnsi="Arial" w:cs="Arial"/>
          <w:szCs w:val="24"/>
          <w:lang w:val="mn-MN" w:bidi="mn-Mong-MN"/>
        </w:rPr>
        <w:t xml:space="preserve"> байна.</w:t>
      </w:r>
    </w:p>
    <w:p w14:paraId="74A396EB" w14:textId="647E1CCF" w:rsidR="0049507E" w:rsidRPr="004A68F2" w:rsidRDefault="0049507E" w:rsidP="002C5654">
      <w:pPr>
        <w:spacing w:after="0" w:line="276" w:lineRule="auto"/>
        <w:ind w:firstLine="720"/>
        <w:rPr>
          <w:rFonts w:ascii="Arial" w:hAnsi="Arial" w:cs="Arial"/>
          <w:szCs w:val="24"/>
          <w:lang w:val="mn-MN" w:bidi="mn-Mong-MN"/>
        </w:rPr>
      </w:pPr>
    </w:p>
    <w:p w14:paraId="05875B70" w14:textId="4D659B27" w:rsidR="0049507E" w:rsidRPr="004A68F2" w:rsidRDefault="00EE70C7" w:rsidP="002C5654">
      <w:pPr>
        <w:spacing w:after="0" w:line="276" w:lineRule="auto"/>
        <w:ind w:firstLine="720"/>
        <w:rPr>
          <w:rFonts w:ascii="Arial" w:hAnsi="Arial" w:cs="Arial"/>
          <w:b/>
          <w:bCs/>
          <w:szCs w:val="24"/>
          <w:lang w:val="mn-MN"/>
        </w:rPr>
      </w:pPr>
      <w:r w:rsidRPr="004A68F2">
        <w:rPr>
          <w:rFonts w:ascii="Arial" w:hAnsi="Arial" w:cs="Arial"/>
          <w:b/>
          <w:bCs/>
          <w:i/>
          <w:iCs/>
          <w:szCs w:val="24"/>
          <w:lang w:val="mn-MN"/>
        </w:rPr>
        <w:t>Шалгуур үзүүлэлтийн томьёолол 5.</w:t>
      </w:r>
      <w:r w:rsidRPr="004A68F2">
        <w:rPr>
          <w:rFonts w:ascii="Arial" w:hAnsi="Arial" w:cs="Arial"/>
          <w:b/>
          <w:bCs/>
          <w:szCs w:val="24"/>
          <w:lang w:val="mn-MN"/>
        </w:rPr>
        <w:t xml:space="preserve"> </w:t>
      </w:r>
    </w:p>
    <w:p w14:paraId="4DFE0521" w14:textId="77777777" w:rsidR="0049507E" w:rsidRPr="004A68F2" w:rsidRDefault="0049507E" w:rsidP="002C5654">
      <w:pPr>
        <w:spacing w:after="0" w:line="276" w:lineRule="auto"/>
        <w:ind w:firstLine="720"/>
        <w:rPr>
          <w:rFonts w:ascii="Arial" w:hAnsi="Arial" w:cs="Arial"/>
          <w:b/>
          <w:bCs/>
          <w:szCs w:val="24"/>
          <w:lang w:val="mn-MN"/>
        </w:rPr>
      </w:pPr>
    </w:p>
    <w:p w14:paraId="5BE7D36F" w14:textId="186F6BCD" w:rsidR="0077204F" w:rsidRPr="004A68F2" w:rsidRDefault="0077204F" w:rsidP="002C5654">
      <w:pPr>
        <w:spacing w:after="0" w:line="276" w:lineRule="auto"/>
        <w:ind w:firstLine="720"/>
        <w:rPr>
          <w:rFonts w:ascii="Arial" w:hAnsi="Arial"/>
          <w:szCs w:val="24"/>
          <w:lang w:val="mn-MN" w:bidi="mn-Mong-MN"/>
        </w:rPr>
      </w:pPr>
      <w:r w:rsidRPr="004A68F2">
        <w:rPr>
          <w:rFonts w:ascii="Arial" w:hAnsi="Arial" w:cs="Arial"/>
          <w:szCs w:val="24"/>
          <w:u w:val="single"/>
          <w:lang w:val="mn-MN"/>
        </w:rPr>
        <w:t xml:space="preserve">Нийгмийн даатгалын сангаас олгох тэтгэврийн тухай хуулийн 20 дугаар зүйл. </w:t>
      </w:r>
      <w:r w:rsidRPr="004A68F2">
        <w:rPr>
          <w:rFonts w:ascii="Arial" w:hAnsi="Arial" w:cs="Arial"/>
          <w:szCs w:val="24"/>
          <w:lang w:val="mn-MN"/>
        </w:rPr>
        <w:t xml:space="preserve">Тэтгэвэр тогтооход баримтлах дундаж цалин </w:t>
      </w:r>
      <w:r w:rsidRPr="004A68F2">
        <w:rPr>
          <w:rFonts w:ascii="Arial" w:hAnsi="Arial" w:cs="Arial"/>
          <w:szCs w:val="24"/>
          <w:lang w:val="mn-MN" w:bidi="mn-Mong-MN"/>
        </w:rPr>
        <w:t xml:space="preserve">(5 жил) хөлс нь Монгол Улсын урт, дунд хугацааны </w:t>
      </w:r>
      <w:r w:rsidR="00B25098" w:rsidRPr="004A68F2">
        <w:rPr>
          <w:rFonts w:ascii="Arial" w:hAnsi="Arial" w:cs="Arial"/>
          <w:szCs w:val="24"/>
          <w:lang w:val="mn-MN" w:bidi="mn-Mong-MN"/>
        </w:rPr>
        <w:t>бодлого, хөтөлбөрт нийцсэн эсэх</w:t>
      </w:r>
      <w:r w:rsidR="00B25098" w:rsidRPr="004A68F2">
        <w:rPr>
          <w:rFonts w:ascii="Arial" w:hAnsi="Arial"/>
          <w:szCs w:val="24"/>
          <w:lang w:val="mn-MN" w:bidi="mn-Mong-MN"/>
        </w:rPr>
        <w:t>:</w:t>
      </w:r>
    </w:p>
    <w:p w14:paraId="38CAA6C5" w14:textId="0199CB9A" w:rsidR="0077204F" w:rsidRPr="004A68F2" w:rsidRDefault="0077204F" w:rsidP="002C5654">
      <w:pPr>
        <w:spacing w:after="0" w:line="276" w:lineRule="auto"/>
        <w:ind w:firstLine="720"/>
        <w:contextualSpacing/>
        <w:rPr>
          <w:rFonts w:ascii="Arial" w:hAnsi="Arial" w:cs="Arial"/>
          <w:szCs w:val="24"/>
          <w:lang w:val="mn-MN"/>
        </w:rPr>
      </w:pPr>
    </w:p>
    <w:p w14:paraId="1DA7CC78" w14:textId="372253AC" w:rsidR="00EE70C7" w:rsidRPr="004A68F2" w:rsidRDefault="00EE70C7" w:rsidP="002C5654">
      <w:pPr>
        <w:shd w:val="clear" w:color="auto" w:fill="FFFFFF"/>
        <w:spacing w:after="0" w:line="276" w:lineRule="auto"/>
        <w:ind w:firstLine="720"/>
        <w:rPr>
          <w:rFonts w:ascii="Arial" w:eastAsia="Times New Roman" w:hAnsi="Arial" w:cs="Arial"/>
          <w:szCs w:val="24"/>
          <w:lang w:val="mn-MN" w:eastAsia="ko-KR" w:bidi="mn-Mong-MN"/>
          <w14:ligatures w14:val="none"/>
        </w:rPr>
      </w:pPr>
      <w:r w:rsidRPr="004A68F2">
        <w:rPr>
          <w:rFonts w:ascii="Arial" w:eastAsia="Times New Roman" w:hAnsi="Arial" w:cs="Arial"/>
          <w:szCs w:val="24"/>
          <w:lang w:val="mn-MN" w:eastAsia="ko-KR" w:bidi="mn-Mong-MN"/>
          <w14:ligatures w14:val="none"/>
        </w:rPr>
        <w:t>Тус хуулийн 20.1-д  даатгуулагчийн “тэтгэвэр тогтоолгох сарын дундаж цалин хөлс, түүнтэй адилтгах орлогыг тодорхойлохдоо даатгуулагчийн тэтгэврийн даатгалын шимтгэл төлсөн сүүлийн 20 жилийн доторх дараалсан 5 жилд шимтгэл төлсөн цалин хөлс, түүнтэй адилтгах орлогын нийлбэрийг 60-д хувааж бодно” гэж, 20.2-т “даатгуулагч 5 жилээс доош хугацаанд шимтгэл төлсөн байх нөхцөлөөр тэтгэвэр тогтоолгох тохиолдолд тэтгэвэр тогтоолгох сарын дундаж цалин хөлс, түүнтэй адилтгах орлогыг тодорхойлохдоо шимтгэл төлсөн цалин хөлс, түүнтэй адилтгах орлогын нийлбэрийг түүний шимтгэл төлсөн нийт сарын тоонд хувааж бодно” гэж тус тус заасан.</w:t>
      </w:r>
    </w:p>
    <w:p w14:paraId="3AF0B14C" w14:textId="77777777" w:rsidR="00B25098" w:rsidRPr="004A68F2" w:rsidRDefault="00B25098" w:rsidP="002C5654">
      <w:pPr>
        <w:shd w:val="clear" w:color="auto" w:fill="FFFFFF"/>
        <w:spacing w:after="0" w:line="276" w:lineRule="auto"/>
        <w:ind w:firstLine="720"/>
        <w:rPr>
          <w:rFonts w:ascii="Arial" w:eastAsia="Times New Roman" w:hAnsi="Arial" w:cs="Arial"/>
          <w:szCs w:val="24"/>
          <w:lang w:val="mn-MN" w:eastAsia="ko-KR" w:bidi="mn-Mong-MN"/>
          <w14:ligatures w14:val="none"/>
        </w:rPr>
      </w:pPr>
    </w:p>
    <w:p w14:paraId="081AB197" w14:textId="1DC85E85" w:rsidR="00EE70C7" w:rsidRPr="004A68F2" w:rsidRDefault="00F030EA" w:rsidP="002C5654">
      <w:pPr>
        <w:shd w:val="clear" w:color="auto" w:fill="FFFFFF"/>
        <w:spacing w:after="0" w:line="276" w:lineRule="auto"/>
        <w:ind w:firstLine="720"/>
        <w:rPr>
          <w:rFonts w:ascii="Arial" w:eastAsia="Times New Roman" w:hAnsi="Arial" w:cs="Arial"/>
          <w:szCs w:val="24"/>
          <w:lang w:val="mn-MN" w:eastAsia="ko-KR" w:bidi="mn-Mong-MN"/>
          <w14:ligatures w14:val="none"/>
        </w:rPr>
      </w:pPr>
      <w:r w:rsidRPr="004A68F2">
        <w:rPr>
          <w:rFonts w:ascii="Arial" w:eastAsia="Times New Roman" w:hAnsi="Arial" w:cs="Arial"/>
          <w:szCs w:val="24"/>
          <w:lang w:val="mn-MN" w:eastAsia="ko-KR" w:bidi="mn-Mong-MN"/>
          <w14:ligatures w14:val="none"/>
        </w:rPr>
        <w:t>Энэхүү зохицуулалт нь</w:t>
      </w:r>
      <w:r w:rsidR="00C74C79" w:rsidRPr="004A68F2">
        <w:rPr>
          <w:rFonts w:ascii="Arial" w:eastAsia="Times New Roman" w:hAnsi="Arial" w:cs="Arial"/>
          <w:szCs w:val="24"/>
          <w:lang w:val="mn-MN" w:eastAsia="ko-KR" w:bidi="mn-Mong-MN"/>
          <w14:ligatures w14:val="none"/>
        </w:rPr>
        <w:t xml:space="preserve"> ш</w:t>
      </w:r>
      <w:r w:rsidR="00EE70C7" w:rsidRPr="004A68F2">
        <w:rPr>
          <w:rFonts w:ascii="Arial" w:eastAsia="Times New Roman" w:hAnsi="Arial" w:cs="Arial"/>
          <w:szCs w:val="24"/>
          <w:lang w:val="mn-MN" w:eastAsia="ko-KR" w:bidi="mn-Mong-MN"/>
          <w14:ligatures w14:val="none"/>
        </w:rPr>
        <w:t>инээр тэтгэвэр тогтоолгох даатгуулагчи</w:t>
      </w:r>
      <w:r w:rsidR="00C74C79" w:rsidRPr="004A68F2">
        <w:rPr>
          <w:rFonts w:ascii="Arial" w:eastAsia="Times New Roman" w:hAnsi="Arial" w:cs="Arial"/>
          <w:szCs w:val="24"/>
          <w:lang w:val="mn-MN" w:eastAsia="ko-KR" w:bidi="mn-Mong-MN"/>
          <w14:ligatures w14:val="none"/>
        </w:rPr>
        <w:t>йн</w:t>
      </w:r>
      <w:r w:rsidR="00EE70C7" w:rsidRPr="004A68F2">
        <w:rPr>
          <w:rFonts w:ascii="Arial" w:eastAsia="Times New Roman" w:hAnsi="Arial" w:cs="Arial"/>
          <w:szCs w:val="24"/>
          <w:lang w:val="mn-MN" w:eastAsia="ko-KR" w:bidi="mn-Mong-MN"/>
          <w14:ligatures w14:val="none"/>
        </w:rPr>
        <w:t xml:space="preserve"> тэтгэвэр тогтооход баримтлах цалин хөлсийг тодор</w:t>
      </w:r>
      <w:r w:rsidR="00C74C79" w:rsidRPr="004A68F2">
        <w:rPr>
          <w:rFonts w:ascii="Arial" w:eastAsia="Times New Roman" w:hAnsi="Arial" w:cs="Arial"/>
          <w:szCs w:val="24"/>
          <w:lang w:val="mn-MN" w:eastAsia="ko-KR" w:bidi="mn-Mong-MN"/>
          <w14:ligatures w14:val="none"/>
        </w:rPr>
        <w:t>хойлоход</w:t>
      </w:r>
      <w:r w:rsidR="00EE70C7" w:rsidRPr="004A68F2">
        <w:rPr>
          <w:rFonts w:ascii="Arial" w:eastAsia="Times New Roman" w:hAnsi="Arial" w:cs="Arial"/>
          <w:szCs w:val="24"/>
          <w:lang w:val="mn-MN" w:eastAsia="ko-KR" w:bidi="mn-Mong-MN"/>
          <w14:ligatures w14:val="none"/>
        </w:rPr>
        <w:t xml:space="preserve"> дараалан шимтгэл төлж, ажиллаагүй</w:t>
      </w:r>
      <w:r w:rsidR="00C74C79" w:rsidRPr="004A68F2">
        <w:rPr>
          <w:rFonts w:ascii="Arial" w:eastAsia="Times New Roman" w:hAnsi="Arial" w:cs="Arial"/>
          <w:szCs w:val="24"/>
          <w:lang w:val="mn-MN" w:eastAsia="ko-KR" w:bidi="mn-Mong-MN"/>
          <w14:ligatures w14:val="none"/>
        </w:rPr>
        <w:t>, эдийн засгийн нөлөөллөөс хамаарч тогтвортой ажиллах боломж харилцан адилгүй, гадаад улсад ажил хөдөлмөр эрхлэх, ажлаас гарах</w:t>
      </w:r>
      <w:r w:rsidR="00EE70C7" w:rsidRPr="004A68F2">
        <w:rPr>
          <w:rFonts w:ascii="Arial" w:eastAsia="Times New Roman" w:hAnsi="Arial" w:cs="Arial"/>
          <w:szCs w:val="24"/>
          <w:lang w:val="mn-MN" w:eastAsia="ko-KR" w:bidi="mn-Mong-MN"/>
          <w14:ligatures w14:val="none"/>
        </w:rPr>
        <w:t xml:space="preserve"> тохиолд</w:t>
      </w:r>
      <w:r w:rsidR="004A68F2">
        <w:rPr>
          <w:rFonts w:ascii="Arial" w:eastAsia="Times New Roman" w:hAnsi="Arial" w:cs="Arial"/>
          <w:szCs w:val="24"/>
          <w:lang w:val="mn-MN" w:eastAsia="ko-KR" w:bidi="mn-Mong-MN"/>
          <w14:ligatures w14:val="none"/>
        </w:rPr>
        <w:t>лууд</w:t>
      </w:r>
      <w:r w:rsidR="0049507E" w:rsidRPr="004A68F2">
        <w:rPr>
          <w:rFonts w:ascii="Arial" w:eastAsia="Times New Roman" w:hAnsi="Arial" w:cs="Arial"/>
          <w:szCs w:val="24"/>
          <w:lang w:val="mn-MN" w:eastAsia="ko-KR" w:bidi="mn-Mong-MN"/>
          <w14:ligatures w14:val="none"/>
        </w:rPr>
        <w:t xml:space="preserve"> нэмэгдэж</w:t>
      </w:r>
      <w:r w:rsidR="00C74C79" w:rsidRPr="004A68F2">
        <w:rPr>
          <w:rFonts w:ascii="Arial" w:eastAsia="Times New Roman" w:hAnsi="Arial" w:cs="Arial"/>
          <w:szCs w:val="24"/>
          <w:lang w:val="mn-MN" w:eastAsia="ko-KR" w:bidi="mn-Mong-MN"/>
          <w14:ligatures w14:val="none"/>
        </w:rPr>
        <w:t xml:space="preserve"> байна. </w:t>
      </w:r>
    </w:p>
    <w:p w14:paraId="7D871EE9" w14:textId="64124263" w:rsidR="004C0268" w:rsidRPr="004A68F2" w:rsidRDefault="004C0268" w:rsidP="002C5654">
      <w:pPr>
        <w:spacing w:after="0" w:line="276" w:lineRule="auto"/>
        <w:ind w:firstLine="720"/>
        <w:rPr>
          <w:rFonts w:ascii="Arial" w:hAnsi="Arial" w:cs="Arial"/>
          <w:szCs w:val="24"/>
          <w:lang w:val="mn-MN"/>
        </w:rPr>
      </w:pPr>
    </w:p>
    <w:p w14:paraId="79E6E154" w14:textId="2E040025" w:rsidR="008025D4" w:rsidRPr="004A68F2" w:rsidRDefault="008025D4" w:rsidP="002C5654">
      <w:pPr>
        <w:pStyle w:val="Heading2"/>
        <w:numPr>
          <w:ilvl w:val="1"/>
          <w:numId w:val="37"/>
        </w:numPr>
        <w:spacing w:before="0" w:line="276" w:lineRule="auto"/>
        <w:ind w:left="0" w:firstLine="0"/>
        <w:rPr>
          <w:rFonts w:ascii="Arial" w:hAnsi="Arial" w:cs="Arial"/>
          <w:b/>
          <w:bCs/>
          <w:szCs w:val="24"/>
          <w:lang w:val="mn-MN"/>
        </w:rPr>
      </w:pPr>
      <w:bookmarkStart w:id="15" w:name="_Toc196842523"/>
      <w:r w:rsidRPr="004A68F2">
        <w:rPr>
          <w:rFonts w:ascii="Arial" w:hAnsi="Arial" w:cs="Arial"/>
          <w:b/>
          <w:bCs/>
          <w:szCs w:val="24"/>
          <w:lang w:val="mn-MN"/>
        </w:rPr>
        <w:t>Практикт нийцэж буй байдал шалгуур үзүүлэлтийн хүрээнд хийсэн үнэлгээ</w:t>
      </w:r>
      <w:bookmarkEnd w:id="15"/>
      <w:r w:rsidRPr="004A68F2">
        <w:rPr>
          <w:rFonts w:ascii="Arial" w:hAnsi="Arial" w:cs="Arial"/>
          <w:b/>
          <w:bCs/>
          <w:szCs w:val="24"/>
          <w:lang w:val="mn-MN"/>
        </w:rPr>
        <w:t xml:space="preserve"> </w:t>
      </w:r>
    </w:p>
    <w:p w14:paraId="276ACD69" w14:textId="77777777" w:rsidR="00C76897" w:rsidRPr="004A68F2" w:rsidRDefault="00C76897" w:rsidP="002C5654">
      <w:pPr>
        <w:spacing w:after="0" w:line="276" w:lineRule="auto"/>
        <w:rPr>
          <w:rFonts w:ascii="Arial" w:hAnsi="Arial" w:cs="Arial"/>
          <w:szCs w:val="24"/>
          <w:lang w:val="mn-MN"/>
        </w:rPr>
      </w:pPr>
    </w:p>
    <w:p w14:paraId="0C1253D6" w14:textId="76D0FE8B" w:rsidR="00C74C79" w:rsidRPr="004A68F2" w:rsidRDefault="005E1A17" w:rsidP="002C5654">
      <w:pPr>
        <w:spacing w:after="0" w:line="276" w:lineRule="auto"/>
        <w:ind w:firstLine="720"/>
        <w:rPr>
          <w:rFonts w:ascii="Arial" w:hAnsi="Arial" w:cs="Arial"/>
          <w:szCs w:val="24"/>
          <w:lang w:val="mn-MN"/>
        </w:rPr>
      </w:pPr>
      <w:r w:rsidRPr="004A68F2">
        <w:rPr>
          <w:rFonts w:ascii="Arial" w:hAnsi="Arial" w:cs="Arial"/>
          <w:b/>
          <w:bCs/>
          <w:i/>
          <w:iCs/>
          <w:szCs w:val="24"/>
          <w:lang w:val="mn-MN"/>
        </w:rPr>
        <w:t>Шалгуур үзүүлэлтийн томьёолол 1</w:t>
      </w:r>
      <w:r w:rsidRPr="004A68F2">
        <w:rPr>
          <w:rFonts w:ascii="Arial" w:hAnsi="Arial" w:cs="Arial"/>
          <w:szCs w:val="24"/>
          <w:lang w:val="mn-MN"/>
        </w:rPr>
        <w:t>.</w:t>
      </w:r>
    </w:p>
    <w:p w14:paraId="4AC21E38" w14:textId="77777777" w:rsidR="00395125" w:rsidRPr="004A68F2" w:rsidRDefault="00395125" w:rsidP="002C5654">
      <w:pPr>
        <w:spacing w:after="0" w:line="276" w:lineRule="auto"/>
        <w:ind w:firstLine="720"/>
        <w:rPr>
          <w:rFonts w:ascii="Arial" w:hAnsi="Arial" w:cs="Arial"/>
          <w:szCs w:val="24"/>
          <w:highlight w:val="lightGray"/>
          <w:lang w:val="mn-MN"/>
        </w:rPr>
      </w:pPr>
    </w:p>
    <w:p w14:paraId="3626F13D" w14:textId="77777777" w:rsidR="00C74C79" w:rsidRPr="004A68F2" w:rsidRDefault="00C74C79" w:rsidP="002C5654">
      <w:pPr>
        <w:spacing w:after="0" w:line="276" w:lineRule="auto"/>
        <w:ind w:firstLine="720"/>
        <w:rPr>
          <w:rFonts w:ascii="Arial" w:hAnsi="Arial" w:cs="Arial"/>
          <w:szCs w:val="24"/>
          <w:lang w:val="mn-MN" w:bidi="mn-Mong-MN"/>
        </w:rPr>
      </w:pPr>
      <w:r w:rsidRPr="004A68F2">
        <w:rPr>
          <w:rFonts w:ascii="Arial" w:hAnsi="Arial" w:cs="Arial"/>
          <w:szCs w:val="24"/>
          <w:u w:val="single"/>
          <w:lang w:val="mn-MN"/>
        </w:rPr>
        <w:t>Нийгмийн даатгалын сангаас олгох тэтгэврийн тухай хуулийн 3 дугаар зүйл.</w:t>
      </w:r>
      <w:r w:rsidRPr="004A68F2">
        <w:rPr>
          <w:rFonts w:ascii="Arial" w:hAnsi="Arial" w:cs="Arial"/>
          <w:szCs w:val="24"/>
          <w:lang w:val="mn-MN"/>
        </w:rPr>
        <w:t xml:space="preserve"> “Тэтгэврийн даатгалын сангаас олгох тэтгэврийн төрөл” нь Монгол Улсын урт, дунд хугацааны бодлогын баримт бичигт тусгасан суурь тэтгэвэр олгох зорилго, зорилт туссан эсэх</w:t>
      </w:r>
      <w:r w:rsidRPr="004A68F2">
        <w:rPr>
          <w:rFonts w:ascii="Arial" w:hAnsi="Arial" w:cs="Arial"/>
          <w:szCs w:val="24"/>
          <w:lang w:val="mn-MN" w:bidi="mn-Mong-MN"/>
        </w:rPr>
        <w:t>;</w:t>
      </w:r>
    </w:p>
    <w:p w14:paraId="4DB147BB" w14:textId="3FA77094" w:rsidR="00C74C79" w:rsidRPr="004A68F2" w:rsidRDefault="00C74C79" w:rsidP="002C5654">
      <w:pPr>
        <w:spacing w:after="0" w:line="276" w:lineRule="auto"/>
        <w:rPr>
          <w:rFonts w:ascii="Arial" w:hAnsi="Arial" w:cs="Arial"/>
          <w:szCs w:val="24"/>
          <w:lang w:val="mn-MN"/>
        </w:rPr>
      </w:pPr>
    </w:p>
    <w:p w14:paraId="22355881" w14:textId="7F2C8487" w:rsidR="00C74C79" w:rsidRPr="004A68F2" w:rsidRDefault="00C74C79"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 xml:space="preserve">Олон улсын хөдөлмөрийн байгууллага, Дэлхийн банк, Азийн хөгжлийн банк, Европын холбоо зэрэг олон улсын байгууллагаас Монгол Улсын тэтгэврийн тогтолцоонд 2011 оноос хойш 10 гаруй удаагийн </w:t>
      </w:r>
      <w:proofErr w:type="spellStart"/>
      <w:r w:rsidRPr="004A68F2">
        <w:rPr>
          <w:rFonts w:ascii="Arial" w:hAnsi="Arial" w:cs="Arial"/>
          <w:szCs w:val="24"/>
          <w:lang w:val="mn-MN"/>
        </w:rPr>
        <w:t>актуар</w:t>
      </w:r>
      <w:proofErr w:type="spellEnd"/>
      <w:r w:rsidRPr="004A68F2">
        <w:rPr>
          <w:rFonts w:ascii="Arial" w:hAnsi="Arial" w:cs="Arial"/>
          <w:szCs w:val="24"/>
          <w:lang w:val="mn-MN"/>
        </w:rPr>
        <w:t xml:space="preserve"> тооцооллыг хийж, үүний үр дүнд тэтгэврийн олон давхаргат тогтолцоог нэвтрүүлэх, шимтгэлийн хувь хэмжээ, тэтгэвэр тогтоолгох насыг үе шаттай нэмэгдүүлэх зэрэг параметрийн ш</w:t>
      </w:r>
      <w:r w:rsidR="003560D6" w:rsidRPr="004A68F2">
        <w:rPr>
          <w:rFonts w:ascii="Arial" w:hAnsi="Arial" w:cs="Arial"/>
          <w:szCs w:val="24"/>
          <w:lang w:val="mn-MN"/>
        </w:rPr>
        <w:t>инэчлэлийг хийхийг зөвлөсөн байна.</w:t>
      </w:r>
    </w:p>
    <w:p w14:paraId="69E518EA" w14:textId="77777777" w:rsidR="00B25098" w:rsidRPr="004A68F2" w:rsidRDefault="00B25098" w:rsidP="002C5654">
      <w:pPr>
        <w:spacing w:after="0" w:line="276" w:lineRule="auto"/>
        <w:ind w:firstLine="720"/>
        <w:contextualSpacing/>
        <w:rPr>
          <w:rFonts w:ascii="Arial" w:hAnsi="Arial" w:cs="Arial"/>
          <w:szCs w:val="24"/>
          <w:lang w:val="mn-MN"/>
        </w:rPr>
      </w:pPr>
    </w:p>
    <w:p w14:paraId="0F3427F3" w14:textId="5000A8F5" w:rsidR="00C74C79" w:rsidRPr="004A68F2" w:rsidRDefault="003560D6" w:rsidP="002C5654">
      <w:pPr>
        <w:spacing w:after="0" w:line="276" w:lineRule="auto"/>
        <w:ind w:firstLine="720"/>
        <w:rPr>
          <w:rFonts w:ascii="Arial" w:hAnsi="Arial" w:cs="Arial"/>
          <w:szCs w:val="24"/>
          <w:lang w:val="mn-MN"/>
        </w:rPr>
      </w:pPr>
      <w:r w:rsidRPr="004A68F2">
        <w:rPr>
          <w:rFonts w:ascii="Arial" w:hAnsi="Arial" w:cs="Arial"/>
          <w:szCs w:val="24"/>
          <w:lang w:val="mn-MN"/>
        </w:rPr>
        <w:t>Тэтгэврийн даатгалын сангийн зарлага өмнөх онуудаас нэмэгдэж байна. Тэтгэврийн доод хэмжээгээр тэтгэвэр</w:t>
      </w:r>
      <w:r w:rsidR="00465021" w:rsidRPr="004A68F2">
        <w:rPr>
          <w:rFonts w:ascii="Arial" w:hAnsi="Arial" w:cs="Arial"/>
          <w:szCs w:val="24"/>
          <w:lang w:val="mn-MN"/>
        </w:rPr>
        <w:t xml:space="preserve"> авч байгаа хүний тоо </w:t>
      </w:r>
      <w:r w:rsidRPr="004A68F2">
        <w:rPr>
          <w:rFonts w:ascii="Arial" w:hAnsi="Arial" w:cs="Arial"/>
          <w:szCs w:val="24"/>
          <w:lang w:val="mn-MN"/>
        </w:rPr>
        <w:t>нийт тэтгэвэр авагчдын 56.1 хувийг эзэлж байгаа төдийгүй тэтгэврийн зөрүү арилахгүй байгаа нь нэмэлт өөр эх үүсвэр буюу “суурь тэтгэвэр”</w:t>
      </w:r>
      <w:r w:rsidR="00465021" w:rsidRPr="004A68F2">
        <w:rPr>
          <w:rFonts w:ascii="Arial" w:hAnsi="Arial" w:cs="Arial"/>
          <w:szCs w:val="24"/>
          <w:lang w:val="mn-MN"/>
        </w:rPr>
        <w:t>-ийн давхарга</w:t>
      </w:r>
      <w:r w:rsidRPr="004A68F2">
        <w:rPr>
          <w:rFonts w:ascii="Arial" w:hAnsi="Arial" w:cs="Arial"/>
          <w:szCs w:val="24"/>
          <w:lang w:val="mn-MN"/>
        </w:rPr>
        <w:t xml:space="preserve"> шаардлагатай байгааг харуулж байна.</w:t>
      </w:r>
    </w:p>
    <w:p w14:paraId="3A8EDF74" w14:textId="21A2BF26" w:rsidR="00C74C79" w:rsidRPr="004A68F2" w:rsidRDefault="00C74C79" w:rsidP="002C5654">
      <w:pPr>
        <w:spacing w:after="0" w:line="276" w:lineRule="auto"/>
        <w:ind w:firstLine="720"/>
        <w:rPr>
          <w:rFonts w:ascii="Arial" w:hAnsi="Arial" w:cs="Arial"/>
          <w:szCs w:val="24"/>
          <w:lang w:val="mn-MN"/>
        </w:rPr>
      </w:pPr>
    </w:p>
    <w:p w14:paraId="14E68048" w14:textId="20E49E41" w:rsidR="00A30E9B" w:rsidRPr="004A68F2" w:rsidRDefault="00A30E9B" w:rsidP="002C5654">
      <w:pPr>
        <w:spacing w:after="0" w:line="276" w:lineRule="auto"/>
        <w:ind w:firstLine="720"/>
        <w:rPr>
          <w:rFonts w:ascii="Arial" w:hAnsi="Arial" w:cs="Arial"/>
          <w:szCs w:val="24"/>
          <w:lang w:val="mn-MN"/>
        </w:rPr>
      </w:pPr>
      <w:r w:rsidRPr="004A68F2">
        <w:rPr>
          <w:rFonts w:ascii="Arial" w:hAnsi="Arial" w:cs="Arial"/>
          <w:b/>
          <w:bCs/>
          <w:i/>
          <w:iCs/>
          <w:szCs w:val="24"/>
          <w:lang w:val="mn-MN"/>
        </w:rPr>
        <w:t>Шалгуур үзүүлэлтийн томьёолол 2</w:t>
      </w:r>
      <w:r w:rsidRPr="004A68F2">
        <w:rPr>
          <w:rFonts w:ascii="Arial" w:hAnsi="Arial" w:cs="Arial"/>
          <w:szCs w:val="24"/>
          <w:lang w:val="mn-MN"/>
        </w:rPr>
        <w:t>.</w:t>
      </w:r>
    </w:p>
    <w:p w14:paraId="7D97E253" w14:textId="77777777" w:rsidR="00395125" w:rsidRPr="004A68F2" w:rsidRDefault="00395125" w:rsidP="002C5654">
      <w:pPr>
        <w:spacing w:after="0" w:line="276" w:lineRule="auto"/>
        <w:ind w:firstLine="720"/>
        <w:rPr>
          <w:rFonts w:ascii="Arial" w:hAnsi="Arial" w:cs="Arial"/>
          <w:szCs w:val="24"/>
          <w:lang w:val="mn-MN"/>
        </w:rPr>
      </w:pPr>
    </w:p>
    <w:p w14:paraId="5D432289" w14:textId="02582124" w:rsidR="00A30E9B" w:rsidRPr="004A68F2" w:rsidRDefault="00A30E9B" w:rsidP="002C5654">
      <w:pPr>
        <w:spacing w:after="0" w:line="276" w:lineRule="auto"/>
        <w:ind w:firstLine="567"/>
        <w:rPr>
          <w:rFonts w:ascii="Arial" w:hAnsi="Arial" w:cs="Arial"/>
          <w:szCs w:val="24"/>
          <w:lang w:val="mn-MN"/>
        </w:rPr>
      </w:pPr>
      <w:r w:rsidRPr="004A68F2">
        <w:rPr>
          <w:rFonts w:ascii="Arial" w:hAnsi="Arial" w:cs="Arial"/>
          <w:szCs w:val="24"/>
          <w:u w:val="single"/>
          <w:lang w:val="mn-MN"/>
        </w:rPr>
        <w:t>Нийгмийн даатгалын сангаас олгох тэтгэврийн тухай хуулийн 5 дугаар зүйл.</w:t>
      </w:r>
    </w:p>
    <w:p w14:paraId="7572E48B" w14:textId="75635DC3" w:rsidR="00A30E9B" w:rsidRPr="004A68F2" w:rsidRDefault="00A30E9B" w:rsidP="002C5654">
      <w:pPr>
        <w:pStyle w:val="ListParagraph"/>
        <w:spacing w:after="0" w:line="276" w:lineRule="auto"/>
        <w:ind w:left="0" w:firstLine="567"/>
        <w:rPr>
          <w:rFonts w:ascii="Arial" w:hAnsi="Arial" w:cs="Arial"/>
          <w:szCs w:val="24"/>
          <w:lang w:val="mn-MN" w:bidi="mn-Mong-MN"/>
        </w:rPr>
      </w:pPr>
      <w:r w:rsidRPr="004A68F2">
        <w:rPr>
          <w:rFonts w:ascii="Arial" w:hAnsi="Arial" w:cs="Arial"/>
          <w:szCs w:val="24"/>
          <w:lang w:val="mn-MN"/>
        </w:rPr>
        <w:t>“Өндөр насны тэтгэвэр авах эрх”- Даатгуулагчийн өндөр насны тэтгэвэр тогтоолгох нас шударгаар тодорхойлсон эсэх</w:t>
      </w:r>
      <w:r w:rsidRPr="004A68F2">
        <w:rPr>
          <w:rFonts w:ascii="Arial" w:hAnsi="Arial" w:cs="Arial"/>
          <w:szCs w:val="24"/>
          <w:lang w:val="mn-MN" w:bidi="mn-Mong-MN"/>
        </w:rPr>
        <w:t>;</w:t>
      </w:r>
    </w:p>
    <w:p w14:paraId="53B68F5F" w14:textId="77777777" w:rsidR="00A30E9B" w:rsidRPr="004A68F2" w:rsidRDefault="00A30E9B" w:rsidP="002C5654">
      <w:pPr>
        <w:spacing w:after="0" w:line="276" w:lineRule="auto"/>
        <w:ind w:firstLine="720"/>
        <w:rPr>
          <w:rFonts w:ascii="Arial" w:hAnsi="Arial" w:cs="Arial"/>
          <w:szCs w:val="24"/>
          <w:lang w:val="mn-MN"/>
        </w:rPr>
      </w:pPr>
    </w:p>
    <w:p w14:paraId="666ABF27" w14:textId="4D6525D8" w:rsidR="000A0C74" w:rsidRPr="004A68F2" w:rsidRDefault="000A0C74" w:rsidP="000A0C74">
      <w:pPr>
        <w:spacing w:after="0" w:line="276" w:lineRule="auto"/>
        <w:ind w:firstLine="720"/>
        <w:contextualSpacing/>
        <w:rPr>
          <w:rFonts w:ascii="Arial" w:hAnsi="Arial" w:cs="Arial"/>
          <w:szCs w:val="24"/>
          <w:lang w:val="mn-MN"/>
        </w:rPr>
      </w:pPr>
      <w:r w:rsidRPr="004A68F2">
        <w:rPr>
          <w:rFonts w:ascii="Arial" w:hAnsi="Arial" w:cs="Arial"/>
          <w:szCs w:val="24"/>
          <w:lang w:val="mn-MN"/>
        </w:rPr>
        <w:t>Нийгмийн даатгалын сангаас олгох тэтгэврийн тухай хуульд заасны дагуу өндөр насны тэтгэврийг хөнгөлөлттэй болон хөдөлмөрийн хэвийн бус нөхцөлөөр тогтоолгож байгаа нь хэвийн нөхцөлөөр тэтгэвэр тогтоолгох даатгуулагчаас насны хувьд 5-10 жилийн өмнө буюу эрт тогтоолгож байна.</w:t>
      </w:r>
    </w:p>
    <w:p w14:paraId="0F4A6784" w14:textId="77777777" w:rsidR="000A0C74" w:rsidRPr="004A68F2" w:rsidRDefault="000A0C74" w:rsidP="000A0C74">
      <w:pPr>
        <w:spacing w:after="0" w:line="276" w:lineRule="auto"/>
        <w:ind w:firstLine="720"/>
        <w:contextualSpacing/>
        <w:rPr>
          <w:rFonts w:ascii="Arial" w:hAnsi="Arial" w:cs="Arial"/>
          <w:szCs w:val="24"/>
          <w:lang w:val="mn-MN"/>
        </w:rPr>
      </w:pPr>
    </w:p>
    <w:p w14:paraId="5525E1DD" w14:textId="618995DF" w:rsidR="00395125" w:rsidRPr="004A68F2" w:rsidRDefault="00A30E9B"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 xml:space="preserve">Хөдөлмөрийн хэвийн бус нөхцөлийн үнэлгээг бодитой хийлгэх, зарим </w:t>
      </w:r>
      <w:r w:rsidR="00AC1508" w:rsidRPr="004A68F2">
        <w:rPr>
          <w:rFonts w:ascii="Arial" w:hAnsi="Arial" w:cs="Arial"/>
          <w:szCs w:val="24"/>
          <w:lang w:val="mn-MN"/>
        </w:rPr>
        <w:t xml:space="preserve">зохицуулалтыг </w:t>
      </w:r>
      <w:r w:rsidRPr="004A68F2">
        <w:rPr>
          <w:rFonts w:ascii="Arial" w:hAnsi="Arial" w:cs="Arial"/>
          <w:szCs w:val="24"/>
          <w:lang w:val="mn-MN"/>
        </w:rPr>
        <w:t xml:space="preserve">өөрчлөх, </w:t>
      </w:r>
      <w:r w:rsidR="00AC1508" w:rsidRPr="004A68F2">
        <w:rPr>
          <w:rFonts w:ascii="Arial" w:hAnsi="Arial" w:cs="Arial"/>
          <w:szCs w:val="24"/>
          <w:lang w:val="mn-MN"/>
        </w:rPr>
        <w:t xml:space="preserve">тухайлбал, эрт тогтоож байгаа тэтгэврийн </w:t>
      </w:r>
      <w:r w:rsidRPr="004A68F2">
        <w:rPr>
          <w:rFonts w:ascii="Arial" w:hAnsi="Arial" w:cs="Arial"/>
          <w:szCs w:val="24"/>
          <w:lang w:val="mn-MN"/>
        </w:rPr>
        <w:t xml:space="preserve">насыг </w:t>
      </w:r>
      <w:r w:rsidR="00AC1508" w:rsidRPr="004A68F2">
        <w:rPr>
          <w:rFonts w:ascii="Arial" w:hAnsi="Arial" w:cs="Arial"/>
          <w:szCs w:val="24"/>
          <w:lang w:val="mn-MN"/>
        </w:rPr>
        <w:t xml:space="preserve">нэмэгдүүлэх </w:t>
      </w:r>
      <w:r w:rsidRPr="004A68F2">
        <w:rPr>
          <w:rFonts w:ascii="Arial" w:hAnsi="Arial" w:cs="Arial"/>
          <w:szCs w:val="24"/>
          <w:lang w:val="mn-MN"/>
        </w:rPr>
        <w:t xml:space="preserve">шаардлагатай байна. </w:t>
      </w:r>
    </w:p>
    <w:p w14:paraId="106F6B44" w14:textId="77777777" w:rsidR="00395125" w:rsidRPr="004A68F2" w:rsidRDefault="00395125" w:rsidP="002C5654">
      <w:pPr>
        <w:spacing w:after="0" w:line="276" w:lineRule="auto"/>
        <w:ind w:firstLine="720"/>
        <w:contextualSpacing/>
        <w:rPr>
          <w:rFonts w:ascii="Arial" w:hAnsi="Arial" w:cs="Arial"/>
          <w:szCs w:val="24"/>
          <w:highlight w:val="yellow"/>
          <w:lang w:val="mn-MN"/>
        </w:rPr>
      </w:pPr>
    </w:p>
    <w:p w14:paraId="16DD4F29" w14:textId="2710B4A1" w:rsidR="00597F3B" w:rsidRPr="004A68F2" w:rsidRDefault="00597F3B" w:rsidP="00597F3B">
      <w:pPr>
        <w:spacing w:after="0" w:line="276" w:lineRule="auto"/>
        <w:ind w:firstLine="720"/>
        <w:contextualSpacing/>
        <w:rPr>
          <w:rFonts w:ascii="Arial" w:hAnsi="Arial" w:cs="Arial"/>
          <w:szCs w:val="24"/>
          <w:lang w:val="mn-MN"/>
        </w:rPr>
      </w:pPr>
      <w:r w:rsidRPr="004A68F2">
        <w:rPr>
          <w:rFonts w:ascii="Arial" w:hAnsi="Arial" w:cs="Arial"/>
          <w:szCs w:val="24"/>
          <w:lang w:val="mn-MN"/>
        </w:rPr>
        <w:t>Хөдөлмөрийн хэвийн бус нөхцөлөөр тэтгэвэр тогтоолгох даатгуулагчдын тоо нэмэгдэж нийт тэтгэвэр авагчийн 43 хув</w:t>
      </w:r>
      <w:r w:rsidR="004A68F2">
        <w:rPr>
          <w:rFonts w:ascii="Arial" w:hAnsi="Arial" w:cs="Arial"/>
          <w:szCs w:val="24"/>
          <w:lang w:val="mn-MN"/>
        </w:rPr>
        <w:t>ийг эзэлж байна.</w:t>
      </w:r>
    </w:p>
    <w:p w14:paraId="151EEA6D" w14:textId="2B5493F3" w:rsidR="00395125" w:rsidRPr="004A68F2" w:rsidRDefault="00395125" w:rsidP="002C5654">
      <w:pPr>
        <w:spacing w:after="0" w:line="276" w:lineRule="auto"/>
        <w:ind w:firstLine="720"/>
        <w:rPr>
          <w:rFonts w:ascii="Arial" w:hAnsi="Arial" w:cs="Arial"/>
          <w:b/>
          <w:bCs/>
          <w:i/>
          <w:iCs/>
          <w:szCs w:val="24"/>
          <w:lang w:val="mn-MN"/>
        </w:rPr>
      </w:pPr>
    </w:p>
    <w:p w14:paraId="5056081B" w14:textId="1D5880F0" w:rsidR="00C74C79" w:rsidRPr="004A68F2" w:rsidRDefault="00A30E9B" w:rsidP="002C5654">
      <w:pPr>
        <w:spacing w:after="0" w:line="276" w:lineRule="auto"/>
        <w:ind w:firstLine="720"/>
        <w:rPr>
          <w:rFonts w:ascii="Arial" w:hAnsi="Arial" w:cs="Arial"/>
          <w:szCs w:val="24"/>
          <w:lang w:val="mn-MN"/>
        </w:rPr>
      </w:pPr>
      <w:r w:rsidRPr="004A68F2">
        <w:rPr>
          <w:rFonts w:ascii="Arial" w:hAnsi="Arial" w:cs="Arial"/>
          <w:b/>
          <w:bCs/>
          <w:i/>
          <w:iCs/>
          <w:szCs w:val="24"/>
          <w:lang w:val="mn-MN"/>
        </w:rPr>
        <w:t>Шалгуур үзүүлэлтийн томьёолол 3</w:t>
      </w:r>
      <w:r w:rsidRPr="004A68F2">
        <w:rPr>
          <w:rFonts w:ascii="Arial" w:hAnsi="Arial" w:cs="Arial"/>
          <w:szCs w:val="24"/>
          <w:lang w:val="mn-MN"/>
        </w:rPr>
        <w:t>.</w:t>
      </w:r>
    </w:p>
    <w:p w14:paraId="67572FAE" w14:textId="77777777" w:rsidR="00395125" w:rsidRPr="004A68F2" w:rsidRDefault="00395125" w:rsidP="002C5654">
      <w:pPr>
        <w:spacing w:after="0" w:line="276" w:lineRule="auto"/>
        <w:ind w:firstLine="720"/>
        <w:rPr>
          <w:rFonts w:ascii="Arial" w:hAnsi="Arial" w:cs="Arial"/>
          <w:szCs w:val="24"/>
          <w:lang w:val="mn-MN"/>
        </w:rPr>
      </w:pPr>
    </w:p>
    <w:p w14:paraId="0601D532" w14:textId="46EE478D" w:rsidR="000460B4" w:rsidRPr="004A68F2" w:rsidRDefault="00D12B6F" w:rsidP="002C5654">
      <w:pPr>
        <w:spacing w:after="0" w:line="276" w:lineRule="auto"/>
        <w:ind w:left="720"/>
        <w:rPr>
          <w:rFonts w:ascii="Arial" w:hAnsi="Arial" w:cs="Arial"/>
          <w:szCs w:val="24"/>
          <w:lang w:val="mn-MN" w:bidi="mn-Mong-MN"/>
        </w:rPr>
      </w:pPr>
      <w:r w:rsidRPr="004A68F2">
        <w:rPr>
          <w:rFonts w:ascii="Arial" w:hAnsi="Arial" w:cs="Arial"/>
          <w:szCs w:val="24"/>
          <w:u w:val="single"/>
          <w:lang w:val="mn-MN"/>
        </w:rPr>
        <w:t>Нийгмийн даатгалын сангаас олгох тэтгэврийн тухай хуулийн 6</w:t>
      </w:r>
      <w:r w:rsidR="000460B4" w:rsidRPr="004A68F2">
        <w:rPr>
          <w:rFonts w:ascii="Arial" w:hAnsi="Arial" w:cs="Arial"/>
          <w:szCs w:val="24"/>
          <w:u w:val="single"/>
          <w:lang w:val="mn-MN"/>
        </w:rPr>
        <w:t xml:space="preserve"> </w:t>
      </w:r>
      <w:r w:rsidRPr="004A68F2">
        <w:rPr>
          <w:rFonts w:ascii="Arial" w:hAnsi="Arial" w:cs="Arial"/>
          <w:szCs w:val="24"/>
          <w:u w:val="single"/>
          <w:lang w:val="mn-MN"/>
        </w:rPr>
        <w:t>дугаа</w:t>
      </w:r>
      <w:r w:rsidR="005E1A17" w:rsidRPr="004A68F2">
        <w:rPr>
          <w:rFonts w:ascii="Arial" w:hAnsi="Arial" w:cs="Arial"/>
          <w:szCs w:val="24"/>
          <w:u w:val="single"/>
          <w:lang w:val="mn-MN"/>
        </w:rPr>
        <w:t>р зүйл</w:t>
      </w:r>
      <w:r w:rsidR="004A68F2" w:rsidRPr="004A68F2">
        <w:rPr>
          <w:rFonts w:ascii="Arial" w:hAnsi="Arial" w:cs="Arial"/>
          <w:szCs w:val="24"/>
          <w:u w:val="single"/>
          <w:lang w:val="mn-MN"/>
        </w:rPr>
        <w:t>.</w:t>
      </w:r>
      <w:r w:rsidR="0049507E" w:rsidRPr="004A68F2">
        <w:rPr>
          <w:rFonts w:ascii="Arial" w:hAnsi="Arial" w:cs="Arial"/>
          <w:szCs w:val="24"/>
          <w:lang w:val="mn-MN"/>
        </w:rPr>
        <w:t xml:space="preserve"> </w:t>
      </w:r>
    </w:p>
    <w:p w14:paraId="2CC6B749" w14:textId="3AC9FBA8" w:rsidR="00D02A0F" w:rsidRPr="004A68F2" w:rsidRDefault="00D02A0F" w:rsidP="002C5654">
      <w:pPr>
        <w:pStyle w:val="ListParagraph"/>
        <w:spacing w:after="0" w:line="276" w:lineRule="auto"/>
        <w:ind w:left="0" w:firstLine="567"/>
        <w:rPr>
          <w:rFonts w:ascii="Arial" w:hAnsi="Arial" w:cs="Arial"/>
          <w:szCs w:val="24"/>
          <w:lang w:val="mn-MN" w:bidi="mn-Mong-MN"/>
        </w:rPr>
      </w:pPr>
      <w:r w:rsidRPr="004A68F2">
        <w:rPr>
          <w:rFonts w:ascii="Arial" w:hAnsi="Arial" w:cs="Arial"/>
          <w:szCs w:val="24"/>
          <w:lang w:val="mn-MN"/>
        </w:rPr>
        <w:t>Хагас хуримтлалын тогтолцоонд үе шаттай шилжих зорилгоор даатгуулагчийн тэтгэврийн даатгалын шимтгэлийн 2 хувийг тэтгэврийн нөөц санд хуримтлуулж байгаатай холбогдуулан тэтгэвэр бодох аргыг оновчтой тодорхойлсон эсэх</w:t>
      </w:r>
      <w:r w:rsidRPr="004A68F2">
        <w:rPr>
          <w:rFonts w:ascii="Arial" w:hAnsi="Arial" w:cs="Arial"/>
          <w:szCs w:val="24"/>
          <w:lang w:val="mn-MN" w:bidi="mn-Mong-MN"/>
        </w:rPr>
        <w:t>;</w:t>
      </w:r>
    </w:p>
    <w:p w14:paraId="5E6D26CE" w14:textId="323B56C9" w:rsidR="00395125" w:rsidRPr="004A68F2" w:rsidRDefault="00395125" w:rsidP="002C5654">
      <w:pPr>
        <w:spacing w:after="0" w:line="276" w:lineRule="auto"/>
        <w:rPr>
          <w:rFonts w:ascii="Arial" w:hAnsi="Arial" w:cs="Arial"/>
          <w:szCs w:val="24"/>
          <w:lang w:val="mn-MN" w:bidi="mn-Mong-MN"/>
        </w:rPr>
      </w:pPr>
    </w:p>
    <w:p w14:paraId="67E7D13F" w14:textId="1A89ECDF" w:rsidR="0036029B" w:rsidRPr="004A68F2" w:rsidRDefault="0036029B" w:rsidP="002C5654">
      <w:pPr>
        <w:spacing w:after="0" w:line="276" w:lineRule="auto"/>
        <w:ind w:firstLine="720"/>
        <w:rPr>
          <w:rFonts w:ascii="Arial" w:hAnsi="Arial" w:cs="Arial"/>
          <w:szCs w:val="24"/>
          <w:lang w:val="mn-MN"/>
        </w:rPr>
      </w:pPr>
      <w:r w:rsidRPr="004A68F2">
        <w:rPr>
          <w:rFonts w:ascii="Arial" w:hAnsi="Arial" w:cs="Arial"/>
          <w:szCs w:val="24"/>
          <w:lang w:val="mn-MN"/>
        </w:rPr>
        <w:t>Тэтгэврийн даатгалын шимтгэлийн нэрийн дансны тухай хууль 1999 оны 06 дугаар сарын 10-ны өдөр батлагдаж 2000 оны 01 дүгээр сарын 01-ний өдрөөс мөрдөж эхэлсэн.</w:t>
      </w:r>
    </w:p>
    <w:p w14:paraId="3850D64B" w14:textId="77777777" w:rsidR="00395125" w:rsidRPr="004A68F2" w:rsidRDefault="00395125" w:rsidP="002C5654">
      <w:pPr>
        <w:spacing w:after="0" w:line="276" w:lineRule="auto"/>
        <w:ind w:firstLine="720"/>
        <w:rPr>
          <w:rFonts w:ascii="Arial" w:hAnsi="Arial" w:cs="Arial"/>
          <w:szCs w:val="24"/>
          <w:lang w:val="mn-MN"/>
        </w:rPr>
      </w:pPr>
    </w:p>
    <w:p w14:paraId="3D343723" w14:textId="58769638" w:rsidR="00D02A0F" w:rsidRPr="004A68F2" w:rsidRDefault="0036029B" w:rsidP="002C5654">
      <w:pPr>
        <w:spacing w:after="0" w:line="276" w:lineRule="auto"/>
        <w:ind w:firstLine="720"/>
        <w:rPr>
          <w:rFonts w:ascii="Arial" w:hAnsi="Arial" w:cs="Arial"/>
          <w:szCs w:val="24"/>
          <w:lang w:val="mn-MN"/>
        </w:rPr>
      </w:pPr>
      <w:r w:rsidRPr="004A68F2">
        <w:rPr>
          <w:rFonts w:ascii="Arial" w:hAnsi="Arial" w:cs="Arial"/>
          <w:szCs w:val="24"/>
          <w:lang w:val="mn-MN"/>
        </w:rPr>
        <w:t>Улсын Их Хурлын чуулганы 2023 оны 07 дугаар сарын 07-ны өдрийн нэгдсэн хуралдаанаар Нийгмийн даатгалын багц хуулийн шинэчилсэн найруулгыг батлан 2024 оны 01 дүгээр сарын 01-ний өдрөөс эхлэн мөрдөж эхэлсэнтэй холбогдуулан Тэтгэврийн даатгалын шимтгэлийн нэрийн дансны тухай хууль хүчингүй болж нэрийн данс нь өндөр насны тэтгэвэр бодох арга болж өөрчлөгдсөн.</w:t>
      </w:r>
    </w:p>
    <w:p w14:paraId="586DDA01" w14:textId="77777777" w:rsidR="00D02A0F" w:rsidRPr="004A68F2" w:rsidRDefault="00D02A0F" w:rsidP="002C5654">
      <w:pPr>
        <w:spacing w:after="0" w:line="276" w:lineRule="auto"/>
        <w:ind w:firstLine="720"/>
        <w:rPr>
          <w:rFonts w:ascii="Arial" w:hAnsi="Arial" w:cs="Arial"/>
          <w:szCs w:val="24"/>
          <w:lang w:val="mn-MN"/>
        </w:rPr>
      </w:pPr>
    </w:p>
    <w:p w14:paraId="1D9D94B0" w14:textId="5E88BA27" w:rsidR="0036029B" w:rsidRPr="004A68F2" w:rsidRDefault="00D02A0F" w:rsidP="002C5654">
      <w:pPr>
        <w:spacing w:line="276" w:lineRule="auto"/>
        <w:ind w:firstLine="720"/>
        <w:rPr>
          <w:rFonts w:ascii="Arial" w:eastAsia="Times New Roman" w:hAnsi="Arial" w:cs="Arial"/>
          <w:szCs w:val="24"/>
          <w:lang w:val="mn-MN"/>
        </w:rPr>
      </w:pPr>
      <w:r w:rsidRPr="004A68F2">
        <w:rPr>
          <w:rFonts w:ascii="Arial" w:eastAsia="Times New Roman" w:hAnsi="Arial" w:cs="Arial"/>
          <w:szCs w:val="24"/>
          <w:lang w:val="mn-MN"/>
        </w:rPr>
        <w:t>Н</w:t>
      </w:r>
      <w:r w:rsidR="0036029B" w:rsidRPr="004A68F2">
        <w:rPr>
          <w:rFonts w:ascii="Arial" w:eastAsia="Times New Roman" w:hAnsi="Arial" w:cs="Arial"/>
          <w:szCs w:val="24"/>
          <w:lang w:val="mn-MN"/>
        </w:rPr>
        <w:t xml:space="preserve">эрийн дансны аргаар </w:t>
      </w:r>
      <w:r w:rsidRPr="004A68F2">
        <w:rPr>
          <w:rFonts w:ascii="Arial" w:eastAsia="Times New Roman" w:hAnsi="Arial" w:cs="Arial"/>
          <w:szCs w:val="24"/>
          <w:lang w:val="mn-MN"/>
        </w:rPr>
        <w:t xml:space="preserve">2025 оны жилийн эцэст нийт 7 иргэн өндөр насны тэтгэвэр </w:t>
      </w:r>
      <w:r w:rsidR="0036029B" w:rsidRPr="004A68F2">
        <w:rPr>
          <w:rFonts w:ascii="Arial" w:eastAsia="Times New Roman" w:hAnsi="Arial" w:cs="Arial"/>
          <w:szCs w:val="24"/>
          <w:lang w:val="mn-MN"/>
        </w:rPr>
        <w:t xml:space="preserve">тогтоолгосон байна. </w:t>
      </w:r>
    </w:p>
    <w:p w14:paraId="6EA0845E" w14:textId="0D4FB63D" w:rsidR="00C74C79" w:rsidRPr="004A68F2" w:rsidRDefault="00AC1B70" w:rsidP="002C5654">
      <w:pPr>
        <w:spacing w:line="276" w:lineRule="auto"/>
        <w:ind w:firstLine="720"/>
        <w:rPr>
          <w:rFonts w:ascii="Arial" w:hAnsi="Arial" w:cs="Arial"/>
          <w:szCs w:val="24"/>
          <w:lang w:val="mn-MN"/>
        </w:rPr>
      </w:pPr>
      <w:r w:rsidRPr="004A68F2">
        <w:rPr>
          <w:rFonts w:ascii="Arial" w:hAnsi="Arial" w:cs="Arial"/>
          <w:szCs w:val="24"/>
          <w:lang w:val="mn-MN"/>
        </w:rPr>
        <w:t xml:space="preserve">Хууль тогтоомжийн хүрээнд нэрийн дансны аргаар тэтгэвэр тогтоолгосон хүний тоо цөөн, өндөр цалин хөлстэй даатгуулагчид таатай нөхцөлтэй тэтгэвэр байгаа нь практикт нийцэхгүй нөхцөл үүсгэж байна. </w:t>
      </w:r>
    </w:p>
    <w:p w14:paraId="2D3EAF6B" w14:textId="478F9B7C" w:rsidR="00513046" w:rsidRPr="004A68F2" w:rsidRDefault="00513046" w:rsidP="002C5654">
      <w:pPr>
        <w:spacing w:after="0" w:line="276" w:lineRule="auto"/>
        <w:ind w:firstLine="720"/>
        <w:rPr>
          <w:rFonts w:ascii="Arial" w:hAnsi="Arial" w:cs="Arial"/>
          <w:szCs w:val="24"/>
          <w:lang w:val="mn-MN"/>
        </w:rPr>
      </w:pPr>
      <w:r w:rsidRPr="004A68F2">
        <w:rPr>
          <w:rFonts w:ascii="Arial" w:hAnsi="Arial" w:cs="Arial"/>
          <w:b/>
          <w:bCs/>
          <w:i/>
          <w:iCs/>
          <w:szCs w:val="24"/>
          <w:lang w:val="mn-MN"/>
        </w:rPr>
        <w:t xml:space="preserve">Шалгуур үзүүлэлтийн томьёолол </w:t>
      </w:r>
      <w:r w:rsidR="0036029B" w:rsidRPr="004A68F2">
        <w:rPr>
          <w:rFonts w:ascii="Arial" w:hAnsi="Arial" w:cs="Arial"/>
          <w:b/>
          <w:bCs/>
          <w:i/>
          <w:iCs/>
          <w:szCs w:val="24"/>
          <w:lang w:val="mn-MN"/>
        </w:rPr>
        <w:t>4</w:t>
      </w:r>
      <w:r w:rsidRPr="004A68F2">
        <w:rPr>
          <w:rFonts w:ascii="Arial" w:hAnsi="Arial" w:cs="Arial"/>
          <w:szCs w:val="24"/>
          <w:lang w:val="mn-MN"/>
        </w:rPr>
        <w:t>.</w:t>
      </w:r>
    </w:p>
    <w:p w14:paraId="6B4CC4ED" w14:textId="77777777" w:rsidR="00395125" w:rsidRPr="004A68F2" w:rsidRDefault="00395125" w:rsidP="002C5654">
      <w:pPr>
        <w:spacing w:after="0" w:line="276" w:lineRule="auto"/>
        <w:ind w:firstLine="720"/>
        <w:rPr>
          <w:rFonts w:ascii="Arial" w:hAnsi="Arial" w:cs="Arial"/>
          <w:szCs w:val="24"/>
          <w:lang w:val="mn-MN"/>
        </w:rPr>
      </w:pPr>
    </w:p>
    <w:p w14:paraId="63B055C7" w14:textId="5D45C95A" w:rsidR="0036029B" w:rsidRPr="004A68F2" w:rsidRDefault="00513046" w:rsidP="002C5654">
      <w:pPr>
        <w:spacing w:after="0" w:line="276" w:lineRule="auto"/>
        <w:ind w:left="720"/>
        <w:rPr>
          <w:rFonts w:ascii="Arial" w:hAnsi="Arial" w:cs="Arial"/>
          <w:szCs w:val="24"/>
          <w:lang w:val="mn-MN" w:bidi="mn-Mong-MN"/>
        </w:rPr>
      </w:pPr>
      <w:r w:rsidRPr="004A68F2">
        <w:rPr>
          <w:rFonts w:ascii="Arial" w:hAnsi="Arial" w:cs="Arial"/>
          <w:szCs w:val="24"/>
          <w:u w:val="single"/>
          <w:lang w:val="mn-MN"/>
        </w:rPr>
        <w:t>Нийгмийн даатгалын сангаас олгох тэтгэврийн тухай хуулийн 9 дүгээр зүйл</w:t>
      </w:r>
      <w:r w:rsidR="004A68F2" w:rsidRPr="004A68F2">
        <w:rPr>
          <w:rFonts w:ascii="Arial" w:hAnsi="Arial" w:cs="Arial"/>
          <w:szCs w:val="24"/>
          <w:u w:val="single"/>
          <w:lang w:val="mn-MN"/>
        </w:rPr>
        <w:t>.</w:t>
      </w:r>
      <w:r w:rsidRPr="004A68F2">
        <w:rPr>
          <w:rFonts w:ascii="Arial" w:hAnsi="Arial" w:cs="Arial"/>
          <w:szCs w:val="24"/>
          <w:lang w:val="mn-MN"/>
        </w:rPr>
        <w:t xml:space="preserve"> “Өндөр насны </w:t>
      </w:r>
      <w:r w:rsidR="0036029B" w:rsidRPr="004A68F2">
        <w:rPr>
          <w:rFonts w:ascii="Arial" w:hAnsi="Arial" w:cs="Arial"/>
          <w:szCs w:val="24"/>
          <w:lang w:val="mn-MN"/>
        </w:rPr>
        <w:t>тэтгэврийн тусгай зохицуулалт нь</w:t>
      </w:r>
      <w:r w:rsidR="0036029B" w:rsidRPr="004A68F2">
        <w:rPr>
          <w:rFonts w:ascii="Arial" w:hAnsi="Arial" w:cs="Arial"/>
          <w:szCs w:val="24"/>
          <w:lang w:val="mn-MN" w:bidi="mn-Mong-MN"/>
        </w:rPr>
        <w:t xml:space="preserve"> зөв тодорхойлогдсон эсэх;  </w:t>
      </w:r>
    </w:p>
    <w:p w14:paraId="1CB0B7E3" w14:textId="24EDB795" w:rsidR="00513046" w:rsidRPr="004A68F2" w:rsidRDefault="00513046" w:rsidP="002C5654">
      <w:pPr>
        <w:spacing w:after="0" w:line="276" w:lineRule="auto"/>
        <w:ind w:firstLine="720"/>
        <w:rPr>
          <w:rFonts w:ascii="Arial" w:hAnsi="Arial" w:cs="Arial"/>
          <w:szCs w:val="24"/>
          <w:lang w:val="mn-MN"/>
        </w:rPr>
      </w:pPr>
    </w:p>
    <w:p w14:paraId="0575CB3F" w14:textId="6D7F3E7D" w:rsidR="0036029B" w:rsidRPr="004A68F2" w:rsidRDefault="0036029B" w:rsidP="002C5654">
      <w:pPr>
        <w:spacing w:after="0" w:line="276" w:lineRule="auto"/>
        <w:ind w:firstLine="720"/>
        <w:rPr>
          <w:rFonts w:ascii="Arial" w:hAnsi="Arial" w:cs="Arial"/>
          <w:szCs w:val="24"/>
          <w:lang w:val="mn-MN"/>
        </w:rPr>
      </w:pPr>
      <w:r w:rsidRPr="004A68F2">
        <w:rPr>
          <w:rFonts w:ascii="Arial" w:hAnsi="Arial" w:cs="Arial"/>
          <w:szCs w:val="24"/>
          <w:lang w:val="mn-MN" w:bidi="mn-Mong-MN"/>
        </w:rPr>
        <w:t xml:space="preserve">Улсын Их Хурлын </w:t>
      </w:r>
      <w:r w:rsidRPr="004A68F2">
        <w:rPr>
          <w:rFonts w:ascii="Arial" w:hAnsi="Arial" w:cs="Arial"/>
          <w:szCs w:val="24"/>
          <w:lang w:val="mn-MN"/>
        </w:rPr>
        <w:t xml:space="preserve">2023 оны 07 дугаар сарын 07-ны өдрийн нэгдсэн хуралдаанаар Нийгмийн даатгалын багц хуулийн шинэчилсэн найруулгыг батлан 2024 оны 01 дүгээр сарын 01-ний өдрөөс эхлэн шинээр мөрдөж эхэлсэн. </w:t>
      </w:r>
    </w:p>
    <w:p w14:paraId="458D3327" w14:textId="77777777" w:rsidR="00395125" w:rsidRPr="004A68F2" w:rsidRDefault="00395125" w:rsidP="002C5654">
      <w:pPr>
        <w:spacing w:after="0" w:line="276" w:lineRule="auto"/>
        <w:ind w:firstLine="720"/>
        <w:rPr>
          <w:rFonts w:ascii="Arial" w:hAnsi="Arial" w:cs="Arial"/>
          <w:szCs w:val="24"/>
          <w:lang w:val="mn-MN"/>
        </w:rPr>
      </w:pPr>
    </w:p>
    <w:p w14:paraId="52E13BD9" w14:textId="11405501" w:rsidR="00414826" w:rsidRPr="004A68F2" w:rsidRDefault="0036029B"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Ахмад настны эрхийг хангахад төрөөс баримтлах </w:t>
      </w:r>
      <w:r w:rsidR="004A68F2" w:rsidRPr="004A68F2">
        <w:rPr>
          <w:rFonts w:ascii="Arial" w:hAnsi="Arial" w:cs="Arial"/>
          <w:szCs w:val="24"/>
          <w:lang w:val="mn-MN"/>
        </w:rPr>
        <w:t>зарчмын</w:t>
      </w:r>
      <w:r w:rsidR="00414826" w:rsidRPr="004A68F2">
        <w:rPr>
          <w:rFonts w:ascii="Arial" w:hAnsi="Arial" w:cs="Arial"/>
          <w:szCs w:val="24"/>
          <w:lang w:val="mn-MN"/>
        </w:rPr>
        <w:t xml:space="preserve"> дагуу нас барсан тэтгэвэр авагчийн авч байсан тэтгэврийн 20 хувьтай тэнцэх хэмжээг түүний нөхөр эсхүл эхнэрийн өндөр насны тэтгэврийг нэмэгдүүлэн орлогын баталгаат байдлыг хангахаар зохицуулагдсан.</w:t>
      </w:r>
    </w:p>
    <w:p w14:paraId="61A11F80" w14:textId="77777777" w:rsidR="00395125" w:rsidRPr="004A68F2" w:rsidRDefault="00395125" w:rsidP="002C5654">
      <w:pPr>
        <w:spacing w:after="0" w:line="276" w:lineRule="auto"/>
        <w:ind w:firstLine="720"/>
        <w:rPr>
          <w:rFonts w:ascii="Arial" w:hAnsi="Arial" w:cs="Arial"/>
          <w:szCs w:val="24"/>
          <w:lang w:val="mn-MN"/>
        </w:rPr>
      </w:pPr>
    </w:p>
    <w:p w14:paraId="18800A66" w14:textId="12881194" w:rsidR="00414826" w:rsidRPr="004A68F2" w:rsidRDefault="00414826" w:rsidP="002C5654">
      <w:pPr>
        <w:spacing w:after="0" w:line="276" w:lineRule="auto"/>
        <w:ind w:firstLine="720"/>
        <w:rPr>
          <w:rFonts w:ascii="Arial" w:hAnsi="Arial" w:cs="Arial"/>
          <w:szCs w:val="24"/>
          <w:lang w:val="mn-MN"/>
        </w:rPr>
      </w:pPr>
      <w:r w:rsidRPr="004A68F2">
        <w:rPr>
          <w:rFonts w:ascii="Arial" w:hAnsi="Arial" w:cs="Arial"/>
          <w:szCs w:val="24"/>
          <w:lang w:val="mn-MN"/>
        </w:rPr>
        <w:t>Энэ хуулийн үйлчлэлд зөвхөн Нийгмийн даатгалын сангаас олгох тэтгэврийн тухай хуулийн дагуу өндөр насны тэтгэвэр тогтоолгосон тэтгэвэр авагч хамаар</w:t>
      </w:r>
      <w:r w:rsidR="00395125" w:rsidRPr="004A68F2">
        <w:rPr>
          <w:rFonts w:ascii="Arial" w:hAnsi="Arial" w:cs="Arial"/>
          <w:szCs w:val="24"/>
          <w:lang w:val="mn-MN"/>
        </w:rPr>
        <w:t xml:space="preserve">на. </w:t>
      </w:r>
    </w:p>
    <w:p w14:paraId="71CD0BC2" w14:textId="77777777" w:rsidR="0049507E" w:rsidRPr="004A68F2" w:rsidRDefault="0049507E" w:rsidP="002C5654">
      <w:pPr>
        <w:spacing w:after="0" w:line="276" w:lineRule="auto"/>
        <w:ind w:firstLine="720"/>
        <w:rPr>
          <w:rFonts w:ascii="Arial" w:hAnsi="Arial" w:cs="Arial"/>
          <w:b/>
          <w:bCs/>
          <w:i/>
          <w:iCs/>
          <w:color w:val="7030A0"/>
          <w:szCs w:val="24"/>
          <w:lang w:val="mn-MN"/>
        </w:rPr>
      </w:pPr>
    </w:p>
    <w:p w14:paraId="73A45757" w14:textId="112C779F" w:rsidR="00414826" w:rsidRDefault="00414826" w:rsidP="002C5654">
      <w:pPr>
        <w:spacing w:after="0" w:line="276" w:lineRule="auto"/>
        <w:ind w:firstLine="720"/>
        <w:rPr>
          <w:rFonts w:ascii="Arial" w:hAnsi="Arial" w:cs="Arial"/>
          <w:szCs w:val="24"/>
          <w:lang w:val="mn-MN"/>
        </w:rPr>
      </w:pPr>
      <w:r w:rsidRPr="004A68F2">
        <w:rPr>
          <w:rFonts w:ascii="Arial" w:hAnsi="Arial" w:cs="Arial"/>
          <w:b/>
          <w:bCs/>
          <w:i/>
          <w:iCs/>
          <w:szCs w:val="24"/>
          <w:lang w:val="mn-MN"/>
        </w:rPr>
        <w:t>Шалгуур үзүүлэлтийн томьёолол 5.</w:t>
      </w:r>
      <w:r w:rsidRPr="004A68F2">
        <w:rPr>
          <w:rFonts w:ascii="Arial" w:hAnsi="Arial" w:cs="Arial"/>
          <w:szCs w:val="24"/>
          <w:lang w:val="mn-MN"/>
        </w:rPr>
        <w:t xml:space="preserve"> </w:t>
      </w:r>
    </w:p>
    <w:p w14:paraId="71F5B845" w14:textId="77777777" w:rsidR="004A68F2" w:rsidRPr="004A68F2" w:rsidRDefault="004A68F2" w:rsidP="002C5654">
      <w:pPr>
        <w:spacing w:after="0" w:line="276" w:lineRule="auto"/>
        <w:ind w:firstLine="720"/>
        <w:rPr>
          <w:rFonts w:ascii="Arial" w:hAnsi="Arial" w:cs="Arial"/>
          <w:szCs w:val="24"/>
          <w:lang w:val="mn-MN"/>
        </w:rPr>
      </w:pPr>
    </w:p>
    <w:p w14:paraId="57EA4596" w14:textId="27D167F2" w:rsidR="00414826" w:rsidRPr="004A68F2" w:rsidRDefault="00414826" w:rsidP="002C5654">
      <w:pPr>
        <w:pStyle w:val="ListParagraph"/>
        <w:spacing w:after="0" w:line="276" w:lineRule="auto"/>
        <w:ind w:left="0" w:firstLine="720"/>
        <w:rPr>
          <w:rFonts w:ascii="Arial" w:hAnsi="Arial" w:cs="Arial"/>
          <w:szCs w:val="24"/>
          <w:lang w:val="mn-MN" w:bidi="mn-Mong-MN"/>
        </w:rPr>
      </w:pPr>
      <w:r w:rsidRPr="004A68F2">
        <w:rPr>
          <w:rFonts w:ascii="Arial" w:hAnsi="Arial" w:cs="Arial"/>
          <w:szCs w:val="24"/>
          <w:u w:val="single"/>
          <w:lang w:val="mn-MN"/>
        </w:rPr>
        <w:t>Нийгмийн даатгалын сангаас олгох тэтгэврийн тухай хуулийн 20 дугаар зүйл.</w:t>
      </w:r>
      <w:r w:rsidR="004A68F2">
        <w:rPr>
          <w:rFonts w:ascii="Arial" w:hAnsi="Arial" w:cs="Arial"/>
          <w:szCs w:val="24"/>
          <w:u w:val="single"/>
          <w:lang w:val="mn-MN"/>
        </w:rPr>
        <w:t xml:space="preserve"> </w:t>
      </w:r>
      <w:r w:rsidRPr="004A68F2">
        <w:rPr>
          <w:rFonts w:ascii="Arial" w:hAnsi="Arial" w:cs="Arial"/>
          <w:szCs w:val="24"/>
          <w:lang w:val="mn-MN"/>
        </w:rPr>
        <w:t xml:space="preserve">Тэтгэвэр тогтооход баримтлах дундаж цалин </w:t>
      </w:r>
      <w:r w:rsidRPr="004A68F2">
        <w:rPr>
          <w:rFonts w:ascii="Arial" w:hAnsi="Arial" w:cs="Arial"/>
          <w:szCs w:val="24"/>
          <w:lang w:val="mn-MN" w:bidi="mn-Mong-MN"/>
        </w:rPr>
        <w:t>(5 жил) хөлс нь Монгол Улсын урт, дунд хугацааны бодлого, хөтөлбөрт нийцсэн эсэх.</w:t>
      </w:r>
    </w:p>
    <w:p w14:paraId="50783F7C" w14:textId="77777777" w:rsidR="009D6A57" w:rsidRPr="004A68F2" w:rsidRDefault="009D6A57" w:rsidP="009D6A57">
      <w:pPr>
        <w:spacing w:after="0" w:line="276" w:lineRule="auto"/>
        <w:ind w:firstLine="720"/>
        <w:rPr>
          <w:rFonts w:ascii="Arial" w:hAnsi="Arial" w:cs="Arial"/>
          <w:szCs w:val="24"/>
          <w:lang w:val="mn-MN"/>
        </w:rPr>
      </w:pPr>
    </w:p>
    <w:p w14:paraId="065E43AC" w14:textId="25F20360" w:rsidR="009D6A57" w:rsidRPr="004A68F2" w:rsidRDefault="009D6A57" w:rsidP="009D6A57">
      <w:pPr>
        <w:spacing w:after="0" w:line="276" w:lineRule="auto"/>
        <w:ind w:firstLine="720"/>
        <w:rPr>
          <w:rFonts w:ascii="Arial" w:hAnsi="Arial" w:cs="Arial"/>
          <w:szCs w:val="24"/>
          <w:lang w:val="mn-MN"/>
        </w:rPr>
      </w:pPr>
      <w:r w:rsidRPr="004A68F2">
        <w:rPr>
          <w:rFonts w:ascii="Arial" w:hAnsi="Arial" w:cs="Arial"/>
          <w:szCs w:val="24"/>
          <w:lang w:val="mn-MN"/>
        </w:rPr>
        <w:t>Хүн амын дундаж наслалт 2021 онд 71.01 жил болж, 26 жилийн өмнөх дундаж наслалтын түвшинтэй харьцуулахад 7.23 жилээр өссөн. Тухайлбал, эрэгтэйчүүдийн дундаж наслалт 67.05 болж 4.95 жилээр, эмэгтэйчүүдийнх 76.47 болж 11.04 жилээр тус тус өссөн байна. Тэтгэврийн насны хүн ам 2020 онд хүн амын 9.85 хувийг эзэлж байсан бол 2030 онд 13.37, 2050 онд 19.42 хувь болохоор байна.</w:t>
      </w:r>
    </w:p>
    <w:p w14:paraId="033007C1" w14:textId="6BC7E554" w:rsidR="009D6A57" w:rsidRPr="004A68F2" w:rsidRDefault="009D6A57" w:rsidP="00305F08">
      <w:pPr>
        <w:spacing w:after="0" w:line="276" w:lineRule="auto"/>
        <w:rPr>
          <w:rFonts w:ascii="Arial" w:hAnsi="Arial" w:cs="Arial"/>
          <w:szCs w:val="24"/>
          <w:lang w:val="mn-MN"/>
        </w:rPr>
      </w:pPr>
    </w:p>
    <w:p w14:paraId="4053B94B" w14:textId="116C4F6F" w:rsidR="009D6A57" w:rsidRPr="004A68F2" w:rsidRDefault="009D6A57" w:rsidP="009D6A57">
      <w:pPr>
        <w:spacing w:after="0" w:line="276" w:lineRule="auto"/>
        <w:ind w:firstLine="720"/>
        <w:rPr>
          <w:rFonts w:ascii="Arial" w:hAnsi="Arial" w:cs="Arial"/>
          <w:szCs w:val="24"/>
          <w:lang w:val="mn-MN"/>
        </w:rPr>
      </w:pPr>
      <w:r w:rsidRPr="004A68F2">
        <w:rPr>
          <w:rFonts w:ascii="Arial" w:hAnsi="Arial" w:cs="Arial"/>
          <w:szCs w:val="24"/>
          <w:lang w:val="mn-MN"/>
        </w:rPr>
        <w:t>Тэтгэврийн даатгалын санд улсын төсвөөс  олгох санхүүгийн дэмжлэгийн хэмжээ нь 2021 онд дотоодын нийт бүтээгдэхүүний 1.4 хувь байгаа бол энэ үзүүлэлт нь 2030 онд 6.8 хувь, 2050 он гэхэд 11.3 хувь болж өсөх магадлал хэтийн тооцоо, судалгааны үр дүнгээс харагдаж байна. Улсын төсвөөс олгох санхүүгийн дэмжлэгийн хэмжээг 2030 он гэхэд дотоодын нийт бүтээгдэхүүний 2.0 хувиас хэтрүүлэхгүй байхаар “Төрөөс тэтгэврийн шинэчлэлийн талаар баримтлах бодлого”-д тусгасан. Уг зорилтыг хангахад тэтгэврийн параметрийн шинэчлэлийг үргэлжлүүлэн хийх зайлшгүй шаардлагатай байна.</w:t>
      </w:r>
    </w:p>
    <w:p w14:paraId="517C70CC" w14:textId="77777777" w:rsidR="00414826" w:rsidRPr="004A68F2" w:rsidRDefault="00414826" w:rsidP="002C5654">
      <w:pPr>
        <w:spacing w:after="0" w:line="276" w:lineRule="auto"/>
        <w:ind w:firstLine="720"/>
        <w:contextualSpacing/>
        <w:rPr>
          <w:rFonts w:ascii="Arial" w:hAnsi="Arial" w:cs="Arial"/>
          <w:szCs w:val="24"/>
          <w:lang w:val="mn-MN"/>
        </w:rPr>
      </w:pPr>
    </w:p>
    <w:p w14:paraId="74DE9AEF" w14:textId="36519C16" w:rsidR="009D6A57" w:rsidRPr="004A68F2" w:rsidRDefault="008668A5" w:rsidP="009D6A57">
      <w:pPr>
        <w:spacing w:after="0" w:line="276" w:lineRule="auto"/>
        <w:ind w:firstLine="720"/>
        <w:rPr>
          <w:rFonts w:ascii="Arial" w:hAnsi="Arial" w:cs="Arial"/>
          <w:szCs w:val="24"/>
          <w:lang w:val="mn-MN"/>
        </w:rPr>
      </w:pPr>
      <w:r w:rsidRPr="004A68F2">
        <w:rPr>
          <w:rFonts w:ascii="Arial" w:hAnsi="Arial" w:cs="Arial"/>
          <w:szCs w:val="24"/>
          <w:shd w:val="clear" w:color="auto" w:fill="FFFFFF"/>
          <w:lang w:val="mn-MN"/>
        </w:rPr>
        <w:t>Монго</w:t>
      </w:r>
      <w:r w:rsidR="00841F50" w:rsidRPr="004A68F2">
        <w:rPr>
          <w:rFonts w:ascii="Arial" w:hAnsi="Arial" w:cs="Arial"/>
          <w:szCs w:val="24"/>
          <w:shd w:val="clear" w:color="auto" w:fill="FFFFFF"/>
          <w:lang w:val="mn-MN"/>
        </w:rPr>
        <w:t>л Улсын хүн амын дундаж наслалт</w:t>
      </w:r>
      <w:r w:rsidRPr="004A68F2">
        <w:rPr>
          <w:rFonts w:ascii="Arial" w:hAnsi="Arial" w:cs="Arial"/>
          <w:szCs w:val="24"/>
          <w:shd w:val="clear" w:color="auto" w:fill="FFFFFF"/>
          <w:lang w:val="mn-MN"/>
        </w:rPr>
        <w:t xml:space="preserve">, өндөр насны тэтгэвэр авагчийн тоо нэмэгдэж байгаатай холбогдуулан </w:t>
      </w:r>
      <w:r w:rsidR="009D6A57" w:rsidRPr="004A68F2">
        <w:rPr>
          <w:rFonts w:ascii="Arial" w:hAnsi="Arial" w:cs="Arial"/>
          <w:szCs w:val="24"/>
          <w:lang w:val="mn-MN"/>
        </w:rPr>
        <w:t xml:space="preserve">сангийн ачаалал тэр хэмжээгээр </w:t>
      </w:r>
      <w:proofErr w:type="spellStart"/>
      <w:r w:rsidR="00841F50" w:rsidRPr="004A68F2">
        <w:rPr>
          <w:rFonts w:ascii="Arial" w:hAnsi="Arial" w:cs="Arial"/>
          <w:szCs w:val="24"/>
          <w:lang w:val="mn-MN"/>
        </w:rPr>
        <w:t>өсч</w:t>
      </w:r>
      <w:proofErr w:type="spellEnd"/>
      <w:r w:rsidR="009D6A57" w:rsidRPr="004A68F2">
        <w:rPr>
          <w:rFonts w:ascii="Arial" w:hAnsi="Arial" w:cs="Arial"/>
          <w:szCs w:val="24"/>
          <w:lang w:val="mn-MN"/>
        </w:rPr>
        <w:t xml:space="preserve"> байна. </w:t>
      </w:r>
    </w:p>
    <w:p w14:paraId="785CEDB3" w14:textId="77777777" w:rsidR="009D6A57" w:rsidRPr="004A68F2" w:rsidRDefault="009D6A57" w:rsidP="009D6A57">
      <w:pPr>
        <w:spacing w:after="0" w:line="276" w:lineRule="auto"/>
        <w:ind w:firstLine="720"/>
        <w:rPr>
          <w:rFonts w:ascii="Arial" w:hAnsi="Arial" w:cs="Arial"/>
          <w:szCs w:val="24"/>
          <w:lang w:val="mn-MN"/>
        </w:rPr>
      </w:pPr>
    </w:p>
    <w:p w14:paraId="208BEDBF" w14:textId="67145118" w:rsidR="00414826" w:rsidRPr="004A68F2" w:rsidRDefault="00672082" w:rsidP="002C5654">
      <w:pPr>
        <w:shd w:val="clear" w:color="auto" w:fill="FFFFFF"/>
        <w:spacing w:after="0" w:line="276" w:lineRule="auto"/>
        <w:ind w:firstLine="720"/>
        <w:rPr>
          <w:rFonts w:ascii="Arial" w:eastAsia="Times New Roman" w:hAnsi="Arial" w:cs="Arial"/>
          <w:szCs w:val="24"/>
          <w:lang w:val="mn-MN" w:eastAsia="ko-KR" w:bidi="mn-Mong-MN"/>
          <w14:ligatures w14:val="none"/>
        </w:rPr>
      </w:pPr>
      <w:r w:rsidRPr="004A68F2">
        <w:rPr>
          <w:rFonts w:ascii="Arial" w:hAnsi="Arial" w:cs="Arial"/>
          <w:szCs w:val="24"/>
          <w:shd w:val="clear" w:color="auto" w:fill="FFFFFF"/>
          <w:lang w:val="mn-MN"/>
        </w:rPr>
        <w:t>Даатгуулагчийн тэтгэвэр тогтоолгохоор сонгосон дараалсан сар бүрийн цалин хөлс, түүнтэй адилтгах орлогыг тодор</w:t>
      </w:r>
      <w:r w:rsidR="006211D7" w:rsidRPr="004A68F2">
        <w:rPr>
          <w:rFonts w:ascii="Arial" w:hAnsi="Arial" w:cs="Arial"/>
          <w:szCs w:val="24"/>
          <w:shd w:val="clear" w:color="auto" w:fill="FFFFFF"/>
          <w:lang w:val="mn-MN"/>
        </w:rPr>
        <w:t xml:space="preserve">хойлох хугацаа 5 жил байгаа нь </w:t>
      </w:r>
      <w:r w:rsidRPr="004A68F2">
        <w:rPr>
          <w:rFonts w:ascii="Arial" w:hAnsi="Arial" w:cs="Arial"/>
          <w:szCs w:val="24"/>
          <w:shd w:val="clear" w:color="auto" w:fill="FFFFFF"/>
          <w:lang w:val="mn-MN"/>
        </w:rPr>
        <w:t>тэтгэврийн зөрүү гарахад нөлөөлж</w:t>
      </w:r>
      <w:r w:rsidR="009D6A57" w:rsidRPr="004A68F2">
        <w:rPr>
          <w:rFonts w:ascii="Arial" w:hAnsi="Arial" w:cs="Arial"/>
          <w:szCs w:val="24"/>
          <w:shd w:val="clear" w:color="auto" w:fill="FFFFFF"/>
          <w:lang w:val="mn-MN"/>
        </w:rPr>
        <w:t>, ц</w:t>
      </w:r>
      <w:r w:rsidRPr="004A68F2">
        <w:rPr>
          <w:rFonts w:ascii="Arial" w:hAnsi="Arial" w:cs="Arial"/>
          <w:szCs w:val="24"/>
          <w:shd w:val="clear" w:color="auto" w:fill="FFFFFF"/>
          <w:lang w:val="mn-MN"/>
        </w:rPr>
        <w:t xml:space="preserve">аашид </w:t>
      </w:r>
      <w:r w:rsidR="00395125" w:rsidRPr="004A68F2">
        <w:rPr>
          <w:rFonts w:ascii="Arial" w:hAnsi="Arial" w:cs="Arial"/>
          <w:szCs w:val="24"/>
          <w:shd w:val="clear" w:color="auto" w:fill="FFFFFF"/>
          <w:lang w:val="mn-MN"/>
        </w:rPr>
        <w:t>тэтгэвэр тогтоолгоход баримтлах х</w:t>
      </w:r>
      <w:r w:rsidRPr="004A68F2">
        <w:rPr>
          <w:rFonts w:ascii="Arial" w:hAnsi="Arial" w:cs="Arial"/>
          <w:szCs w:val="24"/>
          <w:shd w:val="clear" w:color="auto" w:fill="FFFFFF"/>
          <w:lang w:val="mn-MN"/>
        </w:rPr>
        <w:t>угацаа</w:t>
      </w:r>
      <w:r w:rsidR="00395125" w:rsidRPr="004A68F2">
        <w:rPr>
          <w:rFonts w:ascii="Arial" w:hAnsi="Arial" w:cs="Arial"/>
          <w:szCs w:val="24"/>
          <w:shd w:val="clear" w:color="auto" w:fill="FFFFFF"/>
          <w:lang w:val="mn-MN"/>
        </w:rPr>
        <w:t xml:space="preserve"> </w:t>
      </w:r>
      <w:r w:rsidR="00395125" w:rsidRPr="004A68F2">
        <w:rPr>
          <w:rFonts w:ascii="Arial" w:hAnsi="Arial"/>
          <w:szCs w:val="30"/>
          <w:shd w:val="clear" w:color="auto" w:fill="FFFFFF"/>
          <w:lang w:val="mn-MN" w:bidi="mn-Mong-MN"/>
        </w:rPr>
        <w:t>(5 жил)-</w:t>
      </w:r>
      <w:r w:rsidRPr="004A68F2">
        <w:rPr>
          <w:rFonts w:ascii="Arial" w:hAnsi="Arial" w:cs="Arial"/>
          <w:szCs w:val="24"/>
          <w:shd w:val="clear" w:color="auto" w:fill="FFFFFF"/>
          <w:lang w:val="mn-MN"/>
        </w:rPr>
        <w:t xml:space="preserve">г үе шаттайгаар нэмэгдүүлэх шаардлага </w:t>
      </w:r>
      <w:r w:rsidR="006211D7" w:rsidRPr="004A68F2">
        <w:rPr>
          <w:rFonts w:ascii="Arial" w:hAnsi="Arial"/>
          <w:szCs w:val="30"/>
          <w:shd w:val="clear" w:color="auto" w:fill="FFFFFF"/>
          <w:lang w:val="mn-MN" w:bidi="mn-Mong-MN"/>
        </w:rPr>
        <w:t>үүсэж байна</w:t>
      </w:r>
      <w:r w:rsidRPr="004A68F2">
        <w:rPr>
          <w:rFonts w:ascii="Arial" w:hAnsi="Arial" w:cs="Arial"/>
          <w:szCs w:val="24"/>
          <w:shd w:val="clear" w:color="auto" w:fill="FFFFFF"/>
          <w:lang w:val="mn-MN"/>
        </w:rPr>
        <w:t>.</w:t>
      </w:r>
    </w:p>
    <w:p w14:paraId="1BC55243" w14:textId="77777777" w:rsidR="00414826" w:rsidRPr="004A68F2" w:rsidRDefault="00414826" w:rsidP="002C5654">
      <w:pPr>
        <w:shd w:val="clear" w:color="auto" w:fill="FFFFFF"/>
        <w:spacing w:after="0" w:line="276" w:lineRule="auto"/>
        <w:ind w:firstLine="720"/>
        <w:rPr>
          <w:rFonts w:ascii="Arial" w:hAnsi="Arial" w:cs="Arial"/>
          <w:szCs w:val="24"/>
          <w:lang w:val="mn-MN" w:bidi="mn-Mong-MN"/>
        </w:rPr>
      </w:pPr>
    </w:p>
    <w:p w14:paraId="7DBDD543" w14:textId="432293C6" w:rsidR="00AC56DE" w:rsidRPr="004A68F2" w:rsidRDefault="00437AA1" w:rsidP="002C5654">
      <w:pPr>
        <w:spacing w:after="0" w:line="276" w:lineRule="auto"/>
        <w:jc w:val="center"/>
        <w:rPr>
          <w:rFonts w:ascii="Arial" w:hAnsi="Arial" w:cs="Arial"/>
          <w:b/>
          <w:bCs/>
          <w:szCs w:val="24"/>
          <w:lang w:val="mn-MN"/>
        </w:rPr>
      </w:pPr>
      <w:r w:rsidRPr="004A68F2">
        <w:rPr>
          <w:rFonts w:ascii="Arial" w:hAnsi="Arial" w:cs="Arial"/>
          <w:b/>
          <w:bCs/>
          <w:szCs w:val="24"/>
          <w:lang w:val="mn-MN"/>
        </w:rPr>
        <w:t>Д</w:t>
      </w:r>
      <w:r w:rsidR="00F14247" w:rsidRPr="004A68F2">
        <w:rPr>
          <w:rFonts w:ascii="Arial" w:hAnsi="Arial" w:cs="Arial"/>
          <w:b/>
          <w:bCs/>
          <w:szCs w:val="24"/>
          <w:lang w:val="mn-MN"/>
        </w:rPr>
        <w:t xml:space="preserve">ӨРӨВ. ДҮГНЭЛТ, ЗӨВЛӨМЖ </w:t>
      </w:r>
    </w:p>
    <w:p w14:paraId="08587D60" w14:textId="77777777" w:rsidR="00437AA1" w:rsidRPr="004A68F2" w:rsidRDefault="00437AA1" w:rsidP="002C5654">
      <w:pPr>
        <w:spacing w:after="0" w:line="276" w:lineRule="auto"/>
        <w:jc w:val="center"/>
        <w:rPr>
          <w:rFonts w:ascii="Arial" w:hAnsi="Arial" w:cs="Arial"/>
          <w:b/>
          <w:bCs/>
          <w:szCs w:val="24"/>
          <w:lang w:val="mn-MN"/>
        </w:rPr>
      </w:pPr>
    </w:p>
    <w:p w14:paraId="617B54C0" w14:textId="23ED0161" w:rsidR="00F14247" w:rsidRPr="004A68F2" w:rsidRDefault="00F14247" w:rsidP="002C5654">
      <w:pPr>
        <w:pStyle w:val="Heading2"/>
        <w:numPr>
          <w:ilvl w:val="1"/>
          <w:numId w:val="31"/>
        </w:numPr>
        <w:spacing w:before="0" w:line="276" w:lineRule="auto"/>
        <w:ind w:left="0" w:firstLine="0"/>
        <w:rPr>
          <w:rFonts w:ascii="Arial" w:hAnsi="Arial" w:cs="Arial"/>
          <w:b/>
          <w:bCs/>
          <w:szCs w:val="24"/>
          <w:lang w:val="mn-MN"/>
        </w:rPr>
      </w:pPr>
      <w:bookmarkStart w:id="16" w:name="_Toc196842524"/>
      <w:r w:rsidRPr="004A68F2">
        <w:rPr>
          <w:rFonts w:ascii="Arial" w:hAnsi="Arial" w:cs="Arial"/>
          <w:b/>
          <w:bCs/>
          <w:szCs w:val="24"/>
          <w:lang w:val="mn-MN"/>
        </w:rPr>
        <w:t>Үнэлэлт, дүгнэлт</w:t>
      </w:r>
      <w:bookmarkEnd w:id="16"/>
    </w:p>
    <w:p w14:paraId="0118ED3F" w14:textId="6A8DA1B1" w:rsidR="00315FAD" w:rsidRPr="004A68F2" w:rsidRDefault="00315FAD" w:rsidP="002C5654">
      <w:pPr>
        <w:spacing w:after="0" w:line="276" w:lineRule="auto"/>
        <w:ind w:firstLine="720"/>
        <w:rPr>
          <w:rFonts w:ascii="Arial" w:hAnsi="Arial" w:cs="Arial"/>
          <w:szCs w:val="24"/>
          <w:lang w:val="mn-MN"/>
        </w:rPr>
      </w:pPr>
      <w:r w:rsidRPr="004A68F2">
        <w:rPr>
          <w:rFonts w:ascii="Arial" w:hAnsi="Arial" w:cs="Arial"/>
          <w:szCs w:val="24"/>
          <w:lang w:val="mn-MN"/>
        </w:rPr>
        <w:t>Энэхүү судалгаа</w:t>
      </w:r>
      <w:r w:rsidR="00465021" w:rsidRPr="004A68F2">
        <w:rPr>
          <w:rFonts w:ascii="Arial" w:hAnsi="Arial" w:cs="Arial"/>
          <w:szCs w:val="24"/>
          <w:lang w:val="mn-MN"/>
        </w:rPr>
        <w:t xml:space="preserve">ны дүнд үндэслэн </w:t>
      </w:r>
      <w:r w:rsidRPr="004A68F2">
        <w:rPr>
          <w:rFonts w:ascii="Arial" w:hAnsi="Arial" w:cs="Arial"/>
          <w:szCs w:val="24"/>
          <w:lang w:val="mn-MN"/>
        </w:rPr>
        <w:t>Нийгмийн даатгалын сангаас олгох тэтгэврийн тухай хуульд нэмэлт, өөрчлөлт оруулах тухай хуулийн төслийг боловсруулах нь зүйтэй гэж дүгнэж  байна. Монгол Улсын урт, дунд хугацааны хөгжлийн бодлого, хөтөлбөрт тэтгэврийн хагас хуримтлалын тогтолцоонд хэсэгчлэн шилжих, бүх ахмад настанд суурь тэтгэвэр олгох, тэтгэврийн тогтолцоонд хувийн хэвшлийн оролцоог сайн дурын нэмэлт даатгалын хэлбэрээр дэмжин, ахмад настан олон эх үүсвэр бүхий тэтгэврийн орлоготой байх нөхцөлийг бүрдүүлж, даатгуулагчийг илүү олон жил хөдөлмөрлөж, тасралтгүй шимтгэл төлөхийг урамшуулах, тэтгэврийн даатгалын тогтолцооны шинэчлэлийг хийх зорилтыг дэвшүүлсэн.</w:t>
      </w:r>
    </w:p>
    <w:p w14:paraId="345242E8" w14:textId="77777777" w:rsidR="00315FAD" w:rsidRPr="004A68F2" w:rsidRDefault="00315FAD" w:rsidP="002C5654">
      <w:pPr>
        <w:spacing w:after="0" w:line="276" w:lineRule="auto"/>
        <w:ind w:firstLine="720"/>
        <w:rPr>
          <w:rFonts w:ascii="Arial" w:hAnsi="Arial" w:cs="Arial"/>
          <w:szCs w:val="24"/>
          <w:lang w:val="mn-MN"/>
        </w:rPr>
      </w:pPr>
    </w:p>
    <w:p w14:paraId="52DDA0E3" w14:textId="77777777" w:rsidR="00315FAD" w:rsidRPr="004A68F2" w:rsidRDefault="00315FAD" w:rsidP="002C5654">
      <w:pPr>
        <w:pStyle w:val="NormalWeb"/>
        <w:spacing w:before="0" w:beforeAutospacing="0" w:after="0" w:afterAutospacing="0" w:line="276" w:lineRule="auto"/>
        <w:ind w:firstLine="720"/>
        <w:contextualSpacing/>
        <w:jc w:val="both"/>
        <w:rPr>
          <w:rFonts w:ascii="Arial" w:eastAsiaTheme="minorHAnsi" w:hAnsi="Arial" w:cs="Arial"/>
          <w:lang w:val="mn-MN"/>
          <w14:ligatures w14:val="standardContextual"/>
        </w:rPr>
      </w:pPr>
      <w:r w:rsidRPr="004A68F2">
        <w:rPr>
          <w:rFonts w:ascii="Arial" w:eastAsiaTheme="minorHAnsi" w:hAnsi="Arial" w:cs="Arial"/>
          <w:lang w:val="mn-MN"/>
          <w14:ligatures w14:val="standardContextual"/>
        </w:rPr>
        <w:t>Тэтгэврийн шинэчлэлийн зорилго нь:</w:t>
      </w:r>
    </w:p>
    <w:p w14:paraId="1B720B4E" w14:textId="77777777" w:rsidR="00315FAD" w:rsidRPr="004A68F2" w:rsidRDefault="00315FAD" w:rsidP="002C5654">
      <w:pPr>
        <w:pStyle w:val="NormalWeb"/>
        <w:spacing w:before="0" w:beforeAutospacing="0" w:after="0" w:afterAutospacing="0" w:line="276" w:lineRule="auto"/>
        <w:contextualSpacing/>
        <w:jc w:val="both"/>
        <w:rPr>
          <w:rFonts w:ascii="Arial" w:eastAsiaTheme="minorHAnsi" w:hAnsi="Arial" w:cs="Arial"/>
          <w:lang w:val="mn-MN"/>
          <w14:ligatures w14:val="standardContextual"/>
        </w:rPr>
      </w:pPr>
      <w:r w:rsidRPr="004A68F2">
        <w:rPr>
          <w:rFonts w:ascii="Arial" w:eastAsiaTheme="minorHAnsi" w:hAnsi="Arial" w:cs="Arial"/>
          <w:lang w:val="mn-MN"/>
          <w14:ligatures w14:val="standardContextual"/>
        </w:rPr>
        <w:t xml:space="preserve"> </w:t>
      </w:r>
      <w:r w:rsidRPr="004A68F2">
        <w:rPr>
          <w:rFonts w:ascii="Arial" w:eastAsiaTheme="minorHAnsi" w:hAnsi="Arial" w:cs="Arial"/>
          <w:lang w:val="mn-MN"/>
          <w14:ligatures w14:val="standardContextual"/>
        </w:rPr>
        <w:tab/>
        <w:t>1/Ахмад настны нийгмийн баталгааг хангах, амьдралын чанарыг сайжруулах, тэтгэврийн худалдан авах чадварыг дээшлүүлэх зорилгоор олон давхаргат тэтгэврийн тогтолцооны загварыг нэвтрүүлэх;</w:t>
      </w:r>
    </w:p>
    <w:p w14:paraId="0128819D" w14:textId="77777777" w:rsidR="00315FAD" w:rsidRPr="004A68F2" w:rsidRDefault="00315FAD" w:rsidP="002C5654">
      <w:pPr>
        <w:pStyle w:val="NormalWeb"/>
        <w:spacing w:before="0" w:beforeAutospacing="0" w:after="0" w:afterAutospacing="0" w:line="276" w:lineRule="auto"/>
        <w:contextualSpacing/>
        <w:jc w:val="both"/>
        <w:rPr>
          <w:rFonts w:ascii="Arial" w:eastAsiaTheme="minorHAnsi" w:hAnsi="Arial" w:cs="Arial"/>
          <w:lang w:val="mn-MN"/>
          <w14:ligatures w14:val="standardContextual"/>
        </w:rPr>
      </w:pPr>
      <w:r w:rsidRPr="004A68F2">
        <w:rPr>
          <w:rFonts w:ascii="Arial" w:eastAsiaTheme="minorHAnsi" w:hAnsi="Arial" w:cs="Arial"/>
          <w:lang w:val="mn-MN"/>
          <w14:ligatures w14:val="standardContextual"/>
        </w:rPr>
        <w:tab/>
        <w:t>2/Тэтгэврийн даатгалын сангийн эх үүсвэрийг бүрдүүлж, тогтвортой урт хугацаанд ажиллах санхүүгийн чадавхыг хангах;</w:t>
      </w:r>
    </w:p>
    <w:p w14:paraId="0A010216" w14:textId="77777777" w:rsidR="00315FAD" w:rsidRPr="004A68F2" w:rsidRDefault="00315FAD" w:rsidP="002C5654">
      <w:pPr>
        <w:pStyle w:val="NormalWeb"/>
        <w:spacing w:before="0" w:beforeAutospacing="0" w:after="0" w:afterAutospacing="0" w:line="276" w:lineRule="auto"/>
        <w:contextualSpacing/>
        <w:jc w:val="both"/>
        <w:rPr>
          <w:rFonts w:ascii="Arial" w:eastAsiaTheme="minorHAnsi" w:hAnsi="Arial" w:cs="Arial"/>
          <w:lang w:val="mn-MN"/>
          <w14:ligatures w14:val="standardContextual"/>
        </w:rPr>
      </w:pPr>
      <w:r w:rsidRPr="004A68F2">
        <w:rPr>
          <w:rFonts w:ascii="Arial" w:eastAsiaTheme="minorHAnsi" w:hAnsi="Arial" w:cs="Arial"/>
          <w:lang w:val="mn-MN"/>
          <w14:ligatures w14:val="standardContextual"/>
        </w:rPr>
        <w:tab/>
        <w:t>3/Тэтгэвэр авах болзол, нөхцөл хангасан даатгуулагчид олгох үйлчилгээг хүртээмжтэй зохион байгуулах;</w:t>
      </w:r>
    </w:p>
    <w:p w14:paraId="63B9B340" w14:textId="77777777" w:rsidR="00315FAD" w:rsidRPr="004A68F2" w:rsidRDefault="00315FAD" w:rsidP="002C5654">
      <w:pPr>
        <w:pStyle w:val="NormalWeb"/>
        <w:spacing w:before="0" w:beforeAutospacing="0" w:after="0" w:afterAutospacing="0" w:line="276" w:lineRule="auto"/>
        <w:contextualSpacing/>
        <w:jc w:val="both"/>
        <w:rPr>
          <w:rFonts w:ascii="Arial" w:eastAsiaTheme="minorHAnsi" w:hAnsi="Arial" w:cs="Arial"/>
          <w:lang w:val="mn-MN"/>
          <w14:ligatures w14:val="standardContextual"/>
        </w:rPr>
      </w:pPr>
      <w:r w:rsidRPr="004A68F2">
        <w:rPr>
          <w:rFonts w:ascii="Arial" w:eastAsiaTheme="minorHAnsi" w:hAnsi="Arial" w:cs="Arial"/>
          <w:lang w:val="mn-MN"/>
          <w14:ligatures w14:val="standardContextual"/>
        </w:rPr>
        <w:tab/>
        <w:t>4/Хүн амын насжилт, тэтгэвэр авах хугацаа уртсаж байгаатай холбогдуулан тэтгэвэр тогтоолгох нөхцөл, болзлыг дахин тодорхойлохтой холбоотой харилцааг тусгах зэрэг болно.</w:t>
      </w:r>
    </w:p>
    <w:p w14:paraId="661E7880" w14:textId="77777777" w:rsidR="00315FAD" w:rsidRPr="004A68F2" w:rsidRDefault="00315FAD" w:rsidP="002C5654">
      <w:pPr>
        <w:pStyle w:val="NormalWeb"/>
        <w:spacing w:before="0" w:beforeAutospacing="0" w:after="0" w:afterAutospacing="0" w:line="276" w:lineRule="auto"/>
        <w:contextualSpacing/>
        <w:jc w:val="both"/>
        <w:rPr>
          <w:rFonts w:ascii="Arial" w:eastAsiaTheme="minorHAnsi" w:hAnsi="Arial" w:cs="Arial"/>
          <w:lang w:val="mn-MN"/>
          <w14:ligatures w14:val="standardContextual"/>
        </w:rPr>
      </w:pPr>
    </w:p>
    <w:p w14:paraId="3A01AB5B" w14:textId="77777777" w:rsidR="00315FAD" w:rsidRPr="004A68F2" w:rsidRDefault="00315FAD" w:rsidP="002C5654">
      <w:pPr>
        <w:pStyle w:val="NormalWeb"/>
        <w:spacing w:before="0" w:beforeAutospacing="0" w:after="0" w:afterAutospacing="0" w:line="276" w:lineRule="auto"/>
        <w:ind w:firstLine="720"/>
        <w:contextualSpacing/>
        <w:jc w:val="both"/>
        <w:rPr>
          <w:rFonts w:ascii="Arial" w:eastAsiaTheme="minorHAnsi" w:hAnsi="Arial" w:cs="Arial"/>
          <w:lang w:val="mn-MN"/>
          <w14:ligatures w14:val="standardContextual"/>
        </w:rPr>
      </w:pPr>
      <w:r w:rsidRPr="004A68F2">
        <w:rPr>
          <w:rFonts w:ascii="Arial" w:eastAsiaTheme="minorHAnsi" w:hAnsi="Arial" w:cs="Arial"/>
          <w:lang w:val="mn-MN"/>
          <w14:ligatures w14:val="standardContextual"/>
        </w:rPr>
        <w:t>Тэтгэврийн тогтолцооны зарчим нь:</w:t>
      </w:r>
    </w:p>
    <w:p w14:paraId="6D178844" w14:textId="4B6F7C86" w:rsidR="00315FAD" w:rsidRPr="004A68F2" w:rsidRDefault="00137B47" w:rsidP="002C5654">
      <w:pPr>
        <w:pStyle w:val="NormalWeb"/>
        <w:spacing w:before="0" w:beforeAutospacing="0" w:after="0" w:afterAutospacing="0" w:line="276" w:lineRule="auto"/>
        <w:ind w:firstLine="720"/>
        <w:contextualSpacing/>
        <w:jc w:val="both"/>
        <w:rPr>
          <w:rFonts w:ascii="Arial" w:eastAsiaTheme="minorHAnsi" w:hAnsi="Arial" w:cs="Arial"/>
          <w:lang w:val="mn-MN"/>
          <w14:ligatures w14:val="standardContextual"/>
        </w:rPr>
      </w:pPr>
      <w:r w:rsidRPr="004A68F2">
        <w:rPr>
          <w:rFonts w:ascii="Arial" w:eastAsiaTheme="minorHAnsi" w:hAnsi="Arial" w:cs="Arial"/>
          <w:lang w:val="mn-MN"/>
          <w14:ligatures w14:val="standardContextual"/>
        </w:rPr>
        <w:t>1/Тогтолцооны шинэчлэл хий</w:t>
      </w:r>
      <w:r w:rsidR="00315FAD" w:rsidRPr="004A68F2">
        <w:rPr>
          <w:rFonts w:ascii="Arial" w:eastAsiaTheme="minorHAnsi" w:hAnsi="Arial" w:cs="Arial"/>
          <w:lang w:val="mn-MN"/>
          <w14:ligatures w14:val="standardContextual"/>
        </w:rPr>
        <w:t>х;</w:t>
      </w:r>
    </w:p>
    <w:p w14:paraId="3AD37A1C" w14:textId="77777777" w:rsidR="00315FAD" w:rsidRPr="004A68F2" w:rsidRDefault="00315FAD" w:rsidP="002C5654">
      <w:pPr>
        <w:pStyle w:val="NormalWeb"/>
        <w:spacing w:before="0" w:beforeAutospacing="0" w:after="0" w:afterAutospacing="0" w:line="276" w:lineRule="auto"/>
        <w:ind w:firstLine="720"/>
        <w:contextualSpacing/>
        <w:jc w:val="both"/>
        <w:rPr>
          <w:rFonts w:ascii="Arial" w:eastAsiaTheme="minorHAnsi" w:hAnsi="Arial" w:cs="Arial"/>
          <w:lang w:val="mn-MN"/>
          <w14:ligatures w14:val="standardContextual"/>
        </w:rPr>
      </w:pPr>
      <w:r w:rsidRPr="004A68F2">
        <w:rPr>
          <w:rFonts w:ascii="Arial" w:eastAsiaTheme="minorHAnsi" w:hAnsi="Arial" w:cs="Arial"/>
          <w:lang w:val="mn-MN"/>
          <w14:ligatures w14:val="standardContextual"/>
        </w:rPr>
        <w:t xml:space="preserve">2/Параметрийн шинэчлэл хийх нь олон улсад хүлээн зөвшөөрөгдсөн зарчим юм. </w:t>
      </w:r>
    </w:p>
    <w:p w14:paraId="50E1E681" w14:textId="1F2B1C56" w:rsidR="00437AA1" w:rsidRPr="004A68F2" w:rsidRDefault="00315FAD" w:rsidP="002C5654">
      <w:pPr>
        <w:spacing w:after="0" w:line="276" w:lineRule="auto"/>
        <w:ind w:firstLine="720"/>
        <w:contextualSpacing/>
        <w:rPr>
          <w:rFonts w:ascii="Arial" w:hAnsi="Arial" w:cs="Arial"/>
          <w:szCs w:val="24"/>
          <w:lang w:val="mn-MN"/>
        </w:rPr>
      </w:pPr>
      <w:r w:rsidRPr="004A68F2">
        <w:rPr>
          <w:rFonts w:ascii="Arial" w:hAnsi="Arial" w:cs="Arial"/>
          <w:szCs w:val="24"/>
          <w:lang w:val="mn-MN"/>
        </w:rPr>
        <w:t xml:space="preserve">Олон улсын хөдөлмөрийн байгууллага, Дэлхийн банк, Азийн хөгжлийн банк, Европын холбоо зэрэг олон улсын байгууллагаас Монгол Улсын тэтгэврийн тогтолцоонд 2011 оноос хойш 10 гаруй удаагийн </w:t>
      </w:r>
      <w:proofErr w:type="spellStart"/>
      <w:r w:rsidRPr="004A68F2">
        <w:rPr>
          <w:rFonts w:ascii="Arial" w:hAnsi="Arial" w:cs="Arial"/>
          <w:szCs w:val="24"/>
          <w:lang w:val="mn-MN"/>
        </w:rPr>
        <w:t>актуар</w:t>
      </w:r>
      <w:proofErr w:type="spellEnd"/>
      <w:r w:rsidRPr="004A68F2">
        <w:rPr>
          <w:rFonts w:ascii="Arial" w:hAnsi="Arial" w:cs="Arial"/>
          <w:szCs w:val="24"/>
          <w:lang w:val="mn-MN"/>
        </w:rPr>
        <w:t xml:space="preserve"> тооцооллыг хийж, үүний үр дүнд тэтгэврийн олон давхаргат тогтолцоог нэвтрүүлэх, тэтгэвэр тогтоох цалин хөлсний дараалсан жилийг нэмэгдүүлэх, шимтгэлийн хувь хэмжээ, тэтгэвэр тогтоолгох насыг үе шаттай нэмэгдүүлэх зэрэг параметрийн шинэчлэл хийхийг зөвлөж ирсэн хэдий ч 2023 онд УИХ-аас баталсан Нийгмийн даатгалын сангаас олгох тэтгэврийн тухай хуулийн шинэчилсэн найруулгад зохицуулалт дутуу тусгагдсан байна.</w:t>
      </w:r>
    </w:p>
    <w:p w14:paraId="53EAD779" w14:textId="77777777" w:rsidR="00315FAD" w:rsidRPr="004A68F2" w:rsidRDefault="00315FAD" w:rsidP="002C5654">
      <w:pPr>
        <w:spacing w:after="0" w:line="276" w:lineRule="auto"/>
        <w:ind w:firstLine="720"/>
        <w:contextualSpacing/>
        <w:rPr>
          <w:rFonts w:ascii="Arial" w:hAnsi="Arial" w:cs="Arial"/>
          <w:szCs w:val="24"/>
          <w:lang w:val="mn-MN"/>
        </w:rPr>
      </w:pPr>
    </w:p>
    <w:p w14:paraId="3F19EC98" w14:textId="7C864D75" w:rsidR="00F14247" w:rsidRPr="004A68F2" w:rsidRDefault="00250C72" w:rsidP="002C5654">
      <w:pPr>
        <w:pStyle w:val="Heading2"/>
        <w:numPr>
          <w:ilvl w:val="1"/>
          <w:numId w:val="31"/>
        </w:numPr>
        <w:spacing w:before="0" w:line="276" w:lineRule="auto"/>
        <w:ind w:left="0" w:firstLine="0"/>
        <w:rPr>
          <w:rFonts w:ascii="Arial" w:hAnsi="Arial" w:cs="Arial"/>
          <w:b/>
          <w:bCs/>
          <w:szCs w:val="24"/>
          <w:lang w:val="mn-MN"/>
        </w:rPr>
      </w:pPr>
      <w:bookmarkStart w:id="17" w:name="_Toc196842525"/>
      <w:r w:rsidRPr="004A68F2">
        <w:rPr>
          <w:rFonts w:ascii="Arial" w:hAnsi="Arial" w:cs="Arial"/>
          <w:b/>
          <w:bCs/>
          <w:szCs w:val="24"/>
          <w:lang w:val="mn-MN"/>
        </w:rPr>
        <w:t>Зөвлөмж</w:t>
      </w:r>
      <w:bookmarkEnd w:id="17"/>
      <w:r w:rsidRPr="004A68F2">
        <w:rPr>
          <w:rFonts w:ascii="Arial" w:hAnsi="Arial" w:cs="Arial"/>
          <w:b/>
          <w:bCs/>
          <w:szCs w:val="24"/>
          <w:lang w:val="mn-MN"/>
        </w:rPr>
        <w:t xml:space="preserve"> </w:t>
      </w:r>
    </w:p>
    <w:p w14:paraId="3AC22542" w14:textId="77777777" w:rsidR="00437AA1" w:rsidRPr="004A68F2" w:rsidRDefault="00437AA1" w:rsidP="002C5654">
      <w:pPr>
        <w:spacing w:after="0" w:line="276" w:lineRule="auto"/>
        <w:rPr>
          <w:rFonts w:ascii="Arial" w:hAnsi="Arial" w:cs="Arial"/>
          <w:szCs w:val="24"/>
          <w:lang w:val="mn-MN"/>
        </w:rPr>
      </w:pPr>
    </w:p>
    <w:p w14:paraId="386F30EE" w14:textId="2C2F5986" w:rsidR="00250C72" w:rsidRPr="004A68F2" w:rsidRDefault="00250C72" w:rsidP="002C5654">
      <w:pPr>
        <w:spacing w:after="0" w:line="276" w:lineRule="auto"/>
        <w:ind w:firstLine="720"/>
        <w:rPr>
          <w:rFonts w:ascii="Arial" w:hAnsi="Arial" w:cs="Arial"/>
          <w:b/>
          <w:bCs/>
          <w:szCs w:val="24"/>
          <w:u w:val="single"/>
          <w:lang w:val="mn-MN"/>
        </w:rPr>
      </w:pPr>
      <w:r w:rsidRPr="004A68F2">
        <w:rPr>
          <w:rFonts w:ascii="Arial" w:hAnsi="Arial" w:cs="Arial"/>
          <w:b/>
          <w:bCs/>
          <w:szCs w:val="24"/>
          <w:lang w:val="mn-MN"/>
        </w:rPr>
        <w:t xml:space="preserve">Зөвлөмж </w:t>
      </w:r>
      <w:r w:rsidR="009812EC" w:rsidRPr="004A68F2">
        <w:rPr>
          <w:rFonts w:ascii="Arial" w:hAnsi="Arial" w:cs="Arial"/>
          <w:b/>
          <w:bCs/>
          <w:szCs w:val="24"/>
          <w:lang w:val="mn-MN"/>
        </w:rPr>
        <w:t>1</w:t>
      </w:r>
      <w:r w:rsidRPr="004A68F2">
        <w:rPr>
          <w:rFonts w:ascii="Arial" w:hAnsi="Arial" w:cs="Arial"/>
          <w:b/>
          <w:bCs/>
          <w:szCs w:val="24"/>
          <w:lang w:val="mn-MN"/>
        </w:rPr>
        <w:t xml:space="preserve">. </w:t>
      </w:r>
      <w:r w:rsidR="00D12B6F" w:rsidRPr="004A68F2">
        <w:rPr>
          <w:rFonts w:ascii="Arial" w:hAnsi="Arial" w:cs="Arial"/>
          <w:b/>
          <w:bCs/>
          <w:szCs w:val="24"/>
          <w:u w:val="single"/>
          <w:lang w:val="mn-MN"/>
        </w:rPr>
        <w:t xml:space="preserve">Нийгмийн даатгалын сангаас олгох тэтгэврийн тухай хуулийн 3 </w:t>
      </w:r>
      <w:r w:rsidRPr="004A68F2">
        <w:rPr>
          <w:rFonts w:ascii="Arial" w:hAnsi="Arial" w:cs="Arial"/>
          <w:b/>
          <w:bCs/>
          <w:szCs w:val="24"/>
          <w:u w:val="single"/>
          <w:lang w:val="mn-MN"/>
        </w:rPr>
        <w:t xml:space="preserve">дугаар зүйл. </w:t>
      </w:r>
    </w:p>
    <w:p w14:paraId="5C1711A7" w14:textId="77777777" w:rsidR="002C5654" w:rsidRPr="004A68F2" w:rsidRDefault="002C5654" w:rsidP="002C5654">
      <w:pPr>
        <w:spacing w:after="0" w:line="240" w:lineRule="auto"/>
        <w:rPr>
          <w:rFonts w:ascii="Arial" w:hAnsi="Arial" w:cs="Arial"/>
          <w:szCs w:val="24"/>
          <w:lang w:val="mn-MN"/>
        </w:rPr>
      </w:pPr>
    </w:p>
    <w:p w14:paraId="08E88F85" w14:textId="6B6706E2" w:rsidR="002C5654" w:rsidRPr="004A68F2" w:rsidRDefault="002C5654" w:rsidP="002C5654">
      <w:pPr>
        <w:spacing w:after="0" w:line="276" w:lineRule="auto"/>
        <w:ind w:firstLine="720"/>
        <w:rPr>
          <w:rFonts w:ascii="Arial" w:hAnsi="Arial" w:cs="Arial"/>
          <w:szCs w:val="24"/>
          <w:shd w:val="clear" w:color="auto" w:fill="FFFFFF"/>
          <w:lang w:val="mn-MN"/>
        </w:rPr>
      </w:pPr>
      <w:r w:rsidRPr="004A68F2">
        <w:rPr>
          <w:rFonts w:ascii="Arial" w:hAnsi="Arial" w:cs="Arial"/>
          <w:szCs w:val="24"/>
          <w:lang w:val="mn-MN"/>
        </w:rPr>
        <w:t>Н</w:t>
      </w:r>
      <w:r w:rsidRPr="004A68F2">
        <w:rPr>
          <w:rFonts w:ascii="Arial" w:hAnsi="Arial" w:cs="Arial"/>
          <w:szCs w:val="24"/>
          <w:shd w:val="clear" w:color="auto" w:fill="FFFFFF"/>
          <w:lang w:val="mn-MN"/>
        </w:rPr>
        <w:t xml:space="preserve">ийгмийн даатгалын шимтгэлийг 25 жил ба түүнээс дээш (энэ онд 22 жил 3 сар)- жил төлж ажилласан даатгуулагч шимтгэл төлсөн сүүлийн 20 жилийн доторх дараалсан 60 сарын дундаж цалингаас өндөр насны бүрэн тэтгэвэр тогтоолгох боломжтой. Тэтгэврийг хуулиар тогтоосон хувь хэмжээгээр тооцоход тухайн үед мөрдөж байгаа тэтгэврийн доод хэмжээ (769 </w:t>
      </w:r>
      <w:proofErr w:type="spellStart"/>
      <w:r w:rsidRPr="004A68F2">
        <w:rPr>
          <w:rFonts w:ascii="Arial" w:hAnsi="Arial" w:cs="Arial"/>
          <w:szCs w:val="24"/>
          <w:shd w:val="clear" w:color="auto" w:fill="FFFFFF"/>
          <w:lang w:val="mn-MN"/>
        </w:rPr>
        <w:t>мян</w:t>
      </w:r>
      <w:proofErr w:type="spellEnd"/>
      <w:r w:rsidRPr="004A68F2">
        <w:rPr>
          <w:rFonts w:ascii="Arial" w:hAnsi="Arial" w:cs="Arial"/>
          <w:szCs w:val="24"/>
          <w:shd w:val="clear" w:color="auto" w:fill="FFFFFF"/>
          <w:lang w:val="mn-MN"/>
        </w:rPr>
        <w:t>.</w:t>
      </w:r>
      <w:proofErr w:type="spellStart"/>
      <w:r w:rsidRPr="004A68F2">
        <w:rPr>
          <w:rFonts w:ascii="Arial" w:hAnsi="Arial" w:cs="Arial"/>
          <w:szCs w:val="24"/>
          <w:shd w:val="clear" w:color="auto" w:fill="FFFFFF"/>
          <w:lang w:val="mn-MN"/>
        </w:rPr>
        <w:t>төг</w:t>
      </w:r>
      <w:proofErr w:type="spellEnd"/>
      <w:r w:rsidRPr="004A68F2">
        <w:rPr>
          <w:rFonts w:ascii="Arial" w:hAnsi="Arial" w:cs="Arial"/>
          <w:szCs w:val="24"/>
          <w:shd w:val="clear" w:color="auto" w:fill="FFFFFF"/>
          <w:lang w:val="mn-MN"/>
        </w:rPr>
        <w:t xml:space="preserve">)-нд хүрэхгүй бол тэтгэврийн доод </w:t>
      </w:r>
      <w:r w:rsidR="004A68F2" w:rsidRPr="004A68F2">
        <w:rPr>
          <w:rFonts w:ascii="Arial" w:hAnsi="Arial" w:cs="Arial"/>
          <w:szCs w:val="24"/>
          <w:shd w:val="clear" w:color="auto" w:fill="FFFFFF"/>
          <w:lang w:val="mn-MN"/>
        </w:rPr>
        <w:t>хэмжээгээр</w:t>
      </w:r>
      <w:r w:rsidRPr="004A68F2">
        <w:rPr>
          <w:rFonts w:ascii="Arial" w:hAnsi="Arial" w:cs="Arial"/>
          <w:szCs w:val="24"/>
          <w:shd w:val="clear" w:color="auto" w:fill="FFFFFF"/>
          <w:lang w:val="mn-MN"/>
        </w:rPr>
        <w:t xml:space="preserve"> тогтоож бай</w:t>
      </w:r>
      <w:r w:rsidR="004A68F2">
        <w:rPr>
          <w:rFonts w:ascii="Arial" w:hAnsi="Arial" w:cs="Arial"/>
          <w:szCs w:val="24"/>
          <w:shd w:val="clear" w:color="auto" w:fill="FFFFFF"/>
          <w:lang w:val="mn-MN"/>
        </w:rPr>
        <w:t>на</w:t>
      </w:r>
      <w:r w:rsidRPr="004A68F2">
        <w:rPr>
          <w:rFonts w:ascii="Arial" w:hAnsi="Arial" w:cs="Arial"/>
          <w:szCs w:val="24"/>
          <w:shd w:val="clear" w:color="auto" w:fill="FFFFFF"/>
          <w:lang w:val="mn-MN"/>
        </w:rPr>
        <w:t>. 2026 оны 5 сарын байдлаар нийт тэтгэвэр авагчдын 56.1 хувь буюу 297.2 мян</w:t>
      </w:r>
      <w:r w:rsidR="004A68F2">
        <w:rPr>
          <w:rFonts w:ascii="Arial" w:hAnsi="Arial" w:cs="Arial"/>
          <w:szCs w:val="24"/>
          <w:shd w:val="clear" w:color="auto" w:fill="FFFFFF"/>
          <w:lang w:val="mn-MN"/>
        </w:rPr>
        <w:t xml:space="preserve">ган </w:t>
      </w:r>
      <w:r w:rsidRPr="004A68F2">
        <w:rPr>
          <w:rFonts w:ascii="Arial" w:hAnsi="Arial" w:cs="Arial"/>
          <w:szCs w:val="24"/>
          <w:shd w:val="clear" w:color="auto" w:fill="FFFFFF"/>
          <w:lang w:val="mn-MN"/>
        </w:rPr>
        <w:t>хүн тэтгэврийн доод хэмжээгээр тэтгэвэр авч байна.</w:t>
      </w:r>
    </w:p>
    <w:p w14:paraId="22BCDF6F" w14:textId="77777777" w:rsidR="00395125" w:rsidRPr="004A68F2" w:rsidRDefault="00395125" w:rsidP="002C5654">
      <w:pPr>
        <w:spacing w:after="0" w:line="276" w:lineRule="auto"/>
        <w:ind w:firstLine="720"/>
        <w:rPr>
          <w:rFonts w:ascii="Arial" w:hAnsi="Arial" w:cs="Arial"/>
          <w:szCs w:val="24"/>
          <w:lang w:val="mn-MN"/>
        </w:rPr>
      </w:pPr>
    </w:p>
    <w:p w14:paraId="2F8A2F24" w14:textId="69198864" w:rsidR="00EF4058" w:rsidRPr="004A68F2" w:rsidRDefault="006A1DEE" w:rsidP="002C5654">
      <w:pPr>
        <w:spacing w:after="0" w:line="276" w:lineRule="auto"/>
        <w:ind w:firstLine="720"/>
        <w:rPr>
          <w:rFonts w:ascii="Arial" w:hAnsi="Arial" w:cs="Arial"/>
          <w:szCs w:val="24"/>
          <w:lang w:val="mn-MN"/>
        </w:rPr>
      </w:pPr>
      <w:r w:rsidRPr="004A68F2">
        <w:rPr>
          <w:rFonts w:ascii="Arial" w:hAnsi="Arial" w:cs="Arial"/>
          <w:szCs w:val="24"/>
          <w:lang w:val="mn-MN"/>
        </w:rPr>
        <w:t>Засгийн газрын тогтоолоор ижил хэмжээгээр тэтгэврийг нэмэгдүүлэхэд тэтгэ</w:t>
      </w:r>
      <w:r w:rsidR="007F1E83" w:rsidRPr="004A68F2">
        <w:rPr>
          <w:rFonts w:ascii="Arial" w:hAnsi="Arial" w:cs="Arial"/>
          <w:szCs w:val="24"/>
          <w:lang w:val="mn-MN"/>
        </w:rPr>
        <w:t xml:space="preserve">врийн зөрүү арилахгүй, </w:t>
      </w:r>
      <w:r w:rsidR="002C5654" w:rsidRPr="004A68F2">
        <w:rPr>
          <w:rFonts w:ascii="Arial" w:hAnsi="Arial" w:cs="Arial"/>
          <w:szCs w:val="24"/>
          <w:lang w:val="mn-MN"/>
        </w:rPr>
        <w:t xml:space="preserve">тэтгэврийн </w:t>
      </w:r>
      <w:r w:rsidR="007F1E83" w:rsidRPr="004A68F2">
        <w:rPr>
          <w:rFonts w:ascii="Arial" w:hAnsi="Arial" w:cs="Arial"/>
          <w:szCs w:val="24"/>
          <w:lang w:val="mn-MN"/>
        </w:rPr>
        <w:t>худалдан авах чадвар буурсан иргэдийн ам</w:t>
      </w:r>
      <w:r w:rsidR="0004617A" w:rsidRPr="004A68F2">
        <w:rPr>
          <w:rFonts w:ascii="Arial" w:hAnsi="Arial" w:cs="Arial"/>
          <w:szCs w:val="24"/>
          <w:lang w:val="mn-MN"/>
        </w:rPr>
        <w:t>ь</w:t>
      </w:r>
      <w:r w:rsidR="007F1E83" w:rsidRPr="004A68F2">
        <w:rPr>
          <w:rFonts w:ascii="Arial" w:hAnsi="Arial" w:cs="Arial"/>
          <w:szCs w:val="24"/>
          <w:lang w:val="mn-MN"/>
        </w:rPr>
        <w:t>жиргаанд хүрэлцэхгүй байгаа тул нэмэлт өөр эх үүсвэр шаардлагатай</w:t>
      </w:r>
      <w:r w:rsidR="002C5654" w:rsidRPr="004A68F2">
        <w:rPr>
          <w:rFonts w:ascii="Arial" w:hAnsi="Arial" w:cs="Arial"/>
          <w:szCs w:val="24"/>
          <w:lang w:val="mn-MN"/>
        </w:rPr>
        <w:t xml:space="preserve"> байна</w:t>
      </w:r>
      <w:r w:rsidR="007F1E83" w:rsidRPr="004A68F2">
        <w:rPr>
          <w:rFonts w:ascii="Arial" w:hAnsi="Arial" w:cs="Arial"/>
          <w:szCs w:val="24"/>
          <w:lang w:val="mn-MN"/>
        </w:rPr>
        <w:t>.</w:t>
      </w:r>
    </w:p>
    <w:p w14:paraId="44AF0401" w14:textId="77777777" w:rsidR="00EF4058" w:rsidRPr="004A68F2" w:rsidRDefault="00EF4058" w:rsidP="002C5654">
      <w:pPr>
        <w:spacing w:after="0" w:line="276" w:lineRule="auto"/>
        <w:ind w:firstLine="720"/>
        <w:rPr>
          <w:rFonts w:ascii="Arial" w:hAnsi="Arial" w:cs="Arial"/>
          <w:szCs w:val="24"/>
          <w:lang w:val="mn-MN"/>
        </w:rPr>
      </w:pPr>
    </w:p>
    <w:p w14:paraId="7C152BDB" w14:textId="3A35CD67" w:rsidR="00250C72" w:rsidRPr="004A68F2" w:rsidRDefault="00D12B6F" w:rsidP="002C5654">
      <w:pPr>
        <w:spacing w:after="0" w:line="276" w:lineRule="auto"/>
        <w:ind w:firstLine="720"/>
        <w:rPr>
          <w:rFonts w:ascii="Arial" w:hAnsi="Arial" w:cs="Arial"/>
          <w:szCs w:val="24"/>
          <w:lang w:val="mn-MN"/>
        </w:rPr>
      </w:pPr>
      <w:r w:rsidRPr="004A68F2">
        <w:rPr>
          <w:rFonts w:ascii="Arial" w:hAnsi="Arial" w:cs="Arial"/>
          <w:szCs w:val="24"/>
          <w:lang w:val="mn-MN"/>
        </w:rPr>
        <w:t xml:space="preserve">Монгол Улсын урт, дунд хугацааны бодлогын баримт бичигт туссан олон давхаргат тэтгэврийн тогтолцоо нэвтрүүлэх, бүх ахмад настанд суурь тэтгэвэр олгох </w:t>
      </w:r>
      <w:r w:rsidR="00395125" w:rsidRPr="004A68F2">
        <w:rPr>
          <w:rFonts w:ascii="Arial" w:hAnsi="Arial" w:cs="Arial"/>
          <w:szCs w:val="24"/>
          <w:lang w:val="mn-MN"/>
        </w:rPr>
        <w:t>нарийвчилсан зохицуулалт, “баталгаат тэтгэвэр”-ийн аргачлал тооцоолол судалгааг хийж хуульд</w:t>
      </w:r>
      <w:r w:rsidRPr="004A68F2">
        <w:rPr>
          <w:rFonts w:ascii="Arial" w:hAnsi="Arial" w:cs="Arial"/>
          <w:szCs w:val="24"/>
          <w:lang w:val="mn-MN"/>
        </w:rPr>
        <w:t xml:space="preserve"> </w:t>
      </w:r>
      <w:r w:rsidR="00672082" w:rsidRPr="004A68F2">
        <w:rPr>
          <w:rFonts w:ascii="Arial" w:hAnsi="Arial" w:cs="Arial"/>
          <w:szCs w:val="24"/>
          <w:lang w:val="mn-MN"/>
        </w:rPr>
        <w:t>нэмэлт</w:t>
      </w:r>
      <w:r w:rsidR="00395125" w:rsidRPr="004A68F2">
        <w:rPr>
          <w:rFonts w:ascii="Arial" w:hAnsi="Arial" w:cs="Arial"/>
          <w:szCs w:val="24"/>
          <w:lang w:val="mn-MN"/>
        </w:rPr>
        <w:t xml:space="preserve"> өөрчлөлт</w:t>
      </w:r>
      <w:r w:rsidR="00672082" w:rsidRPr="004A68F2">
        <w:rPr>
          <w:rFonts w:ascii="Arial" w:hAnsi="Arial" w:cs="Arial"/>
          <w:szCs w:val="24"/>
          <w:lang w:val="mn-MN"/>
        </w:rPr>
        <w:t xml:space="preserve"> оруулахыг зөвлөж байна</w:t>
      </w:r>
      <w:r w:rsidR="0004617A" w:rsidRPr="004A68F2">
        <w:rPr>
          <w:rFonts w:ascii="Arial" w:hAnsi="Arial" w:cs="Arial"/>
          <w:szCs w:val="24"/>
          <w:lang w:val="mn-MN"/>
        </w:rPr>
        <w:t>.</w:t>
      </w:r>
    </w:p>
    <w:p w14:paraId="1B40394C" w14:textId="77777777" w:rsidR="00437AA1" w:rsidRPr="004A68F2" w:rsidRDefault="00437AA1" w:rsidP="002C5654">
      <w:pPr>
        <w:spacing w:after="0" w:line="276" w:lineRule="auto"/>
        <w:ind w:firstLine="720"/>
        <w:rPr>
          <w:rFonts w:ascii="Arial" w:hAnsi="Arial" w:cs="Arial"/>
          <w:szCs w:val="24"/>
          <w:lang w:val="mn-MN"/>
        </w:rPr>
      </w:pPr>
    </w:p>
    <w:p w14:paraId="7724CA25" w14:textId="218B5F22" w:rsidR="00282E43" w:rsidRPr="004A68F2" w:rsidRDefault="00250C72" w:rsidP="002C5654">
      <w:pPr>
        <w:spacing w:after="0" w:line="276" w:lineRule="auto"/>
        <w:ind w:firstLine="720"/>
        <w:rPr>
          <w:rFonts w:ascii="Arial" w:hAnsi="Arial" w:cs="Arial"/>
          <w:b/>
          <w:bCs/>
          <w:szCs w:val="24"/>
          <w:u w:val="single"/>
          <w:lang w:val="mn-MN"/>
        </w:rPr>
      </w:pPr>
      <w:r w:rsidRPr="004A68F2">
        <w:rPr>
          <w:rFonts w:ascii="Arial" w:hAnsi="Arial" w:cs="Arial"/>
          <w:b/>
          <w:bCs/>
          <w:szCs w:val="24"/>
          <w:lang w:val="mn-MN"/>
        </w:rPr>
        <w:t xml:space="preserve">Зөвлөмж </w:t>
      </w:r>
      <w:r w:rsidR="009812EC" w:rsidRPr="004A68F2">
        <w:rPr>
          <w:rFonts w:ascii="Arial" w:hAnsi="Arial" w:cs="Arial"/>
          <w:b/>
          <w:bCs/>
          <w:szCs w:val="24"/>
          <w:lang w:val="mn-MN"/>
        </w:rPr>
        <w:t>2</w:t>
      </w:r>
      <w:r w:rsidRPr="004A68F2">
        <w:rPr>
          <w:rFonts w:ascii="Arial" w:hAnsi="Arial" w:cs="Arial"/>
          <w:b/>
          <w:bCs/>
          <w:szCs w:val="24"/>
          <w:lang w:val="mn-MN"/>
        </w:rPr>
        <w:t>.</w:t>
      </w:r>
      <w:r w:rsidR="00282E43" w:rsidRPr="004A68F2">
        <w:rPr>
          <w:rFonts w:ascii="Arial" w:hAnsi="Arial" w:cs="Arial"/>
          <w:b/>
          <w:bCs/>
          <w:szCs w:val="24"/>
          <w:lang w:val="mn-MN"/>
        </w:rPr>
        <w:t xml:space="preserve"> </w:t>
      </w:r>
      <w:r w:rsidR="00D12B6F" w:rsidRPr="004A68F2">
        <w:rPr>
          <w:rFonts w:ascii="Arial" w:hAnsi="Arial" w:cs="Arial"/>
          <w:b/>
          <w:bCs/>
          <w:szCs w:val="24"/>
          <w:u w:val="single"/>
          <w:lang w:val="mn-MN"/>
        </w:rPr>
        <w:t>Нийгмийн даатгалын сангаас олгох тэтгэврийн тухай хуулийн 5</w:t>
      </w:r>
      <w:r w:rsidR="00315FAD" w:rsidRPr="004A68F2">
        <w:rPr>
          <w:rFonts w:ascii="Arial" w:hAnsi="Arial" w:cs="Arial"/>
          <w:b/>
          <w:bCs/>
          <w:szCs w:val="24"/>
          <w:u w:val="single"/>
          <w:lang w:val="mn-MN"/>
        </w:rPr>
        <w:t xml:space="preserve"> дугаар зүйл.</w:t>
      </w:r>
    </w:p>
    <w:p w14:paraId="7ACD7064" w14:textId="77777777" w:rsidR="00C77346" w:rsidRPr="004A68F2" w:rsidRDefault="00C77346" w:rsidP="002C5654">
      <w:pPr>
        <w:spacing w:after="0" w:line="276" w:lineRule="auto"/>
        <w:ind w:firstLine="720"/>
        <w:rPr>
          <w:rFonts w:ascii="Arial" w:hAnsi="Arial" w:cs="Arial"/>
          <w:szCs w:val="24"/>
          <w:u w:val="single"/>
          <w:lang w:val="mn-MN"/>
        </w:rPr>
      </w:pPr>
    </w:p>
    <w:p w14:paraId="0A5F6C1A" w14:textId="15A852D3" w:rsidR="00437AA1" w:rsidRPr="004A68F2" w:rsidRDefault="00D12B6F" w:rsidP="002C5654">
      <w:pPr>
        <w:spacing w:after="0" w:line="276" w:lineRule="auto"/>
        <w:ind w:firstLine="720"/>
        <w:rPr>
          <w:rFonts w:ascii="Arial" w:hAnsi="Arial" w:cs="Arial"/>
          <w:szCs w:val="24"/>
          <w:lang w:val="mn-MN"/>
        </w:rPr>
      </w:pPr>
      <w:r w:rsidRPr="004A68F2">
        <w:rPr>
          <w:rFonts w:ascii="Arial" w:hAnsi="Arial" w:cs="Arial"/>
          <w:szCs w:val="24"/>
          <w:lang w:val="mn-MN"/>
        </w:rPr>
        <w:t>Монгол Улсын урт, дунд хугацааны бодлогын баримт бичигт туссан эрэгтэй, эмэгтэй даатгуулагчийн өндөр насны тэтгэвэр тогтоох насыг ижил байлгах, нийгэмд шударга бус байдлыг бий болгохоос сэргийлж, өндөр насны тэтгэвэр тогтоо</w:t>
      </w:r>
      <w:r w:rsidR="00C5738A" w:rsidRPr="004A68F2">
        <w:rPr>
          <w:rFonts w:ascii="Arial" w:hAnsi="Arial" w:cs="Arial"/>
          <w:szCs w:val="24"/>
          <w:lang w:val="mn-MN"/>
        </w:rPr>
        <w:t xml:space="preserve">лгох насыг даатгуулагчийн төрсөн онд харгалзуулан 3 сараар нэмэгдүүлсэн </w:t>
      </w:r>
      <w:r w:rsidRPr="004A68F2">
        <w:rPr>
          <w:rFonts w:ascii="Arial" w:hAnsi="Arial" w:cs="Arial"/>
          <w:szCs w:val="24"/>
          <w:lang w:val="mn-MN"/>
        </w:rPr>
        <w:t>зохицуулалтыг Нийгмийн даатгалын сангаас олгох тэтгэврийн тухай хуульд нарийвчлан тусгах нь зүйтэй.</w:t>
      </w:r>
    </w:p>
    <w:p w14:paraId="757E2784" w14:textId="77777777" w:rsidR="00C77346" w:rsidRPr="004A68F2" w:rsidRDefault="00C77346" w:rsidP="002C5654">
      <w:pPr>
        <w:spacing w:after="0" w:line="276" w:lineRule="auto"/>
        <w:ind w:firstLine="720"/>
        <w:rPr>
          <w:rFonts w:ascii="Arial" w:hAnsi="Arial" w:cs="Arial"/>
          <w:szCs w:val="24"/>
          <w:lang w:val="mn-MN"/>
        </w:rPr>
      </w:pPr>
    </w:p>
    <w:p w14:paraId="41F5771E" w14:textId="30BCEC2D" w:rsidR="00993A7B" w:rsidRPr="004A68F2" w:rsidRDefault="00993A7B" w:rsidP="00597F3B">
      <w:pPr>
        <w:spacing w:after="0" w:line="276" w:lineRule="auto"/>
        <w:ind w:firstLine="720"/>
        <w:rPr>
          <w:rFonts w:ascii="Arial" w:hAnsi="Arial" w:cs="Arial"/>
          <w:szCs w:val="24"/>
          <w:lang w:val="mn-MN"/>
        </w:rPr>
      </w:pPr>
      <w:r w:rsidRPr="004A68F2">
        <w:rPr>
          <w:rFonts w:ascii="Arial" w:hAnsi="Arial" w:cs="Arial"/>
          <w:szCs w:val="24"/>
          <w:lang w:val="mn-MN"/>
        </w:rPr>
        <w:t>Олон хүүхэдтэй эхийн нөхцөл, тэтгэврийг хөнгөлөлттэй тогтоох газрын доор, хөдөлмөрийн хортой, халуун, хүнд нөхцөлийн тэтгэвэр тогтоолгох даатгуулагчийн насыг жил бүр 3 сараар</w:t>
      </w:r>
      <w:r w:rsidR="00672082" w:rsidRPr="004A68F2">
        <w:rPr>
          <w:rFonts w:ascii="Arial" w:hAnsi="Arial" w:cs="Arial"/>
          <w:szCs w:val="24"/>
          <w:lang w:val="mn-MN"/>
        </w:rPr>
        <w:t xml:space="preserve"> нэмэгдүүлж 2 насаар</w:t>
      </w:r>
      <w:r w:rsidRPr="004A68F2">
        <w:rPr>
          <w:rFonts w:ascii="Arial" w:hAnsi="Arial" w:cs="Arial"/>
          <w:szCs w:val="24"/>
          <w:lang w:val="mn-MN"/>
        </w:rPr>
        <w:t xml:space="preserve">, </w:t>
      </w:r>
      <w:r w:rsidR="00672082" w:rsidRPr="004A68F2">
        <w:rPr>
          <w:rFonts w:ascii="Arial" w:hAnsi="Arial" w:cs="Arial"/>
          <w:szCs w:val="24"/>
          <w:lang w:val="mn-MN"/>
        </w:rPr>
        <w:t xml:space="preserve">бусад нөхцөлийн насыг жил бүр 3 сараар нэмэгдүүлж 5 насаар тус тус нэмэгдүүлэх, </w:t>
      </w:r>
      <w:r w:rsidRPr="004A68F2">
        <w:rPr>
          <w:rFonts w:ascii="Arial" w:hAnsi="Arial" w:cs="Arial"/>
          <w:szCs w:val="24"/>
          <w:lang w:val="mn-MN"/>
        </w:rPr>
        <w:t>төмөр замын цэрэгжүүлсэн хамгаалалтын албанд ажилласан нөхцөлийг хөдөлмөрийн хүнд нөхцөлд хамааруулах</w:t>
      </w:r>
      <w:r w:rsidR="00AC1B70" w:rsidRPr="004A68F2">
        <w:rPr>
          <w:rFonts w:ascii="Arial" w:hAnsi="Arial" w:cs="Arial"/>
          <w:szCs w:val="24"/>
          <w:lang w:val="mn-MN"/>
        </w:rPr>
        <w:t xml:space="preserve">, </w:t>
      </w:r>
      <w:r w:rsidR="00D8236C" w:rsidRPr="004A68F2">
        <w:rPr>
          <w:rFonts w:ascii="Arial" w:hAnsi="Arial" w:cs="Arial"/>
          <w:szCs w:val="24"/>
          <w:lang w:val="mn-MN"/>
        </w:rPr>
        <w:t>эрт тэтгэвэр тогтоолго</w:t>
      </w:r>
      <w:r w:rsidR="00305F08" w:rsidRPr="004A68F2">
        <w:rPr>
          <w:rFonts w:ascii="Arial" w:hAnsi="Arial" w:cs="Arial"/>
          <w:szCs w:val="24"/>
          <w:lang w:val="mn-MN"/>
        </w:rPr>
        <w:t xml:space="preserve">х даатгуулагч, </w:t>
      </w:r>
      <w:r w:rsidR="00D8236C" w:rsidRPr="004A68F2">
        <w:rPr>
          <w:rFonts w:ascii="Arial" w:hAnsi="Arial" w:cs="Arial"/>
          <w:szCs w:val="24"/>
          <w:lang w:val="mn-MN"/>
        </w:rPr>
        <w:t>хуул</w:t>
      </w:r>
      <w:r w:rsidR="00305F08" w:rsidRPr="004A68F2">
        <w:rPr>
          <w:rFonts w:ascii="Arial" w:hAnsi="Arial" w:cs="Arial"/>
          <w:szCs w:val="24"/>
          <w:lang w:val="mn-MN"/>
        </w:rPr>
        <w:t>ьд заасан</w:t>
      </w:r>
      <w:r w:rsidR="00D8236C" w:rsidRPr="004A68F2">
        <w:rPr>
          <w:rFonts w:ascii="Arial" w:hAnsi="Arial" w:cs="Arial"/>
          <w:szCs w:val="24"/>
          <w:lang w:val="mn-MN"/>
        </w:rPr>
        <w:t xml:space="preserve"> </w:t>
      </w:r>
      <w:r w:rsidR="00305F08" w:rsidRPr="004A68F2">
        <w:rPr>
          <w:rFonts w:ascii="Arial" w:hAnsi="Arial" w:cs="Arial"/>
          <w:szCs w:val="24"/>
          <w:lang w:val="mn-MN"/>
        </w:rPr>
        <w:t>насанд хүрээд</w:t>
      </w:r>
      <w:r w:rsidR="00D8236C" w:rsidRPr="004A68F2">
        <w:rPr>
          <w:rFonts w:ascii="Arial" w:hAnsi="Arial" w:cs="Arial"/>
          <w:szCs w:val="24"/>
          <w:lang w:val="mn-MN"/>
        </w:rPr>
        <w:t xml:space="preserve"> тэтгэвэр тогтоолго</w:t>
      </w:r>
      <w:r w:rsidR="00305F08" w:rsidRPr="004A68F2">
        <w:rPr>
          <w:rFonts w:ascii="Arial" w:hAnsi="Arial" w:cs="Arial"/>
          <w:szCs w:val="24"/>
          <w:lang w:val="mn-MN"/>
        </w:rPr>
        <w:t>х даатгуулагчийн</w:t>
      </w:r>
      <w:r w:rsidR="00D8236C" w:rsidRPr="004A68F2">
        <w:rPr>
          <w:rFonts w:ascii="Arial" w:hAnsi="Arial" w:cs="Arial"/>
          <w:szCs w:val="24"/>
          <w:lang w:val="mn-MN"/>
        </w:rPr>
        <w:t xml:space="preserve"> </w:t>
      </w:r>
      <w:r w:rsidR="00305F08" w:rsidRPr="004A68F2">
        <w:rPr>
          <w:rFonts w:ascii="Arial" w:hAnsi="Arial" w:cs="Arial"/>
          <w:szCs w:val="24"/>
          <w:lang w:val="mn-MN"/>
        </w:rPr>
        <w:t xml:space="preserve">тэтгэврийн бодолт </w:t>
      </w:r>
      <w:r w:rsidR="00D8236C" w:rsidRPr="004A68F2">
        <w:rPr>
          <w:rFonts w:ascii="Arial" w:hAnsi="Arial" w:cs="Arial"/>
          <w:szCs w:val="24"/>
          <w:lang w:val="mn-MN"/>
        </w:rPr>
        <w:t xml:space="preserve">ялгаатай </w:t>
      </w:r>
      <w:r w:rsidR="00C77346" w:rsidRPr="004A68F2">
        <w:rPr>
          <w:rFonts w:ascii="Arial" w:hAnsi="Arial" w:cs="Arial"/>
          <w:szCs w:val="24"/>
          <w:lang w:val="mn-MN"/>
        </w:rPr>
        <w:t>байх</w:t>
      </w:r>
      <w:r w:rsidR="00D8236C" w:rsidRPr="004A68F2">
        <w:rPr>
          <w:rFonts w:ascii="Arial" w:hAnsi="Arial" w:cs="Arial"/>
          <w:szCs w:val="24"/>
          <w:lang w:val="mn-MN"/>
        </w:rPr>
        <w:t xml:space="preserve"> </w:t>
      </w:r>
      <w:r w:rsidR="00305F08" w:rsidRPr="004A68F2">
        <w:rPr>
          <w:rFonts w:ascii="Arial" w:hAnsi="Arial"/>
          <w:szCs w:val="30"/>
          <w:lang w:val="mn-MN" w:bidi="mn-Mong-MN"/>
        </w:rPr>
        <w:t>(эрт тэтгэвэр тогтоолговол тэтгэврийн хэмжээ бага</w:t>
      </w:r>
      <w:r w:rsidR="00597F3B" w:rsidRPr="004A68F2">
        <w:rPr>
          <w:rFonts w:ascii="Arial" w:hAnsi="Arial"/>
          <w:szCs w:val="30"/>
          <w:lang w:val="mn-MN" w:bidi="mn-Mong-MN"/>
        </w:rPr>
        <w:t>, хуульд заасан насанд хүрээд тэтгэвэр тогтоолгох даатгуулагчийн хувьд тэтгэврийн хэмжээг тодорхой хувиар нэмэгдүүлдэг байх</w:t>
      </w:r>
      <w:r w:rsidR="00305F08" w:rsidRPr="004A68F2">
        <w:rPr>
          <w:rFonts w:ascii="Arial" w:hAnsi="Arial"/>
          <w:szCs w:val="30"/>
          <w:lang w:val="mn-MN" w:bidi="mn-Mong-MN"/>
        </w:rPr>
        <w:t xml:space="preserve">) </w:t>
      </w:r>
      <w:r w:rsidR="00D8236C" w:rsidRPr="004A68F2">
        <w:rPr>
          <w:rFonts w:ascii="Arial" w:hAnsi="Arial" w:cs="Arial"/>
          <w:szCs w:val="24"/>
          <w:lang w:val="mn-MN"/>
        </w:rPr>
        <w:t xml:space="preserve">тооцооллыг хийж, </w:t>
      </w:r>
      <w:r w:rsidR="00AC1B70" w:rsidRPr="004A68F2">
        <w:rPr>
          <w:rFonts w:ascii="Arial" w:hAnsi="Arial" w:cs="Arial"/>
          <w:szCs w:val="24"/>
          <w:lang w:val="mn-MN"/>
        </w:rPr>
        <w:t>өөрчлөлтийг хуульд тусгахыг зөвлөж байна.</w:t>
      </w:r>
    </w:p>
    <w:p w14:paraId="4B6F4B71" w14:textId="5F07DDB5" w:rsidR="00D12B6F" w:rsidRPr="004A68F2" w:rsidRDefault="00D12B6F" w:rsidP="002C5654">
      <w:pPr>
        <w:spacing w:after="0" w:line="276" w:lineRule="auto"/>
        <w:rPr>
          <w:rFonts w:ascii="Arial" w:hAnsi="Arial" w:cs="Arial"/>
          <w:b/>
          <w:bCs/>
          <w:szCs w:val="24"/>
          <w:lang w:val="mn-MN"/>
        </w:rPr>
      </w:pPr>
    </w:p>
    <w:p w14:paraId="562A7FCD" w14:textId="1C576125" w:rsidR="00282E43" w:rsidRPr="004A68F2" w:rsidRDefault="00282E43" w:rsidP="002C5654">
      <w:pPr>
        <w:spacing w:after="0" w:line="276" w:lineRule="auto"/>
        <w:ind w:firstLine="720"/>
        <w:rPr>
          <w:rFonts w:ascii="Arial" w:hAnsi="Arial" w:cs="Arial"/>
          <w:b/>
          <w:bCs/>
          <w:szCs w:val="24"/>
          <w:u w:val="single"/>
          <w:lang w:val="mn-MN"/>
        </w:rPr>
      </w:pPr>
      <w:r w:rsidRPr="004A68F2">
        <w:rPr>
          <w:rFonts w:ascii="Arial" w:hAnsi="Arial" w:cs="Arial"/>
          <w:b/>
          <w:bCs/>
          <w:szCs w:val="24"/>
          <w:lang w:val="mn-MN"/>
        </w:rPr>
        <w:t xml:space="preserve">Зөвлөмж </w:t>
      </w:r>
      <w:r w:rsidR="009812EC" w:rsidRPr="004A68F2">
        <w:rPr>
          <w:rFonts w:ascii="Arial" w:hAnsi="Arial" w:cs="Arial"/>
          <w:b/>
          <w:bCs/>
          <w:szCs w:val="24"/>
          <w:lang w:val="mn-MN"/>
        </w:rPr>
        <w:t>3</w:t>
      </w:r>
      <w:r w:rsidRPr="004A68F2">
        <w:rPr>
          <w:rFonts w:ascii="Arial" w:hAnsi="Arial" w:cs="Arial"/>
          <w:b/>
          <w:bCs/>
          <w:szCs w:val="24"/>
          <w:lang w:val="mn-MN"/>
        </w:rPr>
        <w:t xml:space="preserve">. </w:t>
      </w:r>
      <w:r w:rsidR="00D12B6F" w:rsidRPr="004A68F2">
        <w:rPr>
          <w:rFonts w:ascii="Arial" w:hAnsi="Arial" w:cs="Arial"/>
          <w:b/>
          <w:bCs/>
          <w:szCs w:val="24"/>
          <w:u w:val="single"/>
          <w:lang w:val="mn-MN"/>
        </w:rPr>
        <w:t xml:space="preserve">Нийгмийн даатгалын сангаас олгох тэтгэврийн тухай хуулийн 6 </w:t>
      </w:r>
      <w:r w:rsidR="00315FAD" w:rsidRPr="004A68F2">
        <w:rPr>
          <w:rFonts w:ascii="Arial" w:hAnsi="Arial" w:cs="Arial"/>
          <w:b/>
          <w:bCs/>
          <w:szCs w:val="24"/>
          <w:u w:val="single"/>
          <w:lang w:val="mn-MN"/>
        </w:rPr>
        <w:t>дугаар зүйл.</w:t>
      </w:r>
    </w:p>
    <w:p w14:paraId="5F3695B1" w14:textId="77777777" w:rsidR="009D6A57" w:rsidRPr="004A68F2" w:rsidRDefault="009D6A57" w:rsidP="002C5654">
      <w:pPr>
        <w:spacing w:after="0" w:line="276" w:lineRule="auto"/>
        <w:ind w:firstLine="720"/>
        <w:rPr>
          <w:rFonts w:ascii="Arial" w:hAnsi="Arial" w:cs="Arial"/>
          <w:b/>
          <w:bCs/>
          <w:szCs w:val="24"/>
          <w:u w:val="single"/>
          <w:lang w:val="mn-MN"/>
        </w:rPr>
      </w:pPr>
    </w:p>
    <w:p w14:paraId="04B12109" w14:textId="2B54CB8E" w:rsidR="009D6A57" w:rsidRPr="004A68F2" w:rsidRDefault="009D6A57" w:rsidP="009D6A57">
      <w:pPr>
        <w:spacing w:after="0" w:line="276" w:lineRule="auto"/>
        <w:ind w:firstLine="720"/>
        <w:rPr>
          <w:rFonts w:ascii="Arial" w:hAnsi="Arial" w:cs="Arial"/>
          <w:szCs w:val="24"/>
          <w:lang w:val="mn-MN"/>
        </w:rPr>
      </w:pPr>
      <w:r w:rsidRPr="004A68F2">
        <w:rPr>
          <w:rFonts w:ascii="Arial" w:hAnsi="Arial" w:cs="Arial"/>
          <w:szCs w:val="24"/>
          <w:lang w:val="mn-MN"/>
        </w:rPr>
        <w:t xml:space="preserve">Тэтгэврийн даатгалын эрх зүйн орчныг боловсронгуй болгох гол зорилго нь даатгуулагчид эрх тэгш, шударга, амьжиргаанд нь хүрэлцэхүйц хэмжээний тэтгэвэр олгох, тэтгэврийн </w:t>
      </w:r>
      <w:r w:rsidR="00CD5808" w:rsidRPr="004A68F2">
        <w:rPr>
          <w:rFonts w:ascii="Arial" w:hAnsi="Arial" w:cs="Arial"/>
          <w:szCs w:val="24"/>
          <w:lang w:val="mn-MN"/>
        </w:rPr>
        <w:t xml:space="preserve">даатгалын </w:t>
      </w:r>
      <w:r w:rsidRPr="004A68F2">
        <w:rPr>
          <w:rFonts w:ascii="Arial" w:hAnsi="Arial" w:cs="Arial"/>
          <w:szCs w:val="24"/>
          <w:lang w:val="mn-MN"/>
        </w:rPr>
        <w:t>сангийн санхүүгийн тогтвортой байх нөхцөлийг бүрдүүлэх, улсын төсвийн санхүүжилтийн хэмжээг бууруулах, даатгалд хамрагдах сонирхол, хөшүүргийг бий болгох, тэтгэврийн хэмжээг төлсөн шимтгэлтэй уялдуулах, тэтгэвэр тооцох аргачлалыг боловсронгуй болгох юм.</w:t>
      </w:r>
    </w:p>
    <w:p w14:paraId="56BD5989" w14:textId="485CD7A2" w:rsidR="00AC1B70" w:rsidRPr="004A68F2" w:rsidRDefault="00AC1B70" w:rsidP="002C5654">
      <w:pPr>
        <w:spacing w:after="0" w:line="276" w:lineRule="auto"/>
        <w:ind w:firstLine="720"/>
        <w:rPr>
          <w:rFonts w:ascii="Arial" w:hAnsi="Arial" w:cs="Arial"/>
          <w:szCs w:val="24"/>
          <w:lang w:val="mn-MN"/>
        </w:rPr>
      </w:pPr>
    </w:p>
    <w:p w14:paraId="3131A7BD" w14:textId="69F17B3B" w:rsidR="006A0441" w:rsidRPr="004A68F2" w:rsidRDefault="00AC1B70" w:rsidP="002C5654">
      <w:pPr>
        <w:spacing w:line="276" w:lineRule="auto"/>
        <w:ind w:firstLine="720"/>
        <w:rPr>
          <w:rFonts w:ascii="Arial" w:hAnsi="Arial" w:cs="Arial"/>
          <w:szCs w:val="24"/>
          <w:lang w:val="mn-MN"/>
        </w:rPr>
      </w:pPr>
      <w:r w:rsidRPr="004A68F2">
        <w:rPr>
          <w:rFonts w:ascii="Arial" w:hAnsi="Arial" w:cs="Arial"/>
          <w:szCs w:val="24"/>
          <w:lang w:val="mn-MN"/>
        </w:rPr>
        <w:t xml:space="preserve">Нэрийн дансны аргаар өндөр насны тэтгэврийг бодоход цалинд үндэслэсэн аргаар бодогдсон тэтгэврээс бага хэмжээний тэтгэвэр бодогдох, нөгөө талаас нэрийн дансны аргаар өндөр цалин хөлстэй даатгуулагчид таатай нөхцөлтэй тэтгэвэр тогтоогдохоор байгаа тул энэхүү аргыг өөрчлөхийг зөвлөж байна. </w:t>
      </w:r>
    </w:p>
    <w:p w14:paraId="1663AAFA" w14:textId="170C0405" w:rsidR="00993A7B" w:rsidRPr="004A68F2" w:rsidRDefault="00993A7B" w:rsidP="002C5654">
      <w:pPr>
        <w:spacing w:after="0" w:line="276" w:lineRule="auto"/>
        <w:ind w:firstLine="720"/>
        <w:rPr>
          <w:rFonts w:ascii="Arial" w:hAnsi="Arial" w:cs="Arial"/>
          <w:b/>
          <w:bCs/>
          <w:szCs w:val="24"/>
          <w:u w:val="single"/>
          <w:lang w:val="mn-MN"/>
        </w:rPr>
      </w:pPr>
      <w:r w:rsidRPr="004A68F2">
        <w:rPr>
          <w:rFonts w:ascii="Arial" w:hAnsi="Arial" w:cs="Arial"/>
          <w:b/>
          <w:bCs/>
          <w:szCs w:val="24"/>
          <w:lang w:val="mn-MN"/>
        </w:rPr>
        <w:t xml:space="preserve">Зөвлөмж </w:t>
      </w:r>
      <w:r w:rsidR="00AC1B70" w:rsidRPr="004A68F2">
        <w:rPr>
          <w:rFonts w:ascii="Arial" w:hAnsi="Arial" w:cs="Arial"/>
          <w:b/>
          <w:bCs/>
          <w:szCs w:val="24"/>
          <w:lang w:val="mn-MN"/>
        </w:rPr>
        <w:t>4</w:t>
      </w:r>
      <w:r w:rsidRPr="004A68F2">
        <w:rPr>
          <w:rFonts w:ascii="Arial" w:hAnsi="Arial" w:cs="Arial"/>
          <w:b/>
          <w:bCs/>
          <w:szCs w:val="24"/>
          <w:lang w:val="mn-MN"/>
        </w:rPr>
        <w:t xml:space="preserve">. </w:t>
      </w:r>
      <w:r w:rsidRPr="004A68F2">
        <w:rPr>
          <w:rFonts w:ascii="Arial" w:hAnsi="Arial" w:cs="Arial"/>
          <w:b/>
          <w:bCs/>
          <w:szCs w:val="24"/>
          <w:u w:val="single"/>
          <w:lang w:val="mn-MN"/>
        </w:rPr>
        <w:t xml:space="preserve">Нийгмийн даатгалын сангаас олгох тэтгэврийн тухай хуулийн </w:t>
      </w:r>
      <w:r w:rsidR="00421F52" w:rsidRPr="004A68F2">
        <w:rPr>
          <w:rFonts w:ascii="Arial" w:hAnsi="Arial" w:cs="Arial"/>
          <w:b/>
          <w:bCs/>
          <w:szCs w:val="24"/>
          <w:u w:val="single"/>
          <w:lang w:val="mn-MN"/>
        </w:rPr>
        <w:t>9 дүгээр</w:t>
      </w:r>
      <w:r w:rsidRPr="004A68F2">
        <w:rPr>
          <w:rFonts w:ascii="Arial" w:hAnsi="Arial" w:cs="Arial"/>
          <w:b/>
          <w:bCs/>
          <w:szCs w:val="24"/>
          <w:u w:val="single"/>
          <w:lang w:val="mn-MN"/>
        </w:rPr>
        <w:t xml:space="preserve"> зүйл.</w:t>
      </w:r>
    </w:p>
    <w:p w14:paraId="390DE1D2" w14:textId="25AA46C5" w:rsidR="00421F52" w:rsidRPr="004A68F2" w:rsidRDefault="00421F52" w:rsidP="002C5654">
      <w:pPr>
        <w:spacing w:after="0" w:line="276" w:lineRule="auto"/>
        <w:ind w:firstLine="720"/>
        <w:rPr>
          <w:rFonts w:ascii="Arial" w:hAnsi="Arial" w:cs="Arial"/>
          <w:szCs w:val="24"/>
          <w:lang w:val="mn-MN"/>
        </w:rPr>
      </w:pPr>
    </w:p>
    <w:p w14:paraId="16395846" w14:textId="247345F7" w:rsidR="00C77346" w:rsidRPr="004A68F2" w:rsidRDefault="00AC1B70" w:rsidP="00AB1460">
      <w:pPr>
        <w:spacing w:after="0" w:line="276" w:lineRule="auto"/>
        <w:ind w:firstLine="720"/>
        <w:rPr>
          <w:rFonts w:ascii="Arial" w:hAnsi="Arial" w:cs="Arial"/>
          <w:szCs w:val="24"/>
          <w:lang w:val="mn-MN"/>
        </w:rPr>
      </w:pPr>
      <w:r w:rsidRPr="004A68F2">
        <w:rPr>
          <w:rFonts w:ascii="Arial" w:hAnsi="Arial" w:cs="Arial"/>
          <w:szCs w:val="24"/>
          <w:lang w:val="mn-MN"/>
        </w:rPr>
        <w:t>Хуулийн хүрээнд</w:t>
      </w:r>
      <w:r w:rsidR="00D8236C" w:rsidRPr="004A68F2">
        <w:rPr>
          <w:rFonts w:ascii="Arial" w:hAnsi="Arial" w:cs="Arial"/>
          <w:szCs w:val="24"/>
          <w:lang w:val="mn-MN"/>
        </w:rPr>
        <w:t xml:space="preserve"> тусгай зохицуулалтад хам</w:t>
      </w:r>
      <w:r w:rsidR="00AB1460" w:rsidRPr="004A68F2">
        <w:rPr>
          <w:rFonts w:ascii="Arial" w:hAnsi="Arial" w:cs="Arial"/>
          <w:szCs w:val="24"/>
          <w:lang w:val="mn-MN"/>
        </w:rPr>
        <w:t>аа</w:t>
      </w:r>
      <w:r w:rsidR="00D8236C" w:rsidRPr="004A68F2">
        <w:rPr>
          <w:rFonts w:ascii="Arial" w:hAnsi="Arial" w:cs="Arial"/>
          <w:szCs w:val="24"/>
          <w:lang w:val="mn-MN"/>
        </w:rPr>
        <w:t>рах тэтгэвэр авагчийн</w:t>
      </w:r>
      <w:r w:rsidRPr="004A68F2">
        <w:rPr>
          <w:rFonts w:ascii="Arial" w:hAnsi="Arial" w:cs="Arial"/>
          <w:szCs w:val="24"/>
          <w:lang w:val="mn-MN"/>
        </w:rPr>
        <w:t xml:space="preserve"> тоо</w:t>
      </w:r>
      <w:r w:rsidR="00AB1460" w:rsidRPr="004A68F2">
        <w:rPr>
          <w:rFonts w:ascii="Arial" w:hAnsi="Arial" w:cs="Arial"/>
          <w:szCs w:val="24"/>
          <w:lang w:val="mn-MN"/>
        </w:rPr>
        <w:t>,</w:t>
      </w:r>
      <w:r w:rsidRPr="004A68F2">
        <w:rPr>
          <w:rFonts w:ascii="Arial" w:hAnsi="Arial" w:cs="Arial"/>
          <w:szCs w:val="24"/>
          <w:lang w:val="mn-MN"/>
        </w:rPr>
        <w:t xml:space="preserve"> тэтгэврийн </w:t>
      </w:r>
      <w:r w:rsidR="00AB1460" w:rsidRPr="004A68F2">
        <w:rPr>
          <w:rFonts w:ascii="Arial" w:hAnsi="Arial" w:cs="Arial"/>
          <w:szCs w:val="24"/>
          <w:lang w:val="mn-MN"/>
        </w:rPr>
        <w:t>хэмжээ</w:t>
      </w:r>
      <w:r w:rsidRPr="004A68F2">
        <w:rPr>
          <w:rFonts w:ascii="Arial" w:hAnsi="Arial" w:cs="Arial"/>
          <w:szCs w:val="24"/>
          <w:lang w:val="mn-MN"/>
        </w:rPr>
        <w:t xml:space="preserve"> нэмэгдэж бай</w:t>
      </w:r>
      <w:r w:rsidR="00D8236C" w:rsidRPr="004A68F2">
        <w:rPr>
          <w:rFonts w:ascii="Arial" w:hAnsi="Arial" w:cs="Arial"/>
          <w:szCs w:val="24"/>
          <w:lang w:val="mn-MN"/>
        </w:rPr>
        <w:t xml:space="preserve">на. </w:t>
      </w:r>
    </w:p>
    <w:p w14:paraId="645B13B5" w14:textId="77777777" w:rsidR="00AB1460" w:rsidRPr="004A68F2" w:rsidRDefault="00AB1460" w:rsidP="00AB1460">
      <w:pPr>
        <w:spacing w:after="0" w:line="276" w:lineRule="auto"/>
        <w:ind w:firstLine="720"/>
        <w:rPr>
          <w:rFonts w:ascii="Arial" w:hAnsi="Arial" w:cs="Arial"/>
          <w:szCs w:val="24"/>
          <w:lang w:val="mn-MN"/>
        </w:rPr>
      </w:pPr>
    </w:p>
    <w:p w14:paraId="165E4958" w14:textId="2F271F2D" w:rsidR="00D8236C" w:rsidRPr="004A68F2" w:rsidRDefault="00D8236C" w:rsidP="002C5654">
      <w:pPr>
        <w:spacing w:after="0" w:line="276" w:lineRule="auto"/>
        <w:ind w:firstLine="720"/>
        <w:rPr>
          <w:rFonts w:ascii="Arial" w:hAnsi="Arial" w:cs="Arial"/>
          <w:szCs w:val="24"/>
          <w:lang w:val="mn-MN"/>
        </w:rPr>
      </w:pPr>
      <w:r w:rsidRPr="004A68F2">
        <w:rPr>
          <w:rFonts w:ascii="Arial" w:hAnsi="Arial" w:cs="Arial"/>
          <w:szCs w:val="24"/>
          <w:lang w:val="mn-MN"/>
        </w:rPr>
        <w:t>Баталгаат тэтгэврийг бий болгосноор тэтгэврийн хэмжээ бодитой, тэтгэврийн худалдан авах чадвар сайжрах, 20 хувийн нэмэгдлийг өөрчлөн ганц бие</w:t>
      </w:r>
      <w:r w:rsidR="00094A4E" w:rsidRPr="004A68F2">
        <w:rPr>
          <w:rFonts w:ascii="Arial" w:hAnsi="Arial" w:cs="Arial"/>
          <w:szCs w:val="24"/>
          <w:lang w:val="mn-MN"/>
        </w:rPr>
        <w:t xml:space="preserve"> ахмад настан </w:t>
      </w:r>
      <w:r w:rsidRPr="004A68F2">
        <w:rPr>
          <w:rFonts w:ascii="Arial" w:hAnsi="Arial" w:cs="Arial"/>
          <w:szCs w:val="24"/>
          <w:lang w:val="mn-MN"/>
        </w:rPr>
        <w:t xml:space="preserve"> тэтгэвэр авагчийн тэтгэврийн хэмжээ</w:t>
      </w:r>
      <w:r w:rsidR="00C77346" w:rsidRPr="004A68F2">
        <w:rPr>
          <w:rFonts w:ascii="Arial" w:hAnsi="Arial" w:cs="Arial"/>
          <w:szCs w:val="24"/>
          <w:lang w:val="mn-MN"/>
        </w:rPr>
        <w:t>г</w:t>
      </w:r>
      <w:r w:rsidRPr="004A68F2">
        <w:rPr>
          <w:rFonts w:ascii="Arial" w:hAnsi="Arial" w:cs="Arial"/>
          <w:szCs w:val="24"/>
          <w:lang w:val="mn-MN"/>
        </w:rPr>
        <w:t xml:space="preserve"> </w:t>
      </w:r>
      <w:r w:rsidR="00C77346" w:rsidRPr="004A68F2">
        <w:rPr>
          <w:rFonts w:ascii="Arial" w:hAnsi="Arial" w:cs="Arial"/>
          <w:szCs w:val="24"/>
          <w:lang w:val="mn-MN"/>
        </w:rPr>
        <w:t>нэмэгдүүлэх</w:t>
      </w:r>
      <w:r w:rsidRPr="004A68F2">
        <w:rPr>
          <w:rFonts w:ascii="Arial" w:hAnsi="Arial" w:cs="Arial"/>
          <w:szCs w:val="24"/>
          <w:lang w:val="mn-MN"/>
        </w:rPr>
        <w:t xml:space="preserve"> </w:t>
      </w:r>
      <w:r w:rsidR="00540EE1" w:rsidRPr="004A68F2">
        <w:rPr>
          <w:rFonts w:ascii="Arial" w:hAnsi="Arial" w:cs="Arial"/>
          <w:szCs w:val="24"/>
          <w:lang w:val="mn-MN"/>
        </w:rPr>
        <w:t xml:space="preserve">талаар </w:t>
      </w:r>
      <w:r w:rsidRPr="004A68F2">
        <w:rPr>
          <w:rFonts w:ascii="Arial" w:hAnsi="Arial" w:cs="Arial"/>
          <w:szCs w:val="24"/>
          <w:lang w:val="mn-MN"/>
        </w:rPr>
        <w:t>холбогдох тооцоо судалгааг хийж, хуульд өөрчлөлт оруулах</w:t>
      </w:r>
      <w:r w:rsidR="00540EE1" w:rsidRPr="004A68F2">
        <w:rPr>
          <w:rFonts w:ascii="Arial" w:hAnsi="Arial" w:cs="Arial"/>
          <w:szCs w:val="24"/>
          <w:lang w:val="mn-MN"/>
        </w:rPr>
        <w:t xml:space="preserve"> саналыг гаргаж</w:t>
      </w:r>
      <w:r w:rsidRPr="004A68F2">
        <w:rPr>
          <w:rFonts w:ascii="Arial" w:hAnsi="Arial" w:cs="Arial"/>
          <w:szCs w:val="24"/>
          <w:lang w:val="mn-MN"/>
        </w:rPr>
        <w:t xml:space="preserve"> байна.</w:t>
      </w:r>
    </w:p>
    <w:p w14:paraId="2D19429C" w14:textId="609609EE" w:rsidR="00513046" w:rsidRPr="004A68F2" w:rsidRDefault="00513046" w:rsidP="002C5654">
      <w:pPr>
        <w:spacing w:after="0" w:line="276" w:lineRule="auto"/>
        <w:ind w:firstLine="720"/>
        <w:rPr>
          <w:rFonts w:ascii="Arial" w:hAnsi="Arial" w:cs="Arial"/>
          <w:szCs w:val="24"/>
          <w:lang w:val="mn-MN"/>
        </w:rPr>
      </w:pPr>
    </w:p>
    <w:p w14:paraId="2FAB6329" w14:textId="23BC2253" w:rsidR="00AC1B70" w:rsidRPr="004A68F2" w:rsidRDefault="00AC1B70" w:rsidP="002C5654">
      <w:pPr>
        <w:spacing w:after="0" w:line="276" w:lineRule="auto"/>
        <w:ind w:firstLine="720"/>
        <w:rPr>
          <w:rFonts w:ascii="Arial" w:hAnsi="Arial" w:cs="Arial"/>
          <w:b/>
          <w:bCs/>
          <w:szCs w:val="24"/>
          <w:u w:val="single"/>
          <w:lang w:val="mn-MN"/>
        </w:rPr>
      </w:pPr>
      <w:r w:rsidRPr="004A68F2">
        <w:rPr>
          <w:rFonts w:ascii="Arial" w:hAnsi="Arial" w:cs="Arial"/>
          <w:b/>
          <w:bCs/>
          <w:szCs w:val="24"/>
          <w:lang w:val="mn-MN"/>
        </w:rPr>
        <w:t xml:space="preserve">Зөвлөмж 5. </w:t>
      </w:r>
      <w:r w:rsidRPr="004A68F2">
        <w:rPr>
          <w:rFonts w:ascii="Arial" w:hAnsi="Arial" w:cs="Arial"/>
          <w:b/>
          <w:bCs/>
          <w:szCs w:val="24"/>
          <w:u w:val="single"/>
          <w:lang w:val="mn-MN"/>
        </w:rPr>
        <w:t>Нийгмийн даатгалын сангаас олгох тэтгэврийн тухай хуулийн 20 дугаар зүйл.</w:t>
      </w:r>
    </w:p>
    <w:p w14:paraId="3460A259" w14:textId="23B9A544" w:rsidR="00D055AD" w:rsidRPr="004A68F2" w:rsidRDefault="00D055AD" w:rsidP="009D6A57">
      <w:pPr>
        <w:spacing w:after="0" w:line="276" w:lineRule="auto"/>
        <w:rPr>
          <w:rFonts w:ascii="Arial" w:hAnsi="Arial" w:cs="Arial"/>
          <w:szCs w:val="24"/>
          <w:lang w:val="mn-MN"/>
        </w:rPr>
      </w:pPr>
    </w:p>
    <w:p w14:paraId="5D07F3C9" w14:textId="484DCEFF" w:rsidR="00AC1B70" w:rsidRPr="004A68F2" w:rsidRDefault="00D055AD" w:rsidP="002C5654">
      <w:pPr>
        <w:spacing w:after="0" w:line="276" w:lineRule="auto"/>
        <w:ind w:firstLine="720"/>
        <w:rPr>
          <w:rFonts w:ascii="Arial" w:hAnsi="Arial" w:cs="Arial"/>
          <w:szCs w:val="24"/>
          <w:lang w:val="mn-MN"/>
        </w:rPr>
      </w:pPr>
      <w:r w:rsidRPr="004A68F2">
        <w:rPr>
          <w:rFonts w:ascii="Arial" w:hAnsi="Arial" w:cs="Arial"/>
          <w:szCs w:val="24"/>
          <w:lang w:val="mn-MN"/>
        </w:rPr>
        <w:t>Д</w:t>
      </w:r>
      <w:r w:rsidR="00AC1B70" w:rsidRPr="004A68F2">
        <w:rPr>
          <w:rFonts w:ascii="Arial" w:hAnsi="Arial" w:cs="Arial"/>
          <w:szCs w:val="24"/>
          <w:lang w:val="mn-MN"/>
        </w:rPr>
        <w:t xml:space="preserve">аатгуулагчийн тэтгэвэр </w:t>
      </w:r>
      <w:r w:rsidR="00AC1B70" w:rsidRPr="004A68F2">
        <w:rPr>
          <w:rFonts w:ascii="Arial" w:hAnsi="Arial" w:cs="Arial"/>
          <w:szCs w:val="24"/>
          <w:shd w:val="clear" w:color="auto" w:fill="FFFFFF"/>
          <w:lang w:val="mn-MN"/>
        </w:rPr>
        <w:t>тогтоолгох сарын дундаж цалин хөлс, түүнтэй адилтгах орлогыг тодорхойлохдоо</w:t>
      </w:r>
      <w:r w:rsidRPr="004A68F2">
        <w:rPr>
          <w:rFonts w:ascii="Arial" w:hAnsi="Arial" w:cs="Arial"/>
          <w:szCs w:val="24"/>
          <w:shd w:val="clear" w:color="auto" w:fill="FFFFFF"/>
          <w:lang w:val="mn-MN"/>
        </w:rPr>
        <w:t>:</w:t>
      </w:r>
      <w:r w:rsidR="00AB1460" w:rsidRPr="004A68F2">
        <w:rPr>
          <w:rFonts w:ascii="Arial" w:hAnsi="Arial" w:cs="Arial"/>
          <w:szCs w:val="24"/>
          <w:shd w:val="clear" w:color="auto" w:fill="FFFFFF"/>
          <w:lang w:val="mn-MN"/>
        </w:rPr>
        <w:t xml:space="preserve"> Тухайн д</w:t>
      </w:r>
      <w:r w:rsidR="00AC1B70" w:rsidRPr="004A68F2">
        <w:rPr>
          <w:rFonts w:ascii="Arial" w:hAnsi="Arial" w:cs="Arial"/>
          <w:szCs w:val="24"/>
          <w:shd w:val="clear" w:color="auto" w:fill="FFFFFF"/>
          <w:lang w:val="mn-MN"/>
        </w:rPr>
        <w:t>аатгуулагчийн тэтгэврийн даатгалын шимтгэл төлсөн тэтгэвэр тогтоолгохын өмнөх хугацааны цалин хөлс</w:t>
      </w:r>
      <w:r w:rsidR="00D8236C" w:rsidRPr="004A68F2">
        <w:rPr>
          <w:rFonts w:ascii="Arial" w:hAnsi="Arial" w:cs="Arial"/>
          <w:szCs w:val="24"/>
          <w:shd w:val="clear" w:color="auto" w:fill="FFFFFF"/>
          <w:lang w:val="mn-MN"/>
        </w:rPr>
        <w:t>ний дунд</w:t>
      </w:r>
      <w:r w:rsidR="00AC1B70" w:rsidRPr="004A68F2">
        <w:rPr>
          <w:rFonts w:ascii="Arial" w:hAnsi="Arial" w:cs="Arial"/>
          <w:szCs w:val="24"/>
          <w:shd w:val="clear" w:color="auto" w:fill="FFFFFF"/>
          <w:lang w:val="mn-MN"/>
        </w:rPr>
        <w:t xml:space="preserve">жаас тооцох </w:t>
      </w:r>
      <w:r w:rsidR="00AC1B70" w:rsidRPr="004A68F2">
        <w:rPr>
          <w:rFonts w:ascii="Arial" w:hAnsi="Arial" w:cs="Arial"/>
          <w:szCs w:val="24"/>
          <w:lang w:val="mn-MN"/>
        </w:rPr>
        <w:t xml:space="preserve">зохицуулалтыг </w:t>
      </w:r>
      <w:r w:rsidR="002C5654" w:rsidRPr="004A68F2">
        <w:rPr>
          <w:rFonts w:ascii="Arial" w:hAnsi="Arial" w:cs="Arial"/>
          <w:szCs w:val="24"/>
          <w:lang w:val="mn-MN"/>
        </w:rPr>
        <w:t>үе шаттайгаар</w:t>
      </w:r>
      <w:r w:rsidRPr="004A68F2">
        <w:rPr>
          <w:rFonts w:ascii="Arial" w:hAnsi="Arial" w:cs="Arial"/>
          <w:szCs w:val="24"/>
          <w:lang w:val="mn-MN"/>
        </w:rPr>
        <w:t xml:space="preserve"> </w:t>
      </w:r>
      <w:r w:rsidRPr="004A68F2">
        <w:rPr>
          <w:rFonts w:ascii="Arial" w:hAnsi="Arial" w:cs="Arial"/>
          <w:szCs w:val="24"/>
          <w:shd w:val="clear" w:color="auto" w:fill="FFFFFF"/>
          <w:lang w:val="mn-MN" w:bidi="mn-Mong-MN"/>
        </w:rPr>
        <w:t xml:space="preserve">(2027 онд 6 жил, цаашид 10 жилд хүргэх) </w:t>
      </w:r>
      <w:r w:rsidR="002C5654" w:rsidRPr="004A68F2">
        <w:rPr>
          <w:rFonts w:ascii="Arial" w:hAnsi="Arial" w:cs="Arial"/>
          <w:szCs w:val="24"/>
          <w:lang w:val="mn-MN"/>
        </w:rPr>
        <w:t xml:space="preserve">нэмэгдүүлэх талаар тооцоо, судалгаа хийж, </w:t>
      </w:r>
      <w:r w:rsidR="00AC1B70" w:rsidRPr="004A68F2">
        <w:rPr>
          <w:rFonts w:ascii="Arial" w:hAnsi="Arial" w:cs="Arial"/>
          <w:szCs w:val="24"/>
          <w:lang w:val="mn-MN"/>
        </w:rPr>
        <w:t xml:space="preserve">хуульд </w:t>
      </w:r>
      <w:r w:rsidR="002C5654" w:rsidRPr="004A68F2">
        <w:rPr>
          <w:rFonts w:ascii="Arial" w:hAnsi="Arial" w:cs="Arial"/>
          <w:szCs w:val="24"/>
          <w:lang w:val="mn-MN"/>
        </w:rPr>
        <w:t xml:space="preserve">өөрчлөлт оруулах </w:t>
      </w:r>
      <w:r w:rsidR="005C6061" w:rsidRPr="004A68F2">
        <w:rPr>
          <w:rFonts w:ascii="Arial" w:hAnsi="Arial" w:cs="Arial"/>
          <w:szCs w:val="24"/>
          <w:lang w:val="mn-MN"/>
        </w:rPr>
        <w:t xml:space="preserve">саналыг гаргаж </w:t>
      </w:r>
      <w:r w:rsidR="00D8236C" w:rsidRPr="004A68F2">
        <w:rPr>
          <w:rFonts w:ascii="Arial" w:hAnsi="Arial" w:cs="Arial"/>
          <w:szCs w:val="24"/>
          <w:lang w:val="mn-MN"/>
        </w:rPr>
        <w:t>байна</w:t>
      </w:r>
      <w:r w:rsidR="00AC1B70" w:rsidRPr="004A68F2">
        <w:rPr>
          <w:rFonts w:ascii="Arial" w:hAnsi="Arial" w:cs="Arial"/>
          <w:szCs w:val="24"/>
          <w:lang w:val="mn-MN"/>
        </w:rPr>
        <w:t>.</w:t>
      </w:r>
    </w:p>
    <w:p w14:paraId="7216484D" w14:textId="77777777" w:rsidR="00315FAD" w:rsidRPr="004A68F2" w:rsidRDefault="00315FAD" w:rsidP="002C5654">
      <w:pPr>
        <w:spacing w:line="276" w:lineRule="auto"/>
        <w:jc w:val="left"/>
        <w:rPr>
          <w:rFonts w:ascii="Arial" w:hAnsi="Arial" w:cs="Arial"/>
          <w:szCs w:val="24"/>
          <w:lang w:val="mn-MN"/>
        </w:rPr>
      </w:pPr>
      <w:r w:rsidRPr="004A68F2">
        <w:rPr>
          <w:rFonts w:ascii="Arial" w:hAnsi="Arial" w:cs="Arial"/>
          <w:szCs w:val="24"/>
          <w:lang w:val="mn-MN"/>
        </w:rPr>
        <w:br w:type="page"/>
      </w:r>
    </w:p>
    <w:p w14:paraId="307F1B21" w14:textId="7C96A027" w:rsidR="001D6678" w:rsidRDefault="00423ECC" w:rsidP="002C5654">
      <w:pPr>
        <w:pStyle w:val="Heading1"/>
        <w:spacing w:before="0" w:line="276" w:lineRule="auto"/>
        <w:rPr>
          <w:rFonts w:ascii="Arial" w:hAnsi="Arial" w:cs="Arial"/>
          <w:sz w:val="24"/>
          <w:szCs w:val="24"/>
          <w:u w:val="none"/>
          <w:lang w:val="mn-MN"/>
        </w:rPr>
      </w:pPr>
      <w:bookmarkStart w:id="18" w:name="_Toc196842526"/>
      <w:r w:rsidRPr="004A68F2">
        <w:rPr>
          <w:rFonts w:ascii="Arial" w:hAnsi="Arial" w:cs="Arial"/>
          <w:sz w:val="24"/>
          <w:szCs w:val="24"/>
          <w:u w:val="none"/>
          <w:lang w:val="mn-MN"/>
        </w:rPr>
        <w:t>АШИГЛАСАН ЭХ СУРВАЛЖ</w:t>
      </w:r>
      <w:bookmarkEnd w:id="18"/>
      <w:r w:rsidRPr="004A68F2">
        <w:rPr>
          <w:rFonts w:ascii="Arial" w:hAnsi="Arial" w:cs="Arial"/>
          <w:sz w:val="24"/>
          <w:szCs w:val="24"/>
          <w:u w:val="none"/>
          <w:lang w:val="mn-MN"/>
        </w:rPr>
        <w:t xml:space="preserve"> </w:t>
      </w:r>
    </w:p>
    <w:p w14:paraId="398AE364" w14:textId="77777777" w:rsidR="00CB679E" w:rsidRPr="00CB679E" w:rsidRDefault="00CB679E" w:rsidP="00CB679E">
      <w:pPr>
        <w:rPr>
          <w:lang w:val="mn-MN"/>
        </w:rPr>
      </w:pPr>
    </w:p>
    <w:p w14:paraId="57643DBE" w14:textId="20424A79" w:rsidR="00423ECC" w:rsidRDefault="00423ECC" w:rsidP="002C5654">
      <w:pPr>
        <w:spacing w:after="0" w:line="276" w:lineRule="auto"/>
        <w:rPr>
          <w:rFonts w:ascii="Arial" w:hAnsi="Arial" w:cs="Arial"/>
          <w:b/>
          <w:bCs/>
          <w:szCs w:val="24"/>
          <w:lang w:val="mn-MN"/>
        </w:rPr>
      </w:pPr>
      <w:r w:rsidRPr="004A68F2">
        <w:rPr>
          <w:rFonts w:ascii="Arial" w:hAnsi="Arial" w:cs="Arial"/>
          <w:b/>
          <w:bCs/>
          <w:szCs w:val="24"/>
          <w:lang w:val="mn-MN"/>
        </w:rPr>
        <w:t>Хууль, эрх зүйн акт</w:t>
      </w:r>
    </w:p>
    <w:p w14:paraId="640C5FED" w14:textId="77777777" w:rsidR="00315FAD" w:rsidRPr="004A68F2" w:rsidRDefault="00315FAD" w:rsidP="002C5654">
      <w:pPr>
        <w:spacing w:after="0" w:line="276" w:lineRule="auto"/>
        <w:rPr>
          <w:rFonts w:ascii="Arial" w:hAnsi="Arial" w:cs="Arial"/>
          <w:b/>
          <w:bCs/>
          <w:szCs w:val="24"/>
          <w:lang w:val="mn-MN"/>
        </w:rPr>
      </w:pPr>
      <w:r w:rsidRPr="004A68F2">
        <w:rPr>
          <w:rFonts w:ascii="Arial" w:hAnsi="Arial" w:cs="Arial"/>
          <w:b/>
          <w:bCs/>
          <w:szCs w:val="24"/>
          <w:lang w:val="mn-MN"/>
        </w:rPr>
        <w:t xml:space="preserve">Нэг. Монгол Улсын хууль тогтоомж: </w:t>
      </w:r>
    </w:p>
    <w:p w14:paraId="2FE048D3" w14:textId="77777777" w:rsidR="00F64618" w:rsidRPr="004A68F2" w:rsidRDefault="00315FAD" w:rsidP="002C5654">
      <w:pPr>
        <w:pStyle w:val="ListParagraph"/>
        <w:numPr>
          <w:ilvl w:val="0"/>
          <w:numId w:val="21"/>
        </w:numPr>
        <w:spacing w:after="0" w:line="276" w:lineRule="auto"/>
        <w:ind w:left="426" w:firstLine="0"/>
        <w:rPr>
          <w:rFonts w:ascii="Arial" w:hAnsi="Arial" w:cs="Arial"/>
          <w:szCs w:val="24"/>
          <w:lang w:val="mn-MN"/>
        </w:rPr>
      </w:pPr>
      <w:r w:rsidRPr="004A68F2">
        <w:rPr>
          <w:rFonts w:ascii="Arial" w:hAnsi="Arial" w:cs="Arial"/>
          <w:szCs w:val="24"/>
          <w:lang w:val="mn-MN"/>
        </w:rPr>
        <w:t xml:space="preserve">Монгол Улсын Үндсэн хууль, 1992 </w:t>
      </w:r>
    </w:p>
    <w:p w14:paraId="2CE6C115" w14:textId="77777777" w:rsidR="00F64618" w:rsidRPr="004A68F2" w:rsidRDefault="00315FAD" w:rsidP="002C5654">
      <w:pPr>
        <w:pStyle w:val="ListParagraph"/>
        <w:numPr>
          <w:ilvl w:val="0"/>
          <w:numId w:val="21"/>
        </w:numPr>
        <w:spacing w:after="0" w:line="276" w:lineRule="auto"/>
        <w:ind w:left="426" w:firstLine="0"/>
        <w:rPr>
          <w:rFonts w:ascii="Arial" w:hAnsi="Arial" w:cs="Arial"/>
          <w:szCs w:val="24"/>
          <w:lang w:val="mn-MN"/>
        </w:rPr>
      </w:pPr>
      <w:r w:rsidRPr="004A68F2">
        <w:rPr>
          <w:rFonts w:ascii="Arial" w:hAnsi="Arial" w:cs="Arial"/>
          <w:szCs w:val="24"/>
          <w:lang w:val="mn-MN"/>
        </w:rPr>
        <w:t>Нийгмийн даатгалын ерөнхий хууль, 2023</w:t>
      </w:r>
    </w:p>
    <w:p w14:paraId="7884FCD4" w14:textId="77777777" w:rsidR="00F64618" w:rsidRPr="004A68F2" w:rsidRDefault="00315FAD" w:rsidP="002C5654">
      <w:pPr>
        <w:pStyle w:val="ListParagraph"/>
        <w:numPr>
          <w:ilvl w:val="0"/>
          <w:numId w:val="21"/>
        </w:numPr>
        <w:spacing w:after="0" w:line="276" w:lineRule="auto"/>
        <w:ind w:left="426" w:firstLine="0"/>
        <w:rPr>
          <w:rFonts w:ascii="Arial" w:hAnsi="Arial" w:cs="Arial"/>
          <w:szCs w:val="24"/>
          <w:lang w:val="mn-MN"/>
        </w:rPr>
      </w:pPr>
      <w:r w:rsidRPr="004A68F2">
        <w:rPr>
          <w:rFonts w:ascii="Arial" w:hAnsi="Arial" w:cs="Arial"/>
          <w:szCs w:val="24"/>
          <w:lang w:val="mn-MN"/>
        </w:rPr>
        <w:t>Нийгмийн даатгалын сангаас олгох тэтгэврийн тухай хууль, 2023</w:t>
      </w:r>
    </w:p>
    <w:p w14:paraId="018CCA6E" w14:textId="61A0FFDF" w:rsidR="00315FAD" w:rsidRPr="004A68F2" w:rsidRDefault="00315FAD" w:rsidP="002C5654">
      <w:pPr>
        <w:pStyle w:val="ListParagraph"/>
        <w:numPr>
          <w:ilvl w:val="0"/>
          <w:numId w:val="21"/>
        </w:numPr>
        <w:spacing w:after="0" w:line="276" w:lineRule="auto"/>
        <w:ind w:left="709" w:hanging="283"/>
        <w:rPr>
          <w:rFonts w:ascii="Arial" w:hAnsi="Arial" w:cs="Arial"/>
          <w:szCs w:val="24"/>
          <w:lang w:val="mn-MN"/>
        </w:rPr>
      </w:pPr>
      <w:r w:rsidRPr="004A68F2">
        <w:rPr>
          <w:rFonts w:ascii="Arial" w:hAnsi="Arial" w:cs="Arial"/>
          <w:szCs w:val="24"/>
          <w:lang w:val="mn-MN"/>
        </w:rPr>
        <w:t>Засгийн газрын 2023 оны 450 дугаар тогтоолоор баталсан “Тэтгэвэр тогтоолгох, тэтгэврийн хэмжээг өөрчлөхөд бүрдүүлэх баримт бичгийн жагсаалт, тэтгэвэр олгох журам”, 2023</w:t>
      </w:r>
    </w:p>
    <w:p w14:paraId="113E9317" w14:textId="77777777" w:rsidR="00315FAD" w:rsidRPr="004A68F2" w:rsidRDefault="00315FAD" w:rsidP="002C5654">
      <w:pPr>
        <w:spacing w:after="0" w:line="276" w:lineRule="auto"/>
        <w:rPr>
          <w:rFonts w:ascii="Arial" w:hAnsi="Arial" w:cs="Arial"/>
          <w:b/>
          <w:bCs/>
          <w:szCs w:val="24"/>
          <w:lang w:val="mn-MN"/>
        </w:rPr>
      </w:pPr>
      <w:r w:rsidRPr="004A68F2">
        <w:rPr>
          <w:rFonts w:ascii="Arial" w:hAnsi="Arial" w:cs="Arial"/>
          <w:b/>
          <w:bCs/>
          <w:szCs w:val="24"/>
          <w:lang w:val="mn-MN"/>
        </w:rPr>
        <w:t xml:space="preserve">Хоёр. Бодлогын баримт бичиг: </w:t>
      </w:r>
    </w:p>
    <w:p w14:paraId="6644C1AF" w14:textId="77777777" w:rsidR="00F64618" w:rsidRPr="004A68F2" w:rsidRDefault="00315FAD" w:rsidP="002C5654">
      <w:pPr>
        <w:pStyle w:val="ListParagraph"/>
        <w:numPr>
          <w:ilvl w:val="0"/>
          <w:numId w:val="22"/>
        </w:numPr>
        <w:spacing w:after="0" w:line="276" w:lineRule="auto"/>
        <w:ind w:left="567" w:hanging="141"/>
        <w:rPr>
          <w:rFonts w:ascii="Arial" w:hAnsi="Arial" w:cs="Arial"/>
          <w:szCs w:val="24"/>
          <w:lang w:val="mn-MN"/>
        </w:rPr>
      </w:pPr>
      <w:r w:rsidRPr="004A68F2">
        <w:rPr>
          <w:rFonts w:ascii="Arial" w:hAnsi="Arial" w:cs="Arial"/>
          <w:szCs w:val="24"/>
          <w:lang w:val="mn-MN"/>
        </w:rPr>
        <w:t xml:space="preserve">“Алсын хараа-2050” Монгол Улсын урт хугацааны хөгжлийн бодлого, 2020 </w:t>
      </w:r>
    </w:p>
    <w:p w14:paraId="6B52A543" w14:textId="77777777" w:rsidR="00F64618"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Монгол Улсын Их Хурлын 2020 оны 23 дугаар тогтоолын 1 дүгээр хавсралтаар баталсан “Монгол Улсыг 2021-2025 онд хөгжүүлэх таван жилийн үндсэн чиглэл”, 2020</w:t>
      </w:r>
    </w:p>
    <w:p w14:paraId="0ADB7A04" w14:textId="77777777" w:rsidR="00F64618"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Монгол Улсын Их Хурлын 2024 оны 21 дүгээр тогтоолын 1 дүгээр хавсралтаар баталсан “Монгол Улсын Засгийн газрын 2024-2028 оны үйл ажиллагааны хөтөлбөр”, 2024</w:t>
      </w:r>
    </w:p>
    <w:p w14:paraId="77F81B6E" w14:textId="3A55DBBB" w:rsidR="00315FAD"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Монгол Улсын Их Хурлын 2015 оны 53 дугаар тогтоолоор баталсан “Төрөөс тэтгэврийн шинэчлэлийн талаар баримтлах бодлого (2015-2030)”, 2015</w:t>
      </w:r>
    </w:p>
    <w:p w14:paraId="56666D98" w14:textId="77777777" w:rsidR="00315FAD" w:rsidRPr="004A68F2" w:rsidRDefault="00315FAD" w:rsidP="002C5654">
      <w:pPr>
        <w:pStyle w:val="ListParagraph"/>
        <w:spacing w:after="0" w:line="276" w:lineRule="auto"/>
        <w:ind w:left="0"/>
        <w:rPr>
          <w:rFonts w:ascii="Arial" w:hAnsi="Arial" w:cs="Arial"/>
          <w:szCs w:val="24"/>
          <w:lang w:val="mn-MN"/>
        </w:rPr>
      </w:pPr>
      <w:r w:rsidRPr="004A68F2">
        <w:rPr>
          <w:rFonts w:ascii="Arial" w:hAnsi="Arial" w:cs="Arial"/>
          <w:b/>
          <w:bCs/>
          <w:szCs w:val="24"/>
          <w:lang w:val="mn-MN"/>
        </w:rPr>
        <w:t xml:space="preserve">Гурав. Судалгааны тайлан: </w:t>
      </w:r>
    </w:p>
    <w:p w14:paraId="4A801815" w14:textId="0509FE93" w:rsidR="00F64618"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“Нийгмийн даатгалын холбогдолтой эрх зүйн актын эмхэтгэл</w:t>
      </w:r>
      <w:r w:rsidR="00CB679E">
        <w:rPr>
          <w:rFonts w:ascii="Arial" w:hAnsi="Arial" w:cs="Arial"/>
          <w:szCs w:val="24"/>
          <w:lang w:val="mn-MN"/>
        </w:rPr>
        <w:t xml:space="preserve"> </w:t>
      </w:r>
      <w:r w:rsidRPr="004A68F2">
        <w:rPr>
          <w:rFonts w:ascii="Arial" w:hAnsi="Arial" w:cs="Arial"/>
          <w:szCs w:val="24"/>
          <w:lang w:val="mn-MN"/>
        </w:rPr>
        <w:t>”УНДЕГ УБ, 1995, 1997, 2000, 2005, 2007, 2008, 2012, 2016, 2021</w:t>
      </w:r>
    </w:p>
    <w:p w14:paraId="03C3CC6A" w14:textId="77777777" w:rsidR="00F64618"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“Pension reform” Robert Holzmann, Edward Palmer, World bank 2006</w:t>
      </w:r>
    </w:p>
    <w:p w14:paraId="0126A555" w14:textId="77777777" w:rsidR="00F64618"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“Social security pensions” Colin Gillion, John Turner, Clive Bailey, Denis Latuipe ILO, Geneva 2011</w:t>
      </w:r>
    </w:p>
    <w:p w14:paraId="3A71FD6D" w14:textId="77777777" w:rsidR="00F64618"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“Нийгмийн даатгалын тухай эрх зүйн актууд” НДЕГ УБ, “Бит пресс” ХХК, 2013</w:t>
      </w:r>
    </w:p>
    <w:p w14:paraId="4107302D" w14:textId="77777777" w:rsidR="00F64618"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“Шимтгэлтэй дүйцэх татаастай тэтгэврийн хөтөлбөрүүд” Дэлхийн банк УБ, “Хөх монгол принтинг” ХХК, 2015</w:t>
      </w:r>
      <w:r w:rsidRPr="004A68F2">
        <w:rPr>
          <w:rFonts w:ascii="Arial" w:hAnsi="Arial" w:cs="Arial"/>
          <w:szCs w:val="24"/>
          <w:lang w:val="mn-MN"/>
        </w:rPr>
        <w:tab/>
      </w:r>
      <w:r w:rsidRPr="004A68F2">
        <w:rPr>
          <w:rFonts w:ascii="Arial" w:hAnsi="Arial" w:cs="Arial"/>
          <w:szCs w:val="24"/>
          <w:lang w:val="mn-MN"/>
        </w:rPr>
        <w:tab/>
      </w:r>
    </w:p>
    <w:p w14:paraId="107C2F92" w14:textId="77777777" w:rsidR="00F64618"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“Тэтгэврийн шинэчлэлийн үндсэн ойлголтууд цуврал-Тэтгэврийн тогтолцооны тухай үндсэн үзэл баримтлалууд” Дэлхийн банк УБ, 2012</w:t>
      </w:r>
    </w:p>
    <w:p w14:paraId="35CF8BE0" w14:textId="77777777" w:rsidR="00F64618"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“Тэтгэврийн шинэчлэлийн үндсэн ойлголтууд цуврал-Баталгаа” Дэлхийн банк УБ, 2012</w:t>
      </w:r>
    </w:p>
    <w:p w14:paraId="19E6B329" w14:textId="77777777" w:rsidR="00F64618"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“Тэтгэврийн шинэчлэлийн үндсэн ойлголтууд цуврал-Тэтгэврийн даатгалд хамрагдалт”</w:t>
      </w:r>
      <w:r w:rsidRPr="004A68F2">
        <w:rPr>
          <w:rFonts w:ascii="Arial" w:hAnsi="Arial" w:cs="Arial"/>
          <w:szCs w:val="24"/>
          <w:lang w:val="mn-MN"/>
        </w:rPr>
        <w:tab/>
        <w:t xml:space="preserve">Дэлхийн банк УБ, 2012    </w:t>
      </w:r>
    </w:p>
    <w:p w14:paraId="6F5BD109" w14:textId="77777777" w:rsidR="00F64618"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 xml:space="preserve">“Нийгмийн даатгалын статистикийн эмхэтгэл” НДЕГ, УБ, “Мөнхийн үсэг” ХХК, 2012  </w:t>
      </w:r>
      <w:r w:rsidRPr="004A68F2">
        <w:rPr>
          <w:rFonts w:ascii="Arial" w:hAnsi="Arial" w:cs="Arial"/>
          <w:szCs w:val="24"/>
          <w:lang w:val="mn-MN"/>
        </w:rPr>
        <w:tab/>
      </w:r>
    </w:p>
    <w:p w14:paraId="2E791AA0" w14:textId="77777777" w:rsidR="00F64618"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 xml:space="preserve">“Тэтгэврийн тогтолцооны шинэчлэлийн талаарх олон улсын туршлага, сургамж” 2015, </w:t>
      </w:r>
    </w:p>
    <w:p w14:paraId="79FF3767" w14:textId="77777777" w:rsidR="00F64618"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 xml:space="preserve">”Тэтгэврийн шинэчлэлийн бодлогын хувилбарууд” 2017,”Монгол улсын тэтгэврийн даатгалын тогтолцоонд богино болон дунд хугацаанд хийх параметрийн өөрчлөлтийн хувилбарууд” 2018, 2021 Марк </w:t>
      </w:r>
      <w:proofErr w:type="spellStart"/>
      <w:r w:rsidRPr="004A68F2">
        <w:rPr>
          <w:rFonts w:ascii="Arial" w:hAnsi="Arial" w:cs="Arial"/>
          <w:szCs w:val="24"/>
          <w:lang w:val="mn-MN"/>
        </w:rPr>
        <w:t>Дорфман</w:t>
      </w:r>
      <w:proofErr w:type="spellEnd"/>
      <w:r w:rsidRPr="004A68F2">
        <w:rPr>
          <w:rFonts w:ascii="Arial" w:hAnsi="Arial" w:cs="Arial"/>
          <w:szCs w:val="24"/>
          <w:lang w:val="mn-MN"/>
        </w:rPr>
        <w:t xml:space="preserve">, Ахлах эдийн засагч, Дэлхийн банк. </w:t>
      </w:r>
    </w:p>
    <w:p w14:paraId="3D553FAB" w14:textId="03EB6E9D" w:rsidR="00315FAD" w:rsidRPr="004A68F2" w:rsidRDefault="00315FAD" w:rsidP="002C5654">
      <w:pPr>
        <w:pStyle w:val="ListParagraph"/>
        <w:numPr>
          <w:ilvl w:val="0"/>
          <w:numId w:val="22"/>
        </w:numPr>
        <w:spacing w:after="0" w:line="276" w:lineRule="auto"/>
        <w:ind w:left="709" w:hanging="283"/>
        <w:rPr>
          <w:rFonts w:ascii="Arial" w:hAnsi="Arial" w:cs="Arial"/>
          <w:szCs w:val="24"/>
          <w:lang w:val="mn-MN"/>
        </w:rPr>
      </w:pPr>
      <w:r w:rsidRPr="004A68F2">
        <w:rPr>
          <w:rFonts w:ascii="Arial" w:hAnsi="Arial" w:cs="Arial"/>
          <w:szCs w:val="24"/>
          <w:lang w:val="mn-MN"/>
        </w:rPr>
        <w:t xml:space="preserve">Дэлхийн банк, </w:t>
      </w:r>
      <w:proofErr w:type="spellStart"/>
      <w:r w:rsidRPr="004A68F2">
        <w:rPr>
          <w:rFonts w:ascii="Arial" w:hAnsi="Arial" w:cs="Arial"/>
          <w:szCs w:val="24"/>
          <w:lang w:val="mn-MN"/>
        </w:rPr>
        <w:t>Каллунд</w:t>
      </w:r>
      <w:proofErr w:type="spellEnd"/>
      <w:r w:rsidRPr="004A68F2">
        <w:rPr>
          <w:rFonts w:ascii="Arial" w:hAnsi="Arial" w:cs="Arial"/>
          <w:szCs w:val="24"/>
          <w:lang w:val="mn-MN"/>
        </w:rPr>
        <w:t xml:space="preserve"> Консалтинг компанийн </w:t>
      </w:r>
      <w:proofErr w:type="spellStart"/>
      <w:r w:rsidRPr="004A68F2">
        <w:rPr>
          <w:rFonts w:ascii="Arial" w:hAnsi="Arial" w:cs="Arial"/>
          <w:szCs w:val="24"/>
          <w:lang w:val="mn-MN"/>
        </w:rPr>
        <w:t>Актуарч</w:t>
      </w:r>
      <w:proofErr w:type="spellEnd"/>
      <w:r w:rsidRPr="004A68F2">
        <w:rPr>
          <w:rFonts w:ascii="Arial" w:hAnsi="Arial" w:cs="Arial"/>
          <w:szCs w:val="24"/>
          <w:lang w:val="mn-MN"/>
        </w:rPr>
        <w:t xml:space="preserve"> </w:t>
      </w:r>
      <w:proofErr w:type="spellStart"/>
      <w:r w:rsidRPr="004A68F2">
        <w:rPr>
          <w:rFonts w:ascii="Arial" w:hAnsi="Arial" w:cs="Arial"/>
          <w:szCs w:val="24"/>
          <w:lang w:val="mn-MN"/>
        </w:rPr>
        <w:t>Кеннет</w:t>
      </w:r>
      <w:proofErr w:type="spellEnd"/>
      <w:r w:rsidRPr="004A68F2">
        <w:rPr>
          <w:rFonts w:ascii="Arial" w:hAnsi="Arial" w:cs="Arial"/>
          <w:szCs w:val="24"/>
          <w:lang w:val="mn-MN"/>
        </w:rPr>
        <w:t xml:space="preserve"> </w:t>
      </w:r>
      <w:proofErr w:type="spellStart"/>
      <w:r w:rsidRPr="004A68F2">
        <w:rPr>
          <w:rFonts w:ascii="Arial" w:hAnsi="Arial" w:cs="Arial"/>
          <w:szCs w:val="24"/>
          <w:lang w:val="mn-MN"/>
        </w:rPr>
        <w:t>Дональдсон</w:t>
      </w:r>
      <w:proofErr w:type="spellEnd"/>
      <w:r w:rsidRPr="004A68F2">
        <w:rPr>
          <w:rFonts w:ascii="Arial" w:hAnsi="Arial" w:cs="Arial"/>
          <w:szCs w:val="24"/>
          <w:lang w:val="mn-MN"/>
        </w:rPr>
        <w:t xml:space="preserve">, эдийн засагч </w:t>
      </w:r>
      <w:proofErr w:type="spellStart"/>
      <w:r w:rsidRPr="004A68F2">
        <w:rPr>
          <w:rFonts w:ascii="Arial" w:hAnsi="Arial" w:cs="Arial"/>
          <w:szCs w:val="24"/>
          <w:lang w:val="mn-MN"/>
        </w:rPr>
        <w:t>Матиас</w:t>
      </w:r>
      <w:proofErr w:type="spellEnd"/>
      <w:r w:rsidRPr="004A68F2">
        <w:rPr>
          <w:rFonts w:ascii="Arial" w:hAnsi="Arial" w:cs="Arial"/>
          <w:szCs w:val="24"/>
          <w:lang w:val="mn-MN"/>
        </w:rPr>
        <w:t xml:space="preserve"> </w:t>
      </w:r>
      <w:proofErr w:type="spellStart"/>
      <w:r w:rsidRPr="004A68F2">
        <w:rPr>
          <w:rFonts w:ascii="Arial" w:hAnsi="Arial" w:cs="Arial"/>
          <w:szCs w:val="24"/>
          <w:lang w:val="mn-MN"/>
        </w:rPr>
        <w:t>Зиб</w:t>
      </w:r>
      <w:proofErr w:type="spellEnd"/>
      <w:r w:rsidRPr="004A68F2">
        <w:rPr>
          <w:rFonts w:ascii="Arial" w:hAnsi="Arial" w:cs="Arial"/>
          <w:szCs w:val="24"/>
          <w:lang w:val="mn-MN"/>
        </w:rPr>
        <w:t xml:space="preserve"> нарын 2019 оны “Судалгааны үр дүнгийн тайлан, зөвлөмж”</w:t>
      </w:r>
    </w:p>
    <w:p w14:paraId="459EC608" w14:textId="77777777" w:rsidR="00315FAD" w:rsidRPr="004A68F2" w:rsidRDefault="00315FAD" w:rsidP="002C5654">
      <w:pPr>
        <w:spacing w:after="0" w:line="276" w:lineRule="auto"/>
        <w:rPr>
          <w:rFonts w:ascii="Arial" w:hAnsi="Arial" w:cs="Arial"/>
          <w:b/>
          <w:bCs/>
          <w:szCs w:val="24"/>
          <w:lang w:val="mn-MN"/>
        </w:rPr>
      </w:pPr>
      <w:r w:rsidRPr="004A68F2">
        <w:rPr>
          <w:rFonts w:ascii="Arial" w:hAnsi="Arial" w:cs="Arial"/>
          <w:b/>
          <w:bCs/>
          <w:szCs w:val="24"/>
          <w:lang w:val="mn-MN"/>
        </w:rPr>
        <w:t>Дөрөв. Цахим эх сурвалж:</w:t>
      </w:r>
    </w:p>
    <w:p w14:paraId="475BAA32" w14:textId="77777777" w:rsidR="00F64618" w:rsidRPr="004A68F2" w:rsidRDefault="00B5769A" w:rsidP="002C5654">
      <w:pPr>
        <w:pStyle w:val="ListParagraph"/>
        <w:numPr>
          <w:ilvl w:val="0"/>
          <w:numId w:val="42"/>
        </w:numPr>
        <w:spacing w:after="0" w:line="276" w:lineRule="auto"/>
        <w:ind w:left="709" w:hanging="283"/>
        <w:rPr>
          <w:rFonts w:ascii="Arial" w:hAnsi="Arial" w:cs="Arial"/>
          <w:szCs w:val="24"/>
          <w:lang w:val="mn-MN"/>
        </w:rPr>
      </w:pPr>
      <w:hyperlink r:id="rId10" w:history="1">
        <w:r w:rsidR="00315FAD" w:rsidRPr="004A68F2">
          <w:rPr>
            <w:rStyle w:val="Hyperlink"/>
            <w:rFonts w:ascii="Arial" w:hAnsi="Arial" w:cs="Arial"/>
            <w:szCs w:val="24"/>
            <w:lang w:val="mn-MN"/>
          </w:rPr>
          <w:t>www.legalinfo.mn</w:t>
        </w:r>
      </w:hyperlink>
      <w:r w:rsidR="00315FAD" w:rsidRPr="004A68F2">
        <w:rPr>
          <w:rFonts w:ascii="Arial" w:hAnsi="Arial" w:cs="Arial"/>
          <w:szCs w:val="24"/>
          <w:lang w:val="mn-MN"/>
        </w:rPr>
        <w:t xml:space="preserve">  </w:t>
      </w:r>
    </w:p>
    <w:p w14:paraId="6190FA97" w14:textId="0A821D10" w:rsidR="009F0350" w:rsidRPr="004A68F2" w:rsidRDefault="00B5769A" w:rsidP="002C5654">
      <w:pPr>
        <w:pStyle w:val="ListParagraph"/>
        <w:numPr>
          <w:ilvl w:val="0"/>
          <w:numId w:val="42"/>
        </w:numPr>
        <w:spacing w:after="0" w:line="276" w:lineRule="auto"/>
        <w:ind w:left="709" w:hanging="283"/>
        <w:rPr>
          <w:rFonts w:ascii="Arial" w:hAnsi="Arial" w:cs="Arial"/>
          <w:szCs w:val="24"/>
          <w:lang w:val="mn-MN"/>
        </w:rPr>
      </w:pPr>
      <w:hyperlink r:id="rId11" w:history="1">
        <w:r w:rsidR="00315FAD" w:rsidRPr="004A68F2">
          <w:rPr>
            <w:rStyle w:val="Hyperlink"/>
            <w:rFonts w:ascii="Arial" w:hAnsi="Arial" w:cs="Arial"/>
            <w:szCs w:val="24"/>
            <w:lang w:val="mn-MN"/>
          </w:rPr>
          <w:t>www.1212.mn</w:t>
        </w:r>
      </w:hyperlink>
    </w:p>
    <w:sectPr w:rsidR="009F0350" w:rsidRPr="004A68F2" w:rsidSect="009640BB">
      <w:footerReference w:type="default" r:id="rId12"/>
      <w:type w:val="continuous"/>
      <w:pgSz w:w="12240" w:h="15840"/>
      <w:pgMar w:top="1134" w:right="104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7D03" w14:textId="77777777" w:rsidR="00B5769A" w:rsidRDefault="00B5769A" w:rsidP="00EF0B45">
      <w:pPr>
        <w:spacing w:after="0" w:line="240" w:lineRule="auto"/>
      </w:pPr>
      <w:r>
        <w:separator/>
      </w:r>
    </w:p>
  </w:endnote>
  <w:endnote w:type="continuationSeparator" w:id="0">
    <w:p w14:paraId="2B4FB068" w14:textId="77777777" w:rsidR="00B5769A" w:rsidRDefault="00B5769A" w:rsidP="00EF0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408624"/>
      <w:docPartObj>
        <w:docPartGallery w:val="Page Numbers (Bottom of Page)"/>
        <w:docPartUnique/>
      </w:docPartObj>
    </w:sdtPr>
    <w:sdtEndPr>
      <w:rPr>
        <w:noProof/>
      </w:rPr>
    </w:sdtEndPr>
    <w:sdtContent>
      <w:p w14:paraId="13A9BB12" w14:textId="281853FF" w:rsidR="00C74C79" w:rsidRDefault="00C74C79">
        <w:pPr>
          <w:pStyle w:val="Footer"/>
          <w:jc w:val="right"/>
        </w:pPr>
        <w:r>
          <w:fldChar w:fldCharType="begin"/>
        </w:r>
        <w:r>
          <w:instrText xml:space="preserve"> PAGE   \* MERGEFORMAT </w:instrText>
        </w:r>
        <w:r>
          <w:fldChar w:fldCharType="separate"/>
        </w:r>
        <w:r w:rsidR="00F030EA">
          <w:rPr>
            <w:noProof/>
          </w:rPr>
          <w:t>24</w:t>
        </w:r>
        <w:r>
          <w:rPr>
            <w:noProof/>
          </w:rPr>
          <w:fldChar w:fldCharType="end"/>
        </w:r>
      </w:p>
    </w:sdtContent>
  </w:sdt>
  <w:p w14:paraId="757202CC" w14:textId="77777777" w:rsidR="00C74C79" w:rsidRDefault="00C74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328C1" w14:textId="77777777" w:rsidR="00B5769A" w:rsidRDefault="00B5769A" w:rsidP="00EF0B45">
      <w:pPr>
        <w:spacing w:after="0" w:line="240" w:lineRule="auto"/>
      </w:pPr>
      <w:r>
        <w:separator/>
      </w:r>
    </w:p>
  </w:footnote>
  <w:footnote w:type="continuationSeparator" w:id="0">
    <w:p w14:paraId="2947F9D6" w14:textId="77777777" w:rsidR="00B5769A" w:rsidRDefault="00B5769A" w:rsidP="00EF0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EF9"/>
    <w:multiLevelType w:val="hybridMultilevel"/>
    <w:tmpl w:val="D974F9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2332"/>
    <w:multiLevelType w:val="multilevel"/>
    <w:tmpl w:val="A75640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70DED"/>
    <w:multiLevelType w:val="hybridMultilevel"/>
    <w:tmpl w:val="8E74A0F8"/>
    <w:lvl w:ilvl="0" w:tplc="15F8211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85DA3"/>
    <w:multiLevelType w:val="hybridMultilevel"/>
    <w:tmpl w:val="0C128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E18DF"/>
    <w:multiLevelType w:val="hybridMultilevel"/>
    <w:tmpl w:val="A6E41B56"/>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62B2571"/>
    <w:multiLevelType w:val="hybridMultilevel"/>
    <w:tmpl w:val="2BA2588E"/>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A555848"/>
    <w:multiLevelType w:val="hybridMultilevel"/>
    <w:tmpl w:val="2182E6DA"/>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D16043"/>
    <w:multiLevelType w:val="hybridMultilevel"/>
    <w:tmpl w:val="5FAA67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92B39"/>
    <w:multiLevelType w:val="hybridMultilevel"/>
    <w:tmpl w:val="D2C8E322"/>
    <w:lvl w:ilvl="0" w:tplc="199AA54C">
      <w:start w:val="1"/>
      <w:numFmt w:val="decimal"/>
      <w:lvlText w:val="1.%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300742"/>
    <w:multiLevelType w:val="multilevel"/>
    <w:tmpl w:val="8EC45CD8"/>
    <w:lvl w:ilvl="0">
      <w:start w:val="1"/>
      <w:numFmt w:val="decimal"/>
      <w:lvlText w:val="%1."/>
      <w:lvlJc w:val="left"/>
      <w:pPr>
        <w:ind w:left="450" w:hanging="360"/>
      </w:pPr>
      <w:rPr>
        <w:b w:val="0"/>
        <w:bCs w:val="0"/>
      </w:rPr>
    </w:lvl>
    <w:lvl w:ilvl="1">
      <w:start w:val="2"/>
      <w:numFmt w:val="decimal"/>
      <w:isLgl/>
      <w:lvlText w:val="%1.%2."/>
      <w:lvlJc w:val="left"/>
      <w:pPr>
        <w:ind w:left="510" w:hanging="4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0" w15:restartNumberingAfterBreak="0">
    <w:nsid w:val="219C19C5"/>
    <w:multiLevelType w:val="hybridMultilevel"/>
    <w:tmpl w:val="93E40D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AB3B2D"/>
    <w:multiLevelType w:val="hybridMultilevel"/>
    <w:tmpl w:val="EAEC02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74E3C"/>
    <w:multiLevelType w:val="hybridMultilevel"/>
    <w:tmpl w:val="129C35C4"/>
    <w:lvl w:ilvl="0" w:tplc="FFFFFFF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28882DC2"/>
    <w:multiLevelType w:val="hybridMultilevel"/>
    <w:tmpl w:val="3198E4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8338F5"/>
    <w:multiLevelType w:val="hybridMultilevel"/>
    <w:tmpl w:val="B2B439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243A1"/>
    <w:multiLevelType w:val="hybridMultilevel"/>
    <w:tmpl w:val="6924F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16" w15:restartNumberingAfterBreak="0">
    <w:nsid w:val="3B3C208C"/>
    <w:multiLevelType w:val="hybridMultilevel"/>
    <w:tmpl w:val="ABFEC2E4"/>
    <w:lvl w:ilvl="0" w:tplc="157CB6E2">
      <w:start w:val="1"/>
      <w:numFmt w:val="decimal"/>
      <w:lvlText w:val="1.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35071"/>
    <w:multiLevelType w:val="hybridMultilevel"/>
    <w:tmpl w:val="79647CD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1476D"/>
    <w:multiLevelType w:val="hybridMultilevel"/>
    <w:tmpl w:val="B13495C0"/>
    <w:lvl w:ilvl="0" w:tplc="964C774A">
      <w:start w:val="1"/>
      <w:numFmt w:val="decimal"/>
      <w:lvlText w:val="НЭГ.%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C1175"/>
    <w:multiLevelType w:val="hybridMultilevel"/>
    <w:tmpl w:val="B558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F3E9D"/>
    <w:multiLevelType w:val="multilevel"/>
    <w:tmpl w:val="4FA4C344"/>
    <w:lvl w:ilvl="0">
      <w:start w:val="1"/>
      <w:numFmt w:val="decimal"/>
      <w:lvlText w:val="%1."/>
      <w:lvlJc w:val="left"/>
      <w:pPr>
        <w:ind w:left="360" w:hanging="360"/>
      </w:pPr>
      <w:rPr>
        <w:rFonts w:ascii="Arial" w:eastAsiaTheme="minorHAnsi" w:hAnsi="Arial" w:cs="Arial"/>
        <w:b w:val="0"/>
        <w:bCs w:val="0"/>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D9928E0"/>
    <w:multiLevelType w:val="hybridMultilevel"/>
    <w:tmpl w:val="B044CC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32495D"/>
    <w:multiLevelType w:val="multilevel"/>
    <w:tmpl w:val="73980B30"/>
    <w:lvl w:ilvl="0">
      <w:start w:val="1"/>
      <w:numFmt w:val="decimal"/>
      <w:lvlText w:val="%1."/>
      <w:lvlJc w:val="left"/>
      <w:pPr>
        <w:ind w:left="90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3" w15:restartNumberingAfterBreak="0">
    <w:nsid w:val="511A11D6"/>
    <w:multiLevelType w:val="multilevel"/>
    <w:tmpl w:val="FB045C6E"/>
    <w:lvl w:ilvl="0">
      <w:start w:val="1"/>
      <w:numFmt w:val="decimal"/>
      <w:lvlText w:val="%1."/>
      <w:lvlJc w:val="left"/>
      <w:pPr>
        <w:ind w:left="63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4" w15:restartNumberingAfterBreak="0">
    <w:nsid w:val="571E5471"/>
    <w:multiLevelType w:val="hybridMultilevel"/>
    <w:tmpl w:val="6DB059A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7118B"/>
    <w:multiLevelType w:val="hybridMultilevel"/>
    <w:tmpl w:val="7466F6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F113DF"/>
    <w:multiLevelType w:val="hybridMultilevel"/>
    <w:tmpl w:val="1022289C"/>
    <w:lvl w:ilvl="0" w:tplc="199AA54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74E27"/>
    <w:multiLevelType w:val="hybridMultilevel"/>
    <w:tmpl w:val="DC2AB10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5DE14DF9"/>
    <w:multiLevelType w:val="multilevel"/>
    <w:tmpl w:val="FB045C6E"/>
    <w:lvl w:ilvl="0">
      <w:start w:val="1"/>
      <w:numFmt w:val="decimal"/>
      <w:lvlText w:val="%1."/>
      <w:lvlJc w:val="left"/>
      <w:pPr>
        <w:ind w:left="63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9" w15:restartNumberingAfterBreak="0">
    <w:nsid w:val="60AE37E0"/>
    <w:multiLevelType w:val="hybridMultilevel"/>
    <w:tmpl w:val="83D88CD0"/>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C749DF"/>
    <w:multiLevelType w:val="hybridMultilevel"/>
    <w:tmpl w:val="7A92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F06DE3"/>
    <w:multiLevelType w:val="hybridMultilevel"/>
    <w:tmpl w:val="0CE2B3AC"/>
    <w:lvl w:ilvl="0" w:tplc="AD948D7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166CF"/>
    <w:multiLevelType w:val="multilevel"/>
    <w:tmpl w:val="A75640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650019"/>
    <w:multiLevelType w:val="hybridMultilevel"/>
    <w:tmpl w:val="E3163F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6C61D7"/>
    <w:multiLevelType w:val="multilevel"/>
    <w:tmpl w:val="A75640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853EEB"/>
    <w:multiLevelType w:val="multilevel"/>
    <w:tmpl w:val="D850F902"/>
    <w:lvl w:ilvl="0">
      <w:start w:val="3"/>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6" w15:restartNumberingAfterBreak="0">
    <w:nsid w:val="6B1D1189"/>
    <w:multiLevelType w:val="hybridMultilevel"/>
    <w:tmpl w:val="D326F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E5598"/>
    <w:multiLevelType w:val="hybridMultilevel"/>
    <w:tmpl w:val="D2188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6C2D44"/>
    <w:multiLevelType w:val="multilevel"/>
    <w:tmpl w:val="FB045C6E"/>
    <w:lvl w:ilvl="0">
      <w:start w:val="1"/>
      <w:numFmt w:val="decimal"/>
      <w:lvlText w:val="%1."/>
      <w:lvlJc w:val="left"/>
      <w:pPr>
        <w:ind w:left="63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9" w15:restartNumberingAfterBreak="0">
    <w:nsid w:val="77000EAE"/>
    <w:multiLevelType w:val="hybridMultilevel"/>
    <w:tmpl w:val="B2E6C37E"/>
    <w:lvl w:ilvl="0" w:tplc="964C774A">
      <w:start w:val="1"/>
      <w:numFmt w:val="decimal"/>
      <w:lvlText w:val="НЭГ.%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800C08"/>
    <w:multiLevelType w:val="hybridMultilevel"/>
    <w:tmpl w:val="A1D4D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D815D3"/>
    <w:multiLevelType w:val="hybridMultilevel"/>
    <w:tmpl w:val="E272BC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1"/>
  </w:num>
  <w:num w:numId="3">
    <w:abstractNumId w:val="3"/>
  </w:num>
  <w:num w:numId="4">
    <w:abstractNumId w:val="39"/>
  </w:num>
  <w:num w:numId="5">
    <w:abstractNumId w:val="18"/>
  </w:num>
  <w:num w:numId="6">
    <w:abstractNumId w:val="30"/>
  </w:num>
  <w:num w:numId="7">
    <w:abstractNumId w:val="8"/>
  </w:num>
  <w:num w:numId="8">
    <w:abstractNumId w:val="0"/>
  </w:num>
  <w:num w:numId="9">
    <w:abstractNumId w:val="16"/>
  </w:num>
  <w:num w:numId="10">
    <w:abstractNumId w:val="40"/>
  </w:num>
  <w:num w:numId="11">
    <w:abstractNumId w:val="37"/>
  </w:num>
  <w:num w:numId="12">
    <w:abstractNumId w:val="9"/>
  </w:num>
  <w:num w:numId="13">
    <w:abstractNumId w:val="24"/>
  </w:num>
  <w:num w:numId="14">
    <w:abstractNumId w:val="26"/>
  </w:num>
  <w:num w:numId="15">
    <w:abstractNumId w:val="23"/>
  </w:num>
  <w:num w:numId="16">
    <w:abstractNumId w:val="12"/>
  </w:num>
  <w:num w:numId="17">
    <w:abstractNumId w:val="19"/>
  </w:num>
  <w:num w:numId="18">
    <w:abstractNumId w:val="34"/>
  </w:num>
  <w:num w:numId="19">
    <w:abstractNumId w:val="1"/>
  </w:num>
  <w:num w:numId="20">
    <w:abstractNumId w:val="15"/>
  </w:num>
  <w:num w:numId="21">
    <w:abstractNumId w:val="41"/>
  </w:num>
  <w:num w:numId="22">
    <w:abstractNumId w:val="29"/>
  </w:num>
  <w:num w:numId="23">
    <w:abstractNumId w:val="10"/>
  </w:num>
  <w:num w:numId="24">
    <w:abstractNumId w:val="6"/>
  </w:num>
  <w:num w:numId="25">
    <w:abstractNumId w:val="32"/>
  </w:num>
  <w:num w:numId="26">
    <w:abstractNumId w:val="38"/>
  </w:num>
  <w:num w:numId="27">
    <w:abstractNumId w:val="36"/>
  </w:num>
  <w:num w:numId="28">
    <w:abstractNumId w:val="28"/>
  </w:num>
  <w:num w:numId="29">
    <w:abstractNumId w:val="20"/>
  </w:num>
  <w:num w:numId="30">
    <w:abstractNumId w:val="7"/>
  </w:num>
  <w:num w:numId="31">
    <w:abstractNumId w:val="22"/>
  </w:num>
  <w:num w:numId="32">
    <w:abstractNumId w:val="17"/>
  </w:num>
  <w:num w:numId="33">
    <w:abstractNumId w:val="27"/>
  </w:num>
  <w:num w:numId="34">
    <w:abstractNumId w:val="5"/>
  </w:num>
  <w:num w:numId="35">
    <w:abstractNumId w:val="4"/>
  </w:num>
  <w:num w:numId="36">
    <w:abstractNumId w:val="14"/>
  </w:num>
  <w:num w:numId="37">
    <w:abstractNumId w:val="35"/>
  </w:num>
  <w:num w:numId="38">
    <w:abstractNumId w:val="31"/>
  </w:num>
  <w:num w:numId="39">
    <w:abstractNumId w:val="2"/>
  </w:num>
  <w:num w:numId="40">
    <w:abstractNumId w:val="25"/>
  </w:num>
  <w:num w:numId="41">
    <w:abstractNumId w:val="3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26"/>
    <w:rsid w:val="000242A8"/>
    <w:rsid w:val="00030B7E"/>
    <w:rsid w:val="000460B4"/>
    <w:rsid w:val="0004617A"/>
    <w:rsid w:val="0005541B"/>
    <w:rsid w:val="000651EA"/>
    <w:rsid w:val="000720AA"/>
    <w:rsid w:val="00090183"/>
    <w:rsid w:val="0009022C"/>
    <w:rsid w:val="00091E0B"/>
    <w:rsid w:val="0009233A"/>
    <w:rsid w:val="00094A4E"/>
    <w:rsid w:val="000A0C74"/>
    <w:rsid w:val="000B2876"/>
    <w:rsid w:val="000C6A3E"/>
    <w:rsid w:val="000D19AE"/>
    <w:rsid w:val="000E6EDD"/>
    <w:rsid w:val="00101331"/>
    <w:rsid w:val="00122F90"/>
    <w:rsid w:val="001256F6"/>
    <w:rsid w:val="00126D53"/>
    <w:rsid w:val="00130CC9"/>
    <w:rsid w:val="00132774"/>
    <w:rsid w:val="00137B47"/>
    <w:rsid w:val="00137E10"/>
    <w:rsid w:val="0014465F"/>
    <w:rsid w:val="001561D9"/>
    <w:rsid w:val="00164EBF"/>
    <w:rsid w:val="00165C93"/>
    <w:rsid w:val="00171097"/>
    <w:rsid w:val="0018254C"/>
    <w:rsid w:val="00190A85"/>
    <w:rsid w:val="00190D90"/>
    <w:rsid w:val="001A4B5D"/>
    <w:rsid w:val="001B0372"/>
    <w:rsid w:val="001B2E05"/>
    <w:rsid w:val="001D6678"/>
    <w:rsid w:val="001E1E19"/>
    <w:rsid w:val="001E678C"/>
    <w:rsid w:val="001E7860"/>
    <w:rsid w:val="001F4A98"/>
    <w:rsid w:val="002370FB"/>
    <w:rsid w:val="00250C72"/>
    <w:rsid w:val="00251426"/>
    <w:rsid w:val="00262AA2"/>
    <w:rsid w:val="00264A5D"/>
    <w:rsid w:val="0026793E"/>
    <w:rsid w:val="002811E2"/>
    <w:rsid w:val="00281BA6"/>
    <w:rsid w:val="00282E43"/>
    <w:rsid w:val="002C011B"/>
    <w:rsid w:val="002C5654"/>
    <w:rsid w:val="002D364C"/>
    <w:rsid w:val="002F0A46"/>
    <w:rsid w:val="00305F08"/>
    <w:rsid w:val="00313A37"/>
    <w:rsid w:val="00315EA6"/>
    <w:rsid w:val="00315FAD"/>
    <w:rsid w:val="0032125D"/>
    <w:rsid w:val="003232D3"/>
    <w:rsid w:val="003336A1"/>
    <w:rsid w:val="00352AF6"/>
    <w:rsid w:val="003551F0"/>
    <w:rsid w:val="003560D6"/>
    <w:rsid w:val="0036029B"/>
    <w:rsid w:val="0036373D"/>
    <w:rsid w:val="00372A17"/>
    <w:rsid w:val="0038191D"/>
    <w:rsid w:val="003906C9"/>
    <w:rsid w:val="00395125"/>
    <w:rsid w:val="003B6D31"/>
    <w:rsid w:val="003C212E"/>
    <w:rsid w:val="003C474D"/>
    <w:rsid w:val="003C4855"/>
    <w:rsid w:val="003D7909"/>
    <w:rsid w:val="003F1CFD"/>
    <w:rsid w:val="003F43BB"/>
    <w:rsid w:val="003F5750"/>
    <w:rsid w:val="004012CB"/>
    <w:rsid w:val="00401836"/>
    <w:rsid w:val="00414826"/>
    <w:rsid w:val="0041628D"/>
    <w:rsid w:val="00421F52"/>
    <w:rsid w:val="00423ECC"/>
    <w:rsid w:val="00433E68"/>
    <w:rsid w:val="00437AA1"/>
    <w:rsid w:val="00440070"/>
    <w:rsid w:val="00445FAD"/>
    <w:rsid w:val="00465021"/>
    <w:rsid w:val="00480E14"/>
    <w:rsid w:val="00482C72"/>
    <w:rsid w:val="004854DA"/>
    <w:rsid w:val="0049507E"/>
    <w:rsid w:val="004963E7"/>
    <w:rsid w:val="004A0635"/>
    <w:rsid w:val="004A68F2"/>
    <w:rsid w:val="004B36B6"/>
    <w:rsid w:val="004B7839"/>
    <w:rsid w:val="004C0268"/>
    <w:rsid w:val="004C7BB6"/>
    <w:rsid w:val="004D3C31"/>
    <w:rsid w:val="004D3C80"/>
    <w:rsid w:val="004E0C5C"/>
    <w:rsid w:val="004F5E6F"/>
    <w:rsid w:val="00513046"/>
    <w:rsid w:val="00540EE1"/>
    <w:rsid w:val="00572BCD"/>
    <w:rsid w:val="005765A3"/>
    <w:rsid w:val="00576611"/>
    <w:rsid w:val="00583038"/>
    <w:rsid w:val="00593972"/>
    <w:rsid w:val="00597F3B"/>
    <w:rsid w:val="005B610C"/>
    <w:rsid w:val="005C0338"/>
    <w:rsid w:val="005C6061"/>
    <w:rsid w:val="005C7941"/>
    <w:rsid w:val="005C7A66"/>
    <w:rsid w:val="005D4084"/>
    <w:rsid w:val="005E1A17"/>
    <w:rsid w:val="005E49F7"/>
    <w:rsid w:val="005F02DA"/>
    <w:rsid w:val="005F77B1"/>
    <w:rsid w:val="00602950"/>
    <w:rsid w:val="006211D7"/>
    <w:rsid w:val="0062321B"/>
    <w:rsid w:val="00632213"/>
    <w:rsid w:val="00632E44"/>
    <w:rsid w:val="006339E4"/>
    <w:rsid w:val="006464F7"/>
    <w:rsid w:val="00656DFF"/>
    <w:rsid w:val="0066170B"/>
    <w:rsid w:val="0066175F"/>
    <w:rsid w:val="00666165"/>
    <w:rsid w:val="00672082"/>
    <w:rsid w:val="00684ED6"/>
    <w:rsid w:val="006861E8"/>
    <w:rsid w:val="0069026A"/>
    <w:rsid w:val="006A0441"/>
    <w:rsid w:val="006A1DEE"/>
    <w:rsid w:val="006B057F"/>
    <w:rsid w:val="006C328E"/>
    <w:rsid w:val="006C36FF"/>
    <w:rsid w:val="006D64B3"/>
    <w:rsid w:val="006D7B45"/>
    <w:rsid w:val="006F154E"/>
    <w:rsid w:val="006F2FE1"/>
    <w:rsid w:val="006F6266"/>
    <w:rsid w:val="00706244"/>
    <w:rsid w:val="00710CA3"/>
    <w:rsid w:val="00733014"/>
    <w:rsid w:val="00733F5E"/>
    <w:rsid w:val="00736317"/>
    <w:rsid w:val="00737D0E"/>
    <w:rsid w:val="0074053B"/>
    <w:rsid w:val="00742120"/>
    <w:rsid w:val="00742643"/>
    <w:rsid w:val="00751199"/>
    <w:rsid w:val="00754398"/>
    <w:rsid w:val="00764BEE"/>
    <w:rsid w:val="00765538"/>
    <w:rsid w:val="0077204F"/>
    <w:rsid w:val="007831C5"/>
    <w:rsid w:val="00785078"/>
    <w:rsid w:val="00790F2C"/>
    <w:rsid w:val="00791788"/>
    <w:rsid w:val="007A60E1"/>
    <w:rsid w:val="007B0F93"/>
    <w:rsid w:val="007B50AE"/>
    <w:rsid w:val="007B664C"/>
    <w:rsid w:val="007B686C"/>
    <w:rsid w:val="007D463C"/>
    <w:rsid w:val="007D4E1C"/>
    <w:rsid w:val="007E1566"/>
    <w:rsid w:val="007F1343"/>
    <w:rsid w:val="007F1E83"/>
    <w:rsid w:val="007F433C"/>
    <w:rsid w:val="007F647A"/>
    <w:rsid w:val="007F7406"/>
    <w:rsid w:val="008025D4"/>
    <w:rsid w:val="00810D44"/>
    <w:rsid w:val="00813324"/>
    <w:rsid w:val="00834A13"/>
    <w:rsid w:val="00841F50"/>
    <w:rsid w:val="00842EB7"/>
    <w:rsid w:val="00846726"/>
    <w:rsid w:val="00846DCE"/>
    <w:rsid w:val="00852152"/>
    <w:rsid w:val="008668A5"/>
    <w:rsid w:val="00871BF8"/>
    <w:rsid w:val="008B7970"/>
    <w:rsid w:val="008C0827"/>
    <w:rsid w:val="008D0469"/>
    <w:rsid w:val="008D2002"/>
    <w:rsid w:val="008D585E"/>
    <w:rsid w:val="008D6585"/>
    <w:rsid w:val="008F629B"/>
    <w:rsid w:val="009148D5"/>
    <w:rsid w:val="0095027D"/>
    <w:rsid w:val="00954A8A"/>
    <w:rsid w:val="00955F81"/>
    <w:rsid w:val="009640BB"/>
    <w:rsid w:val="00967ED5"/>
    <w:rsid w:val="009812EC"/>
    <w:rsid w:val="00986566"/>
    <w:rsid w:val="009909E5"/>
    <w:rsid w:val="00993A7B"/>
    <w:rsid w:val="009A2B22"/>
    <w:rsid w:val="009C2713"/>
    <w:rsid w:val="009D3A3B"/>
    <w:rsid w:val="009D6A57"/>
    <w:rsid w:val="009F0350"/>
    <w:rsid w:val="009F4EF6"/>
    <w:rsid w:val="009F4FC7"/>
    <w:rsid w:val="00A11E3A"/>
    <w:rsid w:val="00A12CB5"/>
    <w:rsid w:val="00A23BF0"/>
    <w:rsid w:val="00A2472D"/>
    <w:rsid w:val="00A30E9B"/>
    <w:rsid w:val="00A33CFA"/>
    <w:rsid w:val="00A34387"/>
    <w:rsid w:val="00A36C68"/>
    <w:rsid w:val="00A50A00"/>
    <w:rsid w:val="00A575B9"/>
    <w:rsid w:val="00A74BF5"/>
    <w:rsid w:val="00A82B4C"/>
    <w:rsid w:val="00A8680B"/>
    <w:rsid w:val="00A90606"/>
    <w:rsid w:val="00A92843"/>
    <w:rsid w:val="00A946F1"/>
    <w:rsid w:val="00A94C06"/>
    <w:rsid w:val="00A97425"/>
    <w:rsid w:val="00AA1F07"/>
    <w:rsid w:val="00AA3E03"/>
    <w:rsid w:val="00AA7098"/>
    <w:rsid w:val="00AB1460"/>
    <w:rsid w:val="00AB63E2"/>
    <w:rsid w:val="00AB74D3"/>
    <w:rsid w:val="00AC1508"/>
    <w:rsid w:val="00AC1559"/>
    <w:rsid w:val="00AC1B70"/>
    <w:rsid w:val="00AC1ED5"/>
    <w:rsid w:val="00AC52CF"/>
    <w:rsid w:val="00AC56DE"/>
    <w:rsid w:val="00AC6E14"/>
    <w:rsid w:val="00AD38DE"/>
    <w:rsid w:val="00AE2D47"/>
    <w:rsid w:val="00AF09BD"/>
    <w:rsid w:val="00AF68C1"/>
    <w:rsid w:val="00AF7B3C"/>
    <w:rsid w:val="00B23115"/>
    <w:rsid w:val="00B25098"/>
    <w:rsid w:val="00B31901"/>
    <w:rsid w:val="00B365A1"/>
    <w:rsid w:val="00B466F4"/>
    <w:rsid w:val="00B507EF"/>
    <w:rsid w:val="00B52A2F"/>
    <w:rsid w:val="00B5769A"/>
    <w:rsid w:val="00B74D04"/>
    <w:rsid w:val="00BB16C4"/>
    <w:rsid w:val="00BB54EA"/>
    <w:rsid w:val="00BB62AC"/>
    <w:rsid w:val="00BF51A1"/>
    <w:rsid w:val="00BF54FE"/>
    <w:rsid w:val="00BF7290"/>
    <w:rsid w:val="00C05178"/>
    <w:rsid w:val="00C1130C"/>
    <w:rsid w:val="00C2092D"/>
    <w:rsid w:val="00C42BD2"/>
    <w:rsid w:val="00C4511F"/>
    <w:rsid w:val="00C56F0A"/>
    <w:rsid w:val="00C5738A"/>
    <w:rsid w:val="00C62EAC"/>
    <w:rsid w:val="00C74C79"/>
    <w:rsid w:val="00C76897"/>
    <w:rsid w:val="00C772E6"/>
    <w:rsid w:val="00C77346"/>
    <w:rsid w:val="00CB679E"/>
    <w:rsid w:val="00CC3266"/>
    <w:rsid w:val="00CC6CD5"/>
    <w:rsid w:val="00CD5808"/>
    <w:rsid w:val="00CD637A"/>
    <w:rsid w:val="00D02A0F"/>
    <w:rsid w:val="00D055AD"/>
    <w:rsid w:val="00D12B6F"/>
    <w:rsid w:val="00D367D8"/>
    <w:rsid w:val="00D53833"/>
    <w:rsid w:val="00D74EF5"/>
    <w:rsid w:val="00D80E5A"/>
    <w:rsid w:val="00D8236C"/>
    <w:rsid w:val="00DA1BDC"/>
    <w:rsid w:val="00DB1377"/>
    <w:rsid w:val="00DB6DE3"/>
    <w:rsid w:val="00DC2EFD"/>
    <w:rsid w:val="00DD2A7A"/>
    <w:rsid w:val="00DF51D9"/>
    <w:rsid w:val="00E17273"/>
    <w:rsid w:val="00E26C1E"/>
    <w:rsid w:val="00E415A4"/>
    <w:rsid w:val="00E548DC"/>
    <w:rsid w:val="00E56B1E"/>
    <w:rsid w:val="00E71C0F"/>
    <w:rsid w:val="00E74A80"/>
    <w:rsid w:val="00E77F5C"/>
    <w:rsid w:val="00EA0476"/>
    <w:rsid w:val="00EA0734"/>
    <w:rsid w:val="00EA34C2"/>
    <w:rsid w:val="00EA4C4E"/>
    <w:rsid w:val="00EC5DE1"/>
    <w:rsid w:val="00ED449A"/>
    <w:rsid w:val="00ED55C1"/>
    <w:rsid w:val="00EE1C88"/>
    <w:rsid w:val="00EE2ACF"/>
    <w:rsid w:val="00EE70C7"/>
    <w:rsid w:val="00EF0B45"/>
    <w:rsid w:val="00EF4058"/>
    <w:rsid w:val="00F0163D"/>
    <w:rsid w:val="00F030EA"/>
    <w:rsid w:val="00F04D32"/>
    <w:rsid w:val="00F14247"/>
    <w:rsid w:val="00F24C6B"/>
    <w:rsid w:val="00F32F08"/>
    <w:rsid w:val="00F64618"/>
    <w:rsid w:val="00F64E3C"/>
    <w:rsid w:val="00F666C8"/>
    <w:rsid w:val="00F74958"/>
    <w:rsid w:val="00F749D9"/>
    <w:rsid w:val="00F94B7D"/>
    <w:rsid w:val="00F96175"/>
    <w:rsid w:val="00FA2271"/>
    <w:rsid w:val="00FC1D05"/>
    <w:rsid w:val="00FD5D59"/>
    <w:rsid w:val="00FE2CE2"/>
    <w:rsid w:val="00FE6537"/>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E9179"/>
  <w15:docId w15:val="{410465B9-AEE5-4055-922C-ED61E83B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80"/>
    <w:pPr>
      <w:spacing w:line="360" w:lineRule="auto"/>
      <w:jc w:val="both"/>
    </w:pPr>
    <w:rPr>
      <w:rFonts w:ascii="Times New Roman" w:hAnsi="Times New Roman"/>
      <w:kern w:val="0"/>
      <w:sz w:val="24"/>
    </w:rPr>
  </w:style>
  <w:style w:type="paragraph" w:styleId="Heading1">
    <w:name w:val="heading 1"/>
    <w:basedOn w:val="Normal"/>
    <w:next w:val="Normal"/>
    <w:link w:val="Heading1Char"/>
    <w:uiPriority w:val="9"/>
    <w:qFormat/>
    <w:rsid w:val="00C05178"/>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Heading2">
    <w:name w:val="heading 2"/>
    <w:basedOn w:val="Normal"/>
    <w:next w:val="Normal"/>
    <w:link w:val="Heading2Char"/>
    <w:uiPriority w:val="9"/>
    <w:unhideWhenUsed/>
    <w:qFormat/>
    <w:rsid w:val="00C05178"/>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unhideWhenUsed/>
    <w:qFormat/>
    <w:rsid w:val="003B6D31"/>
    <w:pPr>
      <w:keepNext/>
      <w:keepLines/>
      <w:spacing w:before="40" w:after="0"/>
      <w:outlineLvl w:val="2"/>
    </w:pPr>
    <w:rPr>
      <w:rFonts w:eastAsiaTheme="majorEastAsia" w:cstheme="majorBidi"/>
      <w:b/>
      <w: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78"/>
    <w:rPr>
      <w:rFonts w:ascii="Times New Roman" w:eastAsiaTheme="majorEastAsia" w:hAnsi="Times New Roman" w:cstheme="majorBidi"/>
      <w:b/>
      <w:color w:val="2F5496" w:themeColor="accent1" w:themeShade="BF"/>
      <w:kern w:val="0"/>
      <w:sz w:val="32"/>
      <w:szCs w:val="32"/>
      <w:u w:val="single"/>
    </w:r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w:basedOn w:val="Normal"/>
    <w:next w:val="Normal"/>
    <w:link w:val="FootnoteReference"/>
    <w:rsid w:val="00480E14"/>
    <w:pPr>
      <w:spacing w:line="240" w:lineRule="auto"/>
      <w:ind w:left="714" w:hanging="357"/>
    </w:pPr>
    <w:rPr>
      <w:kern w:val="2"/>
      <w:sz w:val="22"/>
      <w:vertAlign w:val="superscript"/>
    </w:rPr>
  </w:style>
  <w:style w:type="character" w:styleId="FootnoteReference">
    <w:name w:val="footnote reference"/>
    <w:aliases w:val="BVI fnr Char Car1 Car Char Char Char,BVI fnr Char Car Car Char Char Char,ftref Char Car Car Char Char Char,BVI fnr Char Car Char Char Car Car Char Char Char,ftref Char Car Char Char Car Car Char Char Char"/>
    <w:basedOn w:val="DefaultParagraphFont"/>
    <w:link w:val="BVIfnrCharCar1CarCharChar"/>
    <w:unhideWhenUsed/>
    <w:qFormat/>
    <w:rsid w:val="00480E14"/>
    <w:rPr>
      <w:rFonts w:ascii="Times New Roman" w:hAnsi="Times New Roman"/>
      <w:vertAlign w:val="superscript"/>
    </w:rPr>
  </w:style>
  <w:style w:type="character" w:customStyle="1" w:styleId="Heading2Char">
    <w:name w:val="Heading 2 Char"/>
    <w:basedOn w:val="DefaultParagraphFont"/>
    <w:link w:val="Heading2"/>
    <w:uiPriority w:val="9"/>
    <w:rsid w:val="00C05178"/>
    <w:rPr>
      <w:rFonts w:ascii="Times New Roman" w:eastAsiaTheme="majorEastAsia" w:hAnsi="Times New Roman" w:cstheme="majorBidi"/>
      <w:color w:val="2F5496" w:themeColor="accent1" w:themeShade="BF"/>
      <w:kern w:val="0"/>
      <w:sz w:val="24"/>
      <w:szCs w:val="26"/>
    </w:rPr>
  </w:style>
  <w:style w:type="character" w:customStyle="1" w:styleId="Heading3Char">
    <w:name w:val="Heading 3 Char"/>
    <w:basedOn w:val="DefaultParagraphFont"/>
    <w:link w:val="Heading3"/>
    <w:uiPriority w:val="9"/>
    <w:rsid w:val="003B6D31"/>
    <w:rPr>
      <w:rFonts w:ascii="Times New Roman" w:eastAsiaTheme="majorEastAsia" w:hAnsi="Times New Roman" w:cstheme="majorBidi"/>
      <w:b/>
      <w:i/>
      <w:color w:val="1F3763" w:themeColor="accent1" w:themeShade="7F"/>
      <w:kern w:val="0"/>
      <w:sz w:val="24"/>
      <w:szCs w:val="24"/>
    </w:rPr>
  </w:style>
  <w:style w:type="paragraph" w:styleId="ListParagraph">
    <w:name w:val="List Paragraph"/>
    <w:aliases w:val="IBL List Paragraph,Дэд гарчиг,Paragraph,List Paragraph1,Figure Title,Main numbered paragraph,References,Numbered Paragraph,Numbered List Paragraph,123 List Paragraph,Bullets,List Paragraph (numbered (a)),List Paragraph nowy,Liste 1,Bullet"/>
    <w:basedOn w:val="Normal"/>
    <w:link w:val="ListParagraphChar"/>
    <w:uiPriority w:val="34"/>
    <w:qFormat/>
    <w:rsid w:val="00576611"/>
    <w:pPr>
      <w:ind w:left="720"/>
      <w:contextualSpacing/>
    </w:pPr>
  </w:style>
  <w:style w:type="paragraph" w:styleId="FootnoteText">
    <w:name w:val="footnote text"/>
    <w:aliases w:val="fn,single space,FOOTNOTES,ADB,WB-Fußnotentext,Footnote,Fußnote,WB-Fuﬂnotentext,Fuﬂnote,footnote text, Char, Car,Car,Char"/>
    <w:basedOn w:val="Normal"/>
    <w:link w:val="FootnoteTextChar"/>
    <w:unhideWhenUsed/>
    <w:rsid w:val="00EF0B45"/>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rsid w:val="00EF0B45"/>
    <w:rPr>
      <w:rFonts w:ascii="Times New Roman" w:hAnsi="Times New Roman"/>
      <w:kern w:val="0"/>
      <w:sz w:val="20"/>
      <w:szCs w:val="20"/>
    </w:rPr>
  </w:style>
  <w:style w:type="table" w:styleId="TableGrid">
    <w:name w:val="Table Grid"/>
    <w:basedOn w:val="TableNormal"/>
    <w:uiPriority w:val="39"/>
    <w:rsid w:val="0039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F7B3C"/>
    <w:pPr>
      <w:spacing w:after="200" w:line="240" w:lineRule="auto"/>
    </w:pPr>
    <w:rPr>
      <w:i/>
      <w:iCs/>
      <w:color w:val="44546A" w:themeColor="text2"/>
      <w:sz w:val="18"/>
      <w:szCs w:val="18"/>
    </w:rPr>
  </w:style>
  <w:style w:type="character" w:styleId="Hyperlink">
    <w:name w:val="Hyperlink"/>
    <w:basedOn w:val="DefaultParagraphFont"/>
    <w:uiPriority w:val="99"/>
    <w:unhideWhenUsed/>
    <w:rsid w:val="004A0635"/>
    <w:rPr>
      <w:color w:val="0563C1" w:themeColor="hyperlink"/>
      <w:u w:val="single"/>
    </w:rPr>
  </w:style>
  <w:style w:type="character" w:customStyle="1" w:styleId="UnresolvedMention1">
    <w:name w:val="Unresolved Mention1"/>
    <w:basedOn w:val="DefaultParagraphFont"/>
    <w:uiPriority w:val="99"/>
    <w:semiHidden/>
    <w:unhideWhenUsed/>
    <w:rsid w:val="004A0635"/>
    <w:rPr>
      <w:color w:val="605E5C"/>
      <w:shd w:val="clear" w:color="auto" w:fill="E1DFDD"/>
    </w:rPr>
  </w:style>
  <w:style w:type="paragraph" w:styleId="TOCHeading">
    <w:name w:val="TOC Heading"/>
    <w:basedOn w:val="Heading1"/>
    <w:next w:val="Normal"/>
    <w:uiPriority w:val="39"/>
    <w:unhideWhenUsed/>
    <w:qFormat/>
    <w:rsid w:val="00423ECC"/>
    <w:pPr>
      <w:spacing w:line="259" w:lineRule="auto"/>
      <w:jc w:val="left"/>
      <w:outlineLvl w:val="9"/>
    </w:pPr>
    <w:rPr>
      <w:rFonts w:asciiTheme="majorHAnsi" w:hAnsiTheme="majorHAnsi"/>
      <w:b w:val="0"/>
      <w:u w:val="none"/>
    </w:rPr>
  </w:style>
  <w:style w:type="paragraph" w:styleId="TOC1">
    <w:name w:val="toc 1"/>
    <w:basedOn w:val="Normal"/>
    <w:next w:val="Normal"/>
    <w:autoRedefine/>
    <w:uiPriority w:val="39"/>
    <w:unhideWhenUsed/>
    <w:rsid w:val="00423ECC"/>
    <w:pPr>
      <w:spacing w:after="100"/>
    </w:pPr>
  </w:style>
  <w:style w:type="paragraph" w:styleId="TOC2">
    <w:name w:val="toc 2"/>
    <w:basedOn w:val="Normal"/>
    <w:next w:val="Normal"/>
    <w:autoRedefine/>
    <w:uiPriority w:val="39"/>
    <w:unhideWhenUsed/>
    <w:rsid w:val="00423ECC"/>
    <w:pPr>
      <w:spacing w:after="100"/>
      <w:ind w:left="240"/>
    </w:pPr>
  </w:style>
  <w:style w:type="paragraph" w:styleId="TOC3">
    <w:name w:val="toc 3"/>
    <w:basedOn w:val="Normal"/>
    <w:next w:val="Normal"/>
    <w:autoRedefine/>
    <w:uiPriority w:val="39"/>
    <w:unhideWhenUsed/>
    <w:rsid w:val="00423ECC"/>
    <w:pPr>
      <w:spacing w:after="100"/>
      <w:ind w:left="480"/>
    </w:pPr>
  </w:style>
  <w:style w:type="paragraph" w:styleId="Header">
    <w:name w:val="header"/>
    <w:basedOn w:val="Normal"/>
    <w:link w:val="HeaderChar"/>
    <w:uiPriority w:val="99"/>
    <w:unhideWhenUsed/>
    <w:rsid w:val="001E1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E19"/>
    <w:rPr>
      <w:rFonts w:ascii="Times New Roman" w:hAnsi="Times New Roman"/>
      <w:kern w:val="0"/>
      <w:sz w:val="24"/>
    </w:rPr>
  </w:style>
  <w:style w:type="paragraph" w:styleId="Footer">
    <w:name w:val="footer"/>
    <w:basedOn w:val="Normal"/>
    <w:link w:val="FooterChar"/>
    <w:uiPriority w:val="99"/>
    <w:unhideWhenUsed/>
    <w:rsid w:val="001E1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E19"/>
    <w:rPr>
      <w:rFonts w:ascii="Times New Roman" w:hAnsi="Times New Roman"/>
      <w:kern w:val="0"/>
      <w:sz w:val="24"/>
    </w:rPr>
  </w:style>
  <w:style w:type="paragraph" w:styleId="Revision">
    <w:name w:val="Revision"/>
    <w:hidden/>
    <w:uiPriority w:val="99"/>
    <w:semiHidden/>
    <w:rsid w:val="00A92843"/>
    <w:pPr>
      <w:spacing w:after="0" w:line="240" w:lineRule="auto"/>
    </w:pPr>
    <w:rPr>
      <w:rFonts w:ascii="Times New Roman" w:hAnsi="Times New Roman"/>
      <w:kern w:val="0"/>
      <w:sz w:val="24"/>
    </w:rPr>
  </w:style>
  <w:style w:type="character" w:styleId="Emphasis">
    <w:name w:val="Emphasis"/>
    <w:uiPriority w:val="20"/>
    <w:qFormat/>
    <w:rsid w:val="008C0827"/>
    <w:rPr>
      <w:i/>
      <w:iCs/>
    </w:rPr>
  </w:style>
  <w:style w:type="character" w:styleId="Strong">
    <w:name w:val="Strong"/>
    <w:uiPriority w:val="22"/>
    <w:qFormat/>
    <w:rsid w:val="008C0827"/>
    <w:rPr>
      <w:b/>
      <w:bCs/>
    </w:rPr>
  </w:style>
  <w:style w:type="paragraph" w:styleId="BalloonText">
    <w:name w:val="Balloon Text"/>
    <w:basedOn w:val="Normal"/>
    <w:link w:val="BalloonTextChar"/>
    <w:uiPriority w:val="99"/>
    <w:semiHidden/>
    <w:unhideWhenUsed/>
    <w:rsid w:val="00401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836"/>
    <w:rPr>
      <w:rFonts w:ascii="Segoe UI" w:hAnsi="Segoe UI" w:cs="Segoe UI"/>
      <w:kern w:val="0"/>
      <w:sz w:val="18"/>
      <w:szCs w:val="18"/>
    </w:rPr>
  </w:style>
  <w:style w:type="character" w:styleId="CommentReference">
    <w:name w:val="annotation reference"/>
    <w:basedOn w:val="DefaultParagraphFont"/>
    <w:uiPriority w:val="99"/>
    <w:semiHidden/>
    <w:unhideWhenUsed/>
    <w:rsid w:val="00810D44"/>
    <w:rPr>
      <w:sz w:val="16"/>
      <w:szCs w:val="16"/>
    </w:rPr>
  </w:style>
  <w:style w:type="paragraph" w:styleId="CommentText">
    <w:name w:val="annotation text"/>
    <w:basedOn w:val="Normal"/>
    <w:link w:val="CommentTextChar"/>
    <w:uiPriority w:val="99"/>
    <w:semiHidden/>
    <w:unhideWhenUsed/>
    <w:rsid w:val="00810D44"/>
    <w:pPr>
      <w:spacing w:line="240" w:lineRule="auto"/>
    </w:pPr>
    <w:rPr>
      <w:sz w:val="20"/>
      <w:szCs w:val="20"/>
    </w:rPr>
  </w:style>
  <w:style w:type="character" w:customStyle="1" w:styleId="CommentTextChar">
    <w:name w:val="Comment Text Char"/>
    <w:basedOn w:val="DefaultParagraphFont"/>
    <w:link w:val="CommentText"/>
    <w:uiPriority w:val="99"/>
    <w:semiHidden/>
    <w:rsid w:val="00810D44"/>
    <w:rPr>
      <w:rFonts w:ascii="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810D44"/>
    <w:rPr>
      <w:b/>
      <w:bCs/>
    </w:rPr>
  </w:style>
  <w:style w:type="character" w:customStyle="1" w:styleId="CommentSubjectChar">
    <w:name w:val="Comment Subject Char"/>
    <w:basedOn w:val="CommentTextChar"/>
    <w:link w:val="CommentSubject"/>
    <w:uiPriority w:val="99"/>
    <w:semiHidden/>
    <w:rsid w:val="00810D44"/>
    <w:rPr>
      <w:rFonts w:ascii="Times New Roman" w:hAnsi="Times New Roman"/>
      <w:b/>
      <w:bCs/>
      <w:kern w:val="0"/>
      <w:sz w:val="20"/>
      <w:szCs w:val="20"/>
    </w:rPr>
  </w:style>
  <w:style w:type="character" w:customStyle="1" w:styleId="UnresolvedMention2">
    <w:name w:val="Unresolved Mention2"/>
    <w:basedOn w:val="DefaultParagraphFont"/>
    <w:uiPriority w:val="99"/>
    <w:semiHidden/>
    <w:unhideWhenUsed/>
    <w:rsid w:val="002F0A46"/>
    <w:rPr>
      <w:color w:val="605E5C"/>
      <w:shd w:val="clear" w:color="auto" w:fill="E1DFDD"/>
    </w:rPr>
  </w:style>
  <w:style w:type="paragraph" w:customStyle="1" w:styleId="Normal1">
    <w:name w:val="Normal1"/>
    <w:rsid w:val="00C1130C"/>
    <w:pPr>
      <w:widowControl w:val="0"/>
    </w:pPr>
    <w:rPr>
      <w:rFonts w:ascii="Arial" w:eastAsia="Arial" w:hAnsi="Arial" w:cs="Arial"/>
      <w:color w:val="000000"/>
      <w:kern w:val="0"/>
      <w:sz w:val="24"/>
      <w:szCs w:val="24"/>
      <w14:ligatures w14:val="none"/>
    </w:rPr>
  </w:style>
  <w:style w:type="character" w:customStyle="1" w:styleId="ListParagraphChar">
    <w:name w:val="List Paragraph Char"/>
    <w:aliases w:val="IBL List Paragraph Char,Дэд гарчиг Char,Paragraph Char,List Paragraph1 Char,Figure Title Char,Main numbered paragraph Char,References Char,Numbered Paragraph Char,Numbered List Paragraph Char,123 List Paragraph Char,Bullets Char"/>
    <w:link w:val="ListParagraph"/>
    <w:uiPriority w:val="34"/>
    <w:qFormat/>
    <w:locked/>
    <w:rsid w:val="00742120"/>
    <w:rPr>
      <w:rFonts w:ascii="Times New Roman" w:hAnsi="Times New Roman"/>
      <w:kern w:val="0"/>
      <w:sz w:val="24"/>
    </w:rPr>
  </w:style>
  <w:style w:type="paragraph" w:styleId="NormalWeb">
    <w:name w:val="Normal (Web)"/>
    <w:basedOn w:val="Normal"/>
    <w:uiPriority w:val="99"/>
    <w:unhideWhenUsed/>
    <w:qFormat/>
    <w:rsid w:val="00315FAD"/>
    <w:pPr>
      <w:spacing w:before="100" w:beforeAutospacing="1" w:after="100" w:afterAutospacing="1" w:line="240" w:lineRule="auto"/>
      <w:jc w:val="left"/>
    </w:pPr>
    <w:rPr>
      <w:rFonts w:eastAsia="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205">
      <w:bodyDiv w:val="1"/>
      <w:marLeft w:val="0"/>
      <w:marRight w:val="0"/>
      <w:marTop w:val="0"/>
      <w:marBottom w:val="0"/>
      <w:divBdr>
        <w:top w:val="none" w:sz="0" w:space="0" w:color="auto"/>
        <w:left w:val="none" w:sz="0" w:space="0" w:color="auto"/>
        <w:bottom w:val="none" w:sz="0" w:space="0" w:color="auto"/>
        <w:right w:val="none" w:sz="0" w:space="0" w:color="auto"/>
      </w:divBdr>
    </w:div>
    <w:div w:id="205601114">
      <w:bodyDiv w:val="1"/>
      <w:marLeft w:val="0"/>
      <w:marRight w:val="0"/>
      <w:marTop w:val="0"/>
      <w:marBottom w:val="0"/>
      <w:divBdr>
        <w:top w:val="none" w:sz="0" w:space="0" w:color="auto"/>
        <w:left w:val="none" w:sz="0" w:space="0" w:color="auto"/>
        <w:bottom w:val="none" w:sz="0" w:space="0" w:color="auto"/>
        <w:right w:val="none" w:sz="0" w:space="0" w:color="auto"/>
      </w:divBdr>
      <w:divsChild>
        <w:div w:id="665672630">
          <w:marLeft w:val="0"/>
          <w:marRight w:val="0"/>
          <w:marTop w:val="150"/>
          <w:marBottom w:val="0"/>
          <w:divBdr>
            <w:top w:val="none" w:sz="0" w:space="0" w:color="auto"/>
            <w:left w:val="none" w:sz="0" w:space="0" w:color="auto"/>
            <w:bottom w:val="none" w:sz="0" w:space="0" w:color="auto"/>
            <w:right w:val="none" w:sz="0" w:space="0" w:color="auto"/>
          </w:divBdr>
        </w:div>
        <w:div w:id="49545293">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212.mn" TargetMode="External"/><Relationship Id="rId5" Type="http://schemas.openxmlformats.org/officeDocument/2006/relationships/webSettings" Target="webSettings.xml"/><Relationship Id="rId10" Type="http://schemas.openxmlformats.org/officeDocument/2006/relationships/hyperlink" Target="http://www.legalinfo.m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2B7C0-86DA-4D42-BA11-CF3DF47F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13</Pages>
  <Words>7211</Words>
  <Characters>41108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c:creator>
  <cp:keywords/>
  <dc:description/>
  <cp:lastModifiedBy>Munkhbayar Byambaa</cp:lastModifiedBy>
  <cp:revision>57</cp:revision>
  <cp:lastPrinted>2026-06-07T08:42:00Z</cp:lastPrinted>
  <dcterms:created xsi:type="dcterms:W3CDTF">2026-05-27T02:17:00Z</dcterms:created>
  <dcterms:modified xsi:type="dcterms:W3CDTF">2026-06-07T08:42:00Z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170c82d4cec01809c99a28d95daee77b764e40c661293b986eb1292cba3f71aa</vt:lpwstr>
  </property>
</Properties>
</file>