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E329" w14:textId="77777777" w:rsidR="00A15C46" w:rsidRPr="00922849" w:rsidRDefault="00A15C46" w:rsidP="00A15C46">
      <w:pPr>
        <w:spacing w:line="276" w:lineRule="auto"/>
        <w:jc w:val="center"/>
        <w:rPr>
          <w:rFonts w:ascii="Arial" w:hAnsi="Arial" w:cs="Arial"/>
          <w:b/>
          <w:bCs/>
          <w:lang w:val="mn-MN"/>
        </w:rPr>
      </w:pPr>
      <w:r w:rsidRPr="00922849">
        <w:rPr>
          <w:rFonts w:ascii="Arial" w:hAnsi="Arial" w:cs="Arial"/>
          <w:b/>
          <w:bCs/>
          <w:lang w:val="mn-MN"/>
        </w:rPr>
        <w:t>ТОВЧ ТАНИЛЦУУЛГА</w:t>
      </w:r>
    </w:p>
    <w:p w14:paraId="45DB9589" w14:textId="6DB3C726" w:rsidR="00DE1553" w:rsidRDefault="00A15C46" w:rsidP="28714599">
      <w:pPr>
        <w:spacing w:after="0" w:line="276" w:lineRule="auto"/>
        <w:jc w:val="right"/>
        <w:rPr>
          <w:rFonts w:ascii="Arial" w:hAnsi="Arial" w:cs="Arial"/>
          <w:i/>
          <w:iCs/>
          <w:lang w:val="mn-MN"/>
        </w:rPr>
      </w:pPr>
      <w:r w:rsidRPr="28714599">
        <w:rPr>
          <w:rFonts w:ascii="Arial" w:hAnsi="Arial" w:cs="Arial"/>
          <w:i/>
          <w:iCs/>
          <w:lang w:val="mn-MN"/>
        </w:rPr>
        <w:t>Орон суу</w:t>
      </w:r>
      <w:r w:rsidR="00DE1553" w:rsidRPr="28714599">
        <w:rPr>
          <w:rFonts w:ascii="Arial" w:hAnsi="Arial" w:cs="Arial"/>
          <w:i/>
          <w:iCs/>
          <w:lang w:val="mn-MN"/>
        </w:rPr>
        <w:t xml:space="preserve">цны санхүүжилтийн </w:t>
      </w:r>
      <w:r w:rsidR="3ACB5718" w:rsidRPr="28714599">
        <w:rPr>
          <w:rFonts w:ascii="Arial" w:hAnsi="Arial" w:cs="Arial"/>
          <w:i/>
          <w:iCs/>
          <w:lang w:val="mn-MN"/>
        </w:rPr>
        <w:t xml:space="preserve">төрөлжсөн </w:t>
      </w:r>
      <w:r w:rsidR="00DE1553" w:rsidRPr="28714599">
        <w:rPr>
          <w:rFonts w:ascii="Arial" w:hAnsi="Arial" w:cs="Arial"/>
          <w:i/>
          <w:iCs/>
          <w:lang w:val="mn-MN"/>
        </w:rPr>
        <w:t xml:space="preserve">банкны </w:t>
      </w:r>
      <w:r w:rsidRPr="28714599">
        <w:rPr>
          <w:rFonts w:ascii="Arial" w:hAnsi="Arial" w:cs="Arial"/>
          <w:i/>
          <w:iCs/>
          <w:lang w:val="mn-MN"/>
        </w:rPr>
        <w:t xml:space="preserve">тухай </w:t>
      </w:r>
    </w:p>
    <w:p w14:paraId="04FE6BFF" w14:textId="195DFB9D" w:rsidR="00A15C46" w:rsidRDefault="00A15C46" w:rsidP="00C27EBE">
      <w:pPr>
        <w:spacing w:after="0" w:line="276" w:lineRule="auto"/>
        <w:jc w:val="right"/>
        <w:rPr>
          <w:rFonts w:ascii="Arial" w:hAnsi="Arial" w:cs="Arial"/>
          <w:i/>
          <w:iCs/>
          <w:lang w:val="mn-MN"/>
        </w:rPr>
      </w:pPr>
      <w:r w:rsidRPr="00922849">
        <w:rPr>
          <w:rFonts w:ascii="Arial" w:hAnsi="Arial" w:cs="Arial"/>
          <w:i/>
          <w:iCs/>
          <w:lang w:val="mn-MN"/>
        </w:rPr>
        <w:t>анхдагч хуулийн төсөл</w:t>
      </w:r>
    </w:p>
    <w:p w14:paraId="42E93EF3" w14:textId="7C2767F0" w:rsidR="00030181" w:rsidRPr="00922849" w:rsidRDefault="00030181" w:rsidP="00C27EBE">
      <w:pPr>
        <w:spacing w:after="0" w:line="276" w:lineRule="auto"/>
        <w:jc w:val="right"/>
        <w:rPr>
          <w:rFonts w:ascii="Arial" w:hAnsi="Arial" w:cs="Arial"/>
          <w:i/>
          <w:iCs/>
          <w:lang w:val="mn-MN"/>
        </w:rPr>
      </w:pPr>
    </w:p>
    <w:p w14:paraId="2F81CFC8" w14:textId="77777777" w:rsidR="00A15C46" w:rsidRPr="00922849" w:rsidRDefault="00A15C46" w:rsidP="00A15C46">
      <w:pPr>
        <w:spacing w:line="276" w:lineRule="auto"/>
        <w:jc w:val="both"/>
        <w:rPr>
          <w:rFonts w:ascii="Arial" w:hAnsi="Arial" w:cs="Arial"/>
          <w:b/>
          <w:bCs/>
          <w:lang w:val="mn-MN"/>
        </w:rPr>
      </w:pPr>
      <w:r w:rsidRPr="00922849">
        <w:rPr>
          <w:rFonts w:ascii="Arial" w:hAnsi="Arial" w:cs="Arial"/>
          <w:b/>
          <w:bCs/>
          <w:lang w:val="mn-MN"/>
        </w:rPr>
        <w:t>Нэг. Хуулийн төсөл боловсруулах үндэслэл</w:t>
      </w:r>
    </w:p>
    <w:p w14:paraId="55C06C76" w14:textId="26908239" w:rsidR="00A15C46" w:rsidRPr="00922849" w:rsidRDefault="2C4DB6A2" w:rsidP="340C682F">
      <w:pPr>
        <w:spacing w:line="276" w:lineRule="auto"/>
        <w:ind w:firstLine="720"/>
        <w:jc w:val="both"/>
        <w:rPr>
          <w:rFonts w:ascii="Arial" w:eastAsia="Arial" w:hAnsi="Arial" w:cs="Arial"/>
          <w:lang w:val="mn-MN"/>
        </w:rPr>
      </w:pPr>
      <w:r w:rsidRPr="340C682F">
        <w:rPr>
          <w:rFonts w:ascii="Arial" w:eastAsia="Arial" w:hAnsi="Arial" w:cs="Arial"/>
          <w:lang w:val="mn-MN"/>
        </w:rPr>
        <w:t xml:space="preserve"> Монгол Улсад иргэдийн эрүүл, аюулгүй орчинд амьдрах нөхцөлийг бүрдүүлэх, орон сууцны хүртээмжийг нэмэгдүүлэх асуудал нь нийгэм, эдийн засгийн бодлогын тэргүүлэх чиглэл хэвээр байна. Гэвч урт хугацааны, хямд өртөгтэй, тогтвортой санхүүжилтийн эх үүсвэр хангалтгүй байгаа нь бага, дунд орлоготой өрхийн орон сууц худалдан авах боломжийг хязгаарлаж байна. Одоогийн тогтолцоо нь төрийн хөтөлбөр, арилжааны банк, төсөв, төв банк болон гадаад эх үүсвэрт тулгуурлаж байгаа боловч эдгээрийг урт хугацаанд тогтвортой, ил тод, санхүүгийн сахилга баттайгаар удирдах тусгай институтийн эрх зүйн орчин бүрэн бүрдээгүй байна.</w:t>
      </w:r>
    </w:p>
    <w:p w14:paraId="16A19B16" w14:textId="6BFC61EE" w:rsidR="00A15C46" w:rsidRPr="00922849" w:rsidRDefault="2C4DB6A2" w:rsidP="28714599">
      <w:pPr>
        <w:spacing w:before="240" w:after="240" w:line="276" w:lineRule="auto"/>
        <w:ind w:firstLine="720"/>
        <w:jc w:val="both"/>
        <w:rPr>
          <w:rFonts w:ascii="Arial" w:eastAsia="Arial" w:hAnsi="Arial" w:cs="Arial"/>
          <w:lang w:val="mn-MN"/>
        </w:rPr>
      </w:pPr>
      <w:r w:rsidRPr="28714599">
        <w:rPr>
          <w:rFonts w:ascii="Arial" w:eastAsia="Arial" w:hAnsi="Arial" w:cs="Arial"/>
          <w:lang w:val="mn-MN"/>
        </w:rPr>
        <w:t xml:space="preserve">Орон сууцны санхүүжилт нь зөвхөн иргэдийн хэрэглээний зээл бус, хот байгуулалт, дэд бүтэц, барилгын салбар, хөдөлмөр эрхлэлт, санхүүгийн зах зээлийн хөгжил, агаарын бохирдлыг бууруулах зэрэг олон нийтийн ашиг сонирхолтой шууд холбоотой. Иймд орон сууцны санхүүжилтийн бодлогыг тогтвортой, хариуцлагатай, мэргэжлийн институтийн тогтолцоонд хэрэгжүүлэх шаардлагын хүрээнд Орон сууцны санхүүжилтийн </w:t>
      </w:r>
      <w:r w:rsidR="3C4498EA" w:rsidRPr="28714599">
        <w:rPr>
          <w:rFonts w:ascii="Arial" w:eastAsia="Arial" w:hAnsi="Arial" w:cs="Arial"/>
          <w:color w:val="000000" w:themeColor="text1"/>
          <w:lang w:val="mn-MN"/>
        </w:rPr>
        <w:t>төрөлжсөн</w:t>
      </w:r>
      <w:r w:rsidR="3C4498EA" w:rsidRPr="28714599">
        <w:rPr>
          <w:rFonts w:ascii="Arial" w:eastAsia="Arial" w:hAnsi="Arial" w:cs="Arial"/>
          <w:lang w:val="mn-MN"/>
        </w:rPr>
        <w:t xml:space="preserve"> </w:t>
      </w:r>
      <w:r w:rsidRPr="28714599">
        <w:rPr>
          <w:rFonts w:ascii="Arial" w:eastAsia="Arial" w:hAnsi="Arial" w:cs="Arial"/>
          <w:lang w:val="mn-MN"/>
        </w:rPr>
        <w:t>банкны тухай анхдагч хуулийн төслийг боловсруулсан. Төсөл нь орон сууцны зээлийн урт хугацааны эх үүсвэрийг нэмэгдүүлэх, олон эх үүсвэрээс хөрөнгө татан төвлөрүүлэх, банкны салбараар дамжих санхүүжилтийг тогтвортой болгох, хөрөнгийн зах зээлийн хэрэгслийг орон сууцны санхүүжилттэй уялдуулах эрх зүйн үндсийг бүрдүүлэхэд чиглэж байна.</w:t>
      </w:r>
    </w:p>
    <w:p w14:paraId="49F57C17" w14:textId="4B859D8C" w:rsidR="00A15C46" w:rsidRPr="00922849" w:rsidRDefault="00A15C46" w:rsidP="00C27EBE">
      <w:pPr>
        <w:spacing w:before="240" w:after="240" w:line="276" w:lineRule="auto"/>
        <w:jc w:val="both"/>
        <w:rPr>
          <w:rFonts w:ascii="Arial" w:hAnsi="Arial" w:cs="Arial"/>
          <w:b/>
          <w:lang w:val="mn-MN"/>
        </w:rPr>
      </w:pPr>
      <w:r w:rsidRPr="00922849">
        <w:rPr>
          <w:rFonts w:ascii="Arial" w:hAnsi="Arial" w:cs="Arial"/>
          <w:b/>
          <w:lang w:val="mn-MN"/>
        </w:rPr>
        <w:t>Хоёр. Хуулийн төслийн ерөнхий агуулга, бүтэц, зохицуулах харилцаа</w:t>
      </w:r>
    </w:p>
    <w:p w14:paraId="69A66A7A" w14:textId="77777777" w:rsidR="00A15C46" w:rsidRPr="00922849" w:rsidRDefault="00A15C46" w:rsidP="00A15C46">
      <w:pPr>
        <w:spacing w:line="276" w:lineRule="auto"/>
        <w:ind w:firstLine="720"/>
        <w:jc w:val="both"/>
        <w:rPr>
          <w:rFonts w:ascii="Arial" w:hAnsi="Arial" w:cs="Arial"/>
          <w:lang w:val="mn-MN"/>
        </w:rPr>
      </w:pPr>
      <w:r w:rsidRPr="75F63C1E">
        <w:rPr>
          <w:rFonts w:ascii="Arial" w:hAnsi="Arial" w:cs="Arial"/>
          <w:lang w:val="mn-MN"/>
        </w:rPr>
        <w:t>Энэхүү хуулийн төслийн зорилго нь иргэдийн эрүүл, аюулгүй орчинд амьдрах, орчны бохирдлоос хамгаалах хүрээнд иргэдийн худалдан авах чадвар, бодит орлогод нийцсэн орон сууц худалдан авах боломж, сонголтыг өргөжүүлэх,</w:t>
      </w:r>
      <w:r w:rsidRPr="75F63C1E">
        <w:rPr>
          <w:rFonts w:ascii="Arial" w:hAnsi="Arial" w:cs="Arial"/>
          <w:rtl/>
          <w:lang w:val="mn-MN"/>
        </w:rPr>
        <w:t xml:space="preserve"> </w:t>
      </w:r>
      <w:r w:rsidRPr="75F63C1E">
        <w:rPr>
          <w:rFonts w:ascii="Arial" w:hAnsi="Arial" w:cs="Arial"/>
          <w:lang w:val="mn-MN"/>
        </w:rPr>
        <w:t xml:space="preserve"> орон сууцны санхүүжилтийн хүртээмжийг нэмэгдүүлэх, өрсөлдөөн, үр ашгийг нэмэгдүүлэх, бага өртөгтэй санхүүжилтийн хүртээмжийг хамгаалах, улмаар үндэсний эдийн засагт орон сууцны салбарын тогтвортой, зохистой тогтолцоог бүрдүүлэх замаар хөгжлийг дэмжихэд оршино.</w:t>
      </w:r>
    </w:p>
    <w:p w14:paraId="6A8F336F" w14:textId="70A1CCC3" w:rsidR="00A15C46" w:rsidRPr="00922849" w:rsidRDefault="0B77F28C" w:rsidP="28714599">
      <w:pPr>
        <w:spacing w:after="120" w:line="276" w:lineRule="auto"/>
        <w:ind w:firstLine="454"/>
        <w:jc w:val="both"/>
        <w:rPr>
          <w:rFonts w:ascii="Arial" w:eastAsia="Arial" w:hAnsi="Arial" w:cs="Arial"/>
          <w:color w:val="000000" w:themeColor="text1"/>
          <w:lang w:val="mn-MN"/>
        </w:rPr>
      </w:pPr>
      <w:r w:rsidRPr="28714599">
        <w:rPr>
          <w:rFonts w:ascii="Arial" w:eastAsia="Arial" w:hAnsi="Arial" w:cs="Arial"/>
          <w:color w:val="000000" w:themeColor="text1"/>
          <w:lang w:val="mn-MN"/>
        </w:rPr>
        <w:t xml:space="preserve">Хуулийн төсөлд Орон сууцны санхүүжилтийн </w:t>
      </w:r>
      <w:r w:rsidR="4DFFCBFC" w:rsidRPr="28714599">
        <w:rPr>
          <w:rFonts w:ascii="Arial" w:eastAsia="Arial" w:hAnsi="Arial" w:cs="Arial"/>
          <w:color w:val="000000" w:themeColor="text1"/>
          <w:lang w:val="mn-MN"/>
        </w:rPr>
        <w:t xml:space="preserve">төрөлжсөн </w:t>
      </w:r>
      <w:r w:rsidRPr="28714599">
        <w:rPr>
          <w:rFonts w:ascii="Arial" w:eastAsia="Arial" w:hAnsi="Arial" w:cs="Arial"/>
          <w:color w:val="000000" w:themeColor="text1"/>
          <w:lang w:val="mn-MN"/>
        </w:rPr>
        <w:t>банкны үйл ажиллагааг Банкны тухай хуульд заасан банкны ердийн үйл ажиллагаанаас тодорхой ялгаж, тусгайлсан мандаттай байхаар зохицуулсан. Тухайлбал, банкнаас бусад хуулийн этгээд, иргэний мөнгөн хөрөнгийг хадгалах, банкнаас бусад этгээдэд зээл олгох, аливаа банканд давуу байдал бий болгох хэлцэл хийх, улс төрийн нам, эвсэлд хандив өгөх зэрэг үйл ажиллагааг хориглосон нь байгууллагын зорилгыг гажуудуулах, төрийн бодлогын санхүүжилтийг арилжааны бусад эрсдэлд ашиглах, сонирхлын зөрчил үүсэхээс сэргийлэх эрх зүйн хамгаалалт болно.</w:t>
      </w:r>
    </w:p>
    <w:p w14:paraId="4C13CF2A" w14:textId="00641D8D" w:rsidR="00A15C46" w:rsidRPr="00922849" w:rsidRDefault="0B77F28C" w:rsidP="340C682F">
      <w:pPr>
        <w:spacing w:after="120" w:line="276" w:lineRule="auto"/>
        <w:ind w:firstLine="454"/>
        <w:jc w:val="both"/>
        <w:rPr>
          <w:rFonts w:ascii="Arial" w:eastAsia="Arial" w:hAnsi="Arial" w:cs="Arial"/>
          <w:lang w:val="mn-MN"/>
        </w:rPr>
      </w:pPr>
      <w:r w:rsidRPr="340C682F">
        <w:rPr>
          <w:rFonts w:ascii="Arial" w:eastAsia="Arial" w:hAnsi="Arial" w:cs="Arial"/>
          <w:color w:val="000000" w:themeColor="text1"/>
          <w:lang w:val="mn-MN"/>
        </w:rPr>
        <w:lastRenderedPageBreak/>
        <w:t xml:space="preserve"> Хуулийн төсөл нь нийт 7 бүлэг, 29 зүйлтэй бөгөөд анхдагч хуулийн төслийн хувьд нийтлэг үндэслэл, эрх зүйн байдал, үйл ажиллагаа, засаглал, төрийн байгууллагын бүрэн эрх, хяналт, хязгаарлалт, албадлагын арга хэмжээ болон бусад зохицуулалтыг цогцоор нь хамарсан бүтэцтэй байна.</w:t>
      </w:r>
    </w:p>
    <w:p w14:paraId="3CB90389" w14:textId="77777777" w:rsidR="00A15C46" w:rsidRPr="00922849" w:rsidRDefault="00A15C46" w:rsidP="00A15C46">
      <w:pPr>
        <w:spacing w:line="276" w:lineRule="auto"/>
        <w:jc w:val="both"/>
        <w:rPr>
          <w:rFonts w:ascii="Arial" w:hAnsi="Arial" w:cs="Arial"/>
          <w:b/>
          <w:bCs/>
          <w:lang w:val="mn-MN"/>
        </w:rPr>
      </w:pPr>
      <w:r w:rsidRPr="00922849">
        <w:rPr>
          <w:rFonts w:ascii="Arial" w:hAnsi="Arial" w:cs="Arial"/>
          <w:b/>
          <w:bCs/>
          <w:lang w:val="mn-MN"/>
        </w:rPr>
        <w:t>Гурав. Хуулийн төсөлд тусгасан зарчмын шинжтэй зохицуулалт</w:t>
      </w:r>
    </w:p>
    <w:p w14:paraId="54205624" w14:textId="3A983815" w:rsidR="47C7F0CF" w:rsidRDefault="00A15C46" w:rsidP="28714599">
      <w:pPr>
        <w:spacing w:line="276" w:lineRule="auto"/>
        <w:ind w:firstLine="720"/>
        <w:jc w:val="both"/>
        <w:rPr>
          <w:rFonts w:ascii="Arial" w:eastAsia="Arial" w:hAnsi="Arial" w:cs="Arial"/>
          <w:lang w:val="mn-MN"/>
        </w:rPr>
      </w:pPr>
      <w:r w:rsidRPr="28714599">
        <w:rPr>
          <w:rFonts w:ascii="Arial" w:hAnsi="Arial" w:cs="Arial"/>
          <w:lang w:val="mn-MN"/>
        </w:rPr>
        <w:t>“Орон сууц</w:t>
      </w:r>
      <w:r w:rsidR="008618F1" w:rsidRPr="28714599">
        <w:rPr>
          <w:rFonts w:ascii="Arial" w:hAnsi="Arial" w:cs="Arial"/>
          <w:lang w:val="mn-MN"/>
        </w:rPr>
        <w:t xml:space="preserve">ны санхүүжилтийн </w:t>
      </w:r>
      <w:r w:rsidR="273C93C7" w:rsidRPr="28714599">
        <w:rPr>
          <w:rFonts w:ascii="Arial" w:eastAsia="Arial" w:hAnsi="Arial" w:cs="Arial"/>
          <w:color w:val="000000" w:themeColor="text1"/>
          <w:lang w:val="mn-MN"/>
        </w:rPr>
        <w:t>төрөлжсөн</w:t>
      </w:r>
      <w:r w:rsidR="273C93C7" w:rsidRPr="28714599">
        <w:rPr>
          <w:rFonts w:ascii="Arial" w:eastAsia="Arial" w:hAnsi="Arial" w:cs="Arial"/>
          <w:lang w:val="mn-MN"/>
        </w:rPr>
        <w:t xml:space="preserve"> </w:t>
      </w:r>
      <w:r w:rsidR="008618F1" w:rsidRPr="28714599">
        <w:rPr>
          <w:rFonts w:ascii="Arial" w:hAnsi="Arial" w:cs="Arial"/>
          <w:lang w:val="mn-MN"/>
        </w:rPr>
        <w:t>банк</w:t>
      </w:r>
      <w:r w:rsidRPr="28714599">
        <w:rPr>
          <w:rFonts w:ascii="Arial" w:hAnsi="Arial" w:cs="Arial"/>
          <w:lang w:val="mn-MN"/>
        </w:rPr>
        <w:t>н</w:t>
      </w:r>
      <w:r w:rsidR="008618F1" w:rsidRPr="28714599">
        <w:rPr>
          <w:rFonts w:ascii="Arial" w:hAnsi="Arial" w:cs="Arial"/>
          <w:lang w:val="mn-MN"/>
        </w:rPr>
        <w:t>ы</w:t>
      </w:r>
      <w:r w:rsidRPr="28714599">
        <w:rPr>
          <w:rFonts w:ascii="Arial" w:hAnsi="Arial" w:cs="Arial"/>
          <w:lang w:val="mn-MN"/>
        </w:rPr>
        <w:t xml:space="preserve"> тухай” хуулийн төслийн гол онцлог нь </w:t>
      </w:r>
      <w:r w:rsidR="47C7F0CF" w:rsidRPr="28714599">
        <w:rPr>
          <w:rFonts w:ascii="Arial" w:eastAsia="Arial" w:hAnsi="Arial" w:cs="Arial"/>
          <w:lang w:val="mn-MN"/>
        </w:rPr>
        <w:t xml:space="preserve">ипотекийн зээлийн эх үүсвэрийг урт хугацаанд тогтвортой, төрөлжсөн, зах </w:t>
      </w:r>
      <w:r w:rsidR="00862232">
        <w:rPr>
          <w:rFonts w:ascii="Arial" w:eastAsia="Arial" w:hAnsi="Arial" w:cs="Arial"/>
          <w:lang w:val="mn-MN"/>
        </w:rPr>
        <w:t>a</w:t>
      </w:r>
      <w:r w:rsidR="47C7F0CF" w:rsidRPr="28714599">
        <w:rPr>
          <w:rFonts w:ascii="Arial" w:eastAsia="Arial" w:hAnsi="Arial" w:cs="Arial"/>
          <w:lang w:val="mn-MN"/>
        </w:rPr>
        <w:t xml:space="preserve">зохицуулалт, хууль эрх зүйн үндэслэлийг тусгасан. </w:t>
      </w:r>
      <w:r w:rsidR="3F58E73A" w:rsidRPr="28714599">
        <w:rPr>
          <w:rFonts w:ascii="Arial" w:eastAsia="Arial" w:hAnsi="Arial" w:cs="Arial"/>
          <w:lang w:val="mn-MN"/>
        </w:rPr>
        <w:t>Орон сууцны санхүүжилтийн</w:t>
      </w:r>
      <w:r w:rsidR="47C7F0CF" w:rsidRPr="28714599">
        <w:rPr>
          <w:rFonts w:ascii="Arial" w:eastAsia="Arial" w:hAnsi="Arial" w:cs="Arial"/>
          <w:lang w:val="mn-MN"/>
        </w:rPr>
        <w:t xml:space="preserve"> </w:t>
      </w:r>
      <w:r w:rsidR="127220B7" w:rsidRPr="28714599">
        <w:rPr>
          <w:rFonts w:ascii="Arial" w:eastAsia="Arial" w:hAnsi="Arial" w:cs="Arial"/>
          <w:color w:val="000000" w:themeColor="text1"/>
          <w:lang w:val="mn-MN"/>
        </w:rPr>
        <w:t>төрөлжсөн</w:t>
      </w:r>
      <w:r w:rsidR="127220B7" w:rsidRPr="28714599">
        <w:rPr>
          <w:rFonts w:ascii="Arial" w:eastAsia="Arial" w:hAnsi="Arial" w:cs="Arial"/>
          <w:lang w:val="mn-MN"/>
        </w:rPr>
        <w:t xml:space="preserve"> </w:t>
      </w:r>
      <w:r w:rsidR="47C7F0CF" w:rsidRPr="28714599">
        <w:rPr>
          <w:rFonts w:ascii="Arial" w:eastAsia="Arial" w:hAnsi="Arial" w:cs="Arial"/>
          <w:lang w:val="mn-MN"/>
        </w:rPr>
        <w:t xml:space="preserve">банк нь үнэт цаас гаргах, олон улсын болон дотоодын хөрөнгө оруулагчдаас эх үүсвэр татах, орон сууцны зээлээр баталгаажсан санхүүгийн хэрэгсэл худалдан авах замаар </w:t>
      </w:r>
      <w:proofErr w:type="spellStart"/>
      <w:r w:rsidR="47C7F0CF" w:rsidRPr="28714599">
        <w:rPr>
          <w:rFonts w:ascii="Arial" w:eastAsia="Arial" w:hAnsi="Arial" w:cs="Arial"/>
          <w:lang w:val="mn-MN"/>
        </w:rPr>
        <w:t>банкуудад</w:t>
      </w:r>
      <w:proofErr w:type="spellEnd"/>
      <w:r w:rsidR="47C7F0CF" w:rsidRPr="28714599">
        <w:rPr>
          <w:rFonts w:ascii="Arial" w:eastAsia="Arial" w:hAnsi="Arial" w:cs="Arial"/>
          <w:lang w:val="mn-MN"/>
        </w:rPr>
        <w:t xml:space="preserve"> санхүүжилт олгоно. Ингэснээр банкны салбарын эх үүсвэрийн хугацааны зөрүү, хөрвөх чадварын эрсдэлийг бууруулж, ипотекийн зээлийн нийлүүлэлтийг илүү тогтвортой болгох ач холбогдолтой.</w:t>
      </w:r>
    </w:p>
    <w:p w14:paraId="2B836D69" w14:textId="6993981E" w:rsidR="47C7F0CF" w:rsidRDefault="47C7F0CF" w:rsidP="003E409B">
      <w:pPr>
        <w:spacing w:before="240" w:after="240"/>
        <w:ind w:firstLine="720"/>
        <w:jc w:val="both"/>
      </w:pPr>
      <w:r w:rsidRPr="02FED613">
        <w:rPr>
          <w:rFonts w:ascii="Arial" w:eastAsia="Arial" w:hAnsi="Arial" w:cs="Arial"/>
          <w:lang w:val="mn-MN"/>
        </w:rPr>
        <w:t>Түүнчлэн тус банкны үйл ажиллагаа нь ипотекийн хоёрдогч зах зээл болон хөрөнгийн зах зээлийн урт хугацааны бүтээгдэхүүнийг хөгжүүлэх суурь болохоор байна. Гэвч санхүүжилтийн өсөлт нь орон сууцны бодит нийлүүлэлттэй уялдахгүй тохиолдолд үнийн өсөлтийг өдөөх эрсдэлтэй тул санхүүжилтийн бодлогыг орон сууцны нийлүүлэлт, хот байгуулалт, ногоон хөгжлийн бодлоготой уялдуулж, зах зээлд үзүүлэх нөлөөллийг тогтмол үнэлэх зохицуулалтыг төсөлд тусгасан.</w:t>
      </w:r>
    </w:p>
    <w:p w14:paraId="72DF4731" w14:textId="3DA58492" w:rsidR="47C7F0CF" w:rsidRDefault="47C7F0CF" w:rsidP="28714599">
      <w:pPr>
        <w:spacing w:before="240" w:after="240"/>
        <w:ind w:firstLine="720"/>
        <w:jc w:val="both"/>
      </w:pPr>
      <w:r w:rsidRPr="28714599">
        <w:rPr>
          <w:rFonts w:ascii="Arial" w:eastAsia="Arial" w:hAnsi="Arial" w:cs="Arial"/>
          <w:lang w:val="mn-MN"/>
        </w:rPr>
        <w:t xml:space="preserve">Хуулийн төсөлд Орон сууцны санхүүжилтийн </w:t>
      </w:r>
      <w:r w:rsidR="59FE2F8B" w:rsidRPr="28714599">
        <w:rPr>
          <w:rFonts w:ascii="Arial" w:eastAsia="Arial" w:hAnsi="Arial" w:cs="Arial"/>
          <w:color w:val="000000" w:themeColor="text1"/>
          <w:lang w:val="mn-MN"/>
        </w:rPr>
        <w:t>төрөлжсөн</w:t>
      </w:r>
      <w:r w:rsidR="59FE2F8B" w:rsidRPr="28714599">
        <w:rPr>
          <w:rFonts w:ascii="Arial" w:eastAsia="Arial" w:hAnsi="Arial" w:cs="Arial"/>
          <w:lang w:val="mn-MN"/>
        </w:rPr>
        <w:t xml:space="preserve"> </w:t>
      </w:r>
      <w:r w:rsidRPr="28714599">
        <w:rPr>
          <w:rFonts w:ascii="Arial" w:eastAsia="Arial" w:hAnsi="Arial" w:cs="Arial"/>
          <w:lang w:val="mn-MN"/>
        </w:rPr>
        <w:t>банкны хувь нийлүүлсэн хөрөнгийн 34</w:t>
      </w:r>
      <w:r w:rsidR="48C083C3" w:rsidRPr="28714599">
        <w:rPr>
          <w:rFonts w:ascii="Arial" w:eastAsia="Arial" w:hAnsi="Arial" w:cs="Arial"/>
          <w:lang w:val="mn-MN"/>
        </w:rPr>
        <w:t xml:space="preserve"> хүртэлх х</w:t>
      </w:r>
      <w:r w:rsidRPr="28714599">
        <w:rPr>
          <w:rFonts w:ascii="Arial" w:eastAsia="Arial" w:hAnsi="Arial" w:cs="Arial"/>
          <w:lang w:val="mn-MN"/>
        </w:rPr>
        <w:t xml:space="preserve">увийг Засгийн газар эзэмшихээр тусгасан нь нийтийн бодлогын зорилго, стратегийн хяналтыг хадгалах үндэслэлтэй. Энэ нь төрийн бодлого болон зах зээлийн хөрөнгө оруулалтын оролцоог тэнцвэржүүлэхийн зэрэгцээ банкны өдөр тутмын үйл ажиллагаанд шууд захиргааны нөлөөлөл үзүүлэхгүй байх зарчимд тулгуурлаж байна. Иймд хувьцаа эзэмшигчийн эрх, Төлөөлөн удирдах зөвлөлийн хараат бус байдал, мэргэжлийн удирдлага, </w:t>
      </w:r>
      <w:proofErr w:type="spellStart"/>
      <w:r w:rsidRPr="28714599">
        <w:rPr>
          <w:rFonts w:ascii="Arial" w:eastAsia="Arial" w:hAnsi="Arial" w:cs="Arial"/>
          <w:lang w:val="mn-MN"/>
        </w:rPr>
        <w:t>Монголбанкны</w:t>
      </w:r>
      <w:proofErr w:type="spellEnd"/>
      <w:r w:rsidRPr="28714599">
        <w:rPr>
          <w:rFonts w:ascii="Arial" w:eastAsia="Arial" w:hAnsi="Arial" w:cs="Arial"/>
          <w:lang w:val="mn-MN"/>
        </w:rPr>
        <w:t xml:space="preserve"> хяналт, хөндлөнгийн аудит зэрэг засаглалын хамгаалалтыг бодитой хэрэгжүүлэх нь чухал гэж үзсэн болно.</w:t>
      </w:r>
    </w:p>
    <w:p w14:paraId="1D2EA459" w14:textId="77777777" w:rsidR="00A15C46" w:rsidRPr="00922849" w:rsidRDefault="00A15C46" w:rsidP="00A15C46">
      <w:pPr>
        <w:spacing w:line="276" w:lineRule="auto"/>
        <w:jc w:val="both"/>
        <w:rPr>
          <w:rFonts w:ascii="Arial" w:hAnsi="Arial" w:cs="Arial"/>
          <w:b/>
          <w:bCs/>
          <w:lang w:val="mn-MN"/>
        </w:rPr>
      </w:pPr>
      <w:r w:rsidRPr="00922849">
        <w:rPr>
          <w:rFonts w:ascii="Arial" w:hAnsi="Arial" w:cs="Arial"/>
          <w:b/>
          <w:bCs/>
          <w:lang w:val="mn-MN"/>
        </w:rPr>
        <w:t>Дөрөв. Тухайн харилцааг урьд нь хууль, эрх зүйн бусад актаар зохицуулж ирсэн байдал</w:t>
      </w:r>
    </w:p>
    <w:p w14:paraId="74C8E3AE" w14:textId="04890689" w:rsidR="00A15C46" w:rsidRDefault="6597C905" w:rsidP="6B00757D">
      <w:pPr>
        <w:spacing w:line="276" w:lineRule="auto"/>
        <w:ind w:firstLine="720"/>
        <w:jc w:val="both"/>
        <w:rPr>
          <w:rFonts w:ascii="Arial" w:hAnsi="Arial" w:cs="Arial"/>
          <w:highlight w:val="yellow"/>
          <w:lang w:val="mn-MN"/>
        </w:rPr>
      </w:pPr>
      <w:r w:rsidRPr="6B00757D">
        <w:rPr>
          <w:rFonts w:ascii="Arial" w:hAnsi="Arial" w:cs="Arial"/>
          <w:lang w:val="mn-MN"/>
        </w:rPr>
        <w:t xml:space="preserve">2013 оноос Монгол Улс “Орон сууцны ипотекийн зээлийн санхүүжилтийн тогтвортой тогтолцоог бүрдүүлэх хөтөлбөр”-ийг хэрэгжүүлж эхэлсэн бөгөөд уг хөтөлбөрийн хүрээнд </w:t>
      </w:r>
      <w:proofErr w:type="spellStart"/>
      <w:r w:rsidRPr="6B00757D">
        <w:rPr>
          <w:rFonts w:ascii="Arial" w:hAnsi="Arial" w:cs="Arial"/>
          <w:lang w:val="mn-MN"/>
        </w:rPr>
        <w:t>Монголбанк</w:t>
      </w:r>
      <w:proofErr w:type="spellEnd"/>
      <w:r w:rsidRPr="6B00757D">
        <w:rPr>
          <w:rFonts w:ascii="Arial" w:hAnsi="Arial" w:cs="Arial"/>
          <w:lang w:val="mn-MN"/>
        </w:rPr>
        <w:t xml:space="preserve"> арилжааны </w:t>
      </w:r>
      <w:proofErr w:type="spellStart"/>
      <w:r w:rsidRPr="6B00757D">
        <w:rPr>
          <w:rFonts w:ascii="Arial" w:hAnsi="Arial" w:cs="Arial"/>
          <w:lang w:val="mn-MN"/>
        </w:rPr>
        <w:t>банкуудад</w:t>
      </w:r>
      <w:proofErr w:type="spellEnd"/>
      <w:r w:rsidRPr="6B00757D">
        <w:rPr>
          <w:rFonts w:ascii="Arial" w:hAnsi="Arial" w:cs="Arial"/>
          <w:lang w:val="mn-MN"/>
        </w:rPr>
        <w:t xml:space="preserve"> хөнгөлөлттэй эх үүсвэр олгон, иргэдэд жилийн 8 хувийн хүүтэй, урт хугацааны ипотекийн зээл олгох нөхцөлийг бүрдүүлсэн. Улмаар 2016, 2018 онуудад холбогдох журам, зохицуулалтыг шинэчилж, зээлийн хугацаа, нөхцөл, санхүүжилтийн хяналтын тогтолцоог тодорхой болгосон бол 2020 онд ипотекийн зээлийн хүүг 6 хувь болгон бууруулж, цар тахлын үед зээлийн эргэн төлөлтийг түр хойшлуулах арга хэмжээг хэрэгжүүлсэн.</w:t>
      </w:r>
    </w:p>
    <w:p w14:paraId="6569FD52" w14:textId="49FFB70C" w:rsidR="6597C905" w:rsidRDefault="6597C905" w:rsidP="6B00757D">
      <w:pPr>
        <w:spacing w:line="276" w:lineRule="auto"/>
        <w:ind w:firstLine="720"/>
        <w:jc w:val="both"/>
      </w:pPr>
      <w:r w:rsidRPr="6B00757D">
        <w:rPr>
          <w:rFonts w:ascii="Arial" w:hAnsi="Arial" w:cs="Arial"/>
          <w:lang w:val="mn-MN"/>
        </w:rPr>
        <w:t xml:space="preserve">Энэхүү бодлогын үр дүнд Монгол Улсад ипотекийн зээл гэсэн шинэ санхүүгийн бүтээгдэхүүн тогтож, иргэдийн орон сууц худалдан авах боломж мэдэгдэхүйц нэмэгдсэн. Тухайлбал, хөтөлбөр хэрэгжиж эхлэх үед орон сууцанд </w:t>
      </w:r>
      <w:r w:rsidRPr="6B00757D">
        <w:rPr>
          <w:rFonts w:ascii="Arial" w:hAnsi="Arial" w:cs="Arial"/>
          <w:lang w:val="mn-MN"/>
        </w:rPr>
        <w:lastRenderedPageBreak/>
        <w:t>амьдарч байсан өрхийн тоо 136 мянга байсан бол 2023 онд 230 мянгад хүрч өссөн байна. Мөн 2017 оноос 2024 оны 5 дугаар сарын 1-ний өдөр хүртэл нийт 4.5 их наяд төгрөгийн ипотекийн зээлийг 52.5 мянга орчим зээлдэгчид олгожээ.</w:t>
      </w:r>
    </w:p>
    <w:p w14:paraId="1D051C3B" w14:textId="5F095C10" w:rsidR="6B00757D" w:rsidRDefault="6597C905" w:rsidP="6B00757D">
      <w:pPr>
        <w:spacing w:line="276" w:lineRule="auto"/>
        <w:ind w:firstLine="720"/>
        <w:jc w:val="both"/>
        <w:rPr>
          <w:rFonts w:ascii="Arial" w:hAnsi="Arial" w:cs="Arial"/>
          <w:lang w:val="mn-MN"/>
        </w:rPr>
      </w:pPr>
      <w:r w:rsidRPr="6B00757D">
        <w:rPr>
          <w:rFonts w:ascii="Arial" w:hAnsi="Arial" w:cs="Arial"/>
          <w:lang w:val="mn-MN"/>
        </w:rPr>
        <w:t xml:space="preserve">Гэвч 2017 оноос Олон улсын валютын сангийн “Өргөтгөсөн санхүүжилтийн хөтөлбөр”-тэй холбоотойгоор ипотекийн зээлийг төсвийн шинжтэй санхүүжилт гэж үзэн </w:t>
      </w:r>
      <w:proofErr w:type="spellStart"/>
      <w:r w:rsidRPr="6B00757D">
        <w:rPr>
          <w:rFonts w:ascii="Arial" w:hAnsi="Arial" w:cs="Arial"/>
          <w:lang w:val="mn-MN"/>
        </w:rPr>
        <w:t>Монголбанкны</w:t>
      </w:r>
      <w:proofErr w:type="spellEnd"/>
      <w:r w:rsidRPr="6B00757D">
        <w:rPr>
          <w:rFonts w:ascii="Arial" w:hAnsi="Arial" w:cs="Arial"/>
          <w:lang w:val="mn-MN"/>
        </w:rPr>
        <w:t xml:space="preserve"> оролцоог бууруулж, Засгийн газарт шилжүүлэх шаардлага тавигдсан. Үүнтэй зэрэгцэн ипотекийн зээлийн эрэлт эрчимтэй өсөж, 2024 оны 5 дугаар сарын байдлаар арилжааны </w:t>
      </w:r>
      <w:proofErr w:type="spellStart"/>
      <w:r w:rsidRPr="6B00757D">
        <w:rPr>
          <w:rFonts w:ascii="Arial" w:hAnsi="Arial" w:cs="Arial"/>
          <w:lang w:val="mn-MN"/>
        </w:rPr>
        <w:t>банкуудад</w:t>
      </w:r>
      <w:proofErr w:type="spellEnd"/>
      <w:r w:rsidRPr="6B00757D">
        <w:rPr>
          <w:rFonts w:ascii="Arial" w:hAnsi="Arial" w:cs="Arial"/>
          <w:lang w:val="mn-MN"/>
        </w:rPr>
        <w:t xml:space="preserve"> 2.4 их наяд төгрөгийн дүнтэй 20.1 мянган иргэний зээлийн хүсэлт хуримтлагдсан нь санхүүжилтийн тогтвортой, байнгын эх үүсвэр бүрдүүлэх, хөнгөлөлттэй зээлийн хүртээмжийг нэмэгдүүлэх хэрэгцээ өндөр байгааг харуулж байна.</w:t>
      </w:r>
      <w:r w:rsidRPr="59467042">
        <w:rPr>
          <w:rFonts w:ascii="Arial" w:hAnsi="Arial" w:cs="Arial"/>
          <w:lang w:val="mn-MN"/>
        </w:rPr>
        <w:t xml:space="preserve"> </w:t>
      </w:r>
      <w:r w:rsidRPr="2F2D61DB">
        <w:rPr>
          <w:rFonts w:ascii="Arial" w:hAnsi="Arial" w:cs="Arial"/>
          <w:lang w:val="mn-MN"/>
        </w:rPr>
        <w:t>Энэ хүрээнд</w:t>
      </w:r>
      <w:r w:rsidRPr="383D5439">
        <w:rPr>
          <w:rFonts w:ascii="Arial" w:hAnsi="Arial" w:cs="Arial"/>
          <w:lang w:val="mn-MN"/>
        </w:rPr>
        <w:t xml:space="preserve"> </w:t>
      </w:r>
      <w:r w:rsidRPr="24C166B4">
        <w:rPr>
          <w:rFonts w:ascii="Arial" w:hAnsi="Arial" w:cs="Arial"/>
          <w:lang w:val="mn-MN"/>
        </w:rPr>
        <w:t xml:space="preserve">УИХ-аас </w:t>
      </w:r>
      <w:r w:rsidRPr="1A51A929">
        <w:rPr>
          <w:rFonts w:ascii="Arial" w:hAnsi="Arial" w:cs="Arial"/>
          <w:lang w:val="mn-MN"/>
        </w:rPr>
        <w:t>холбогдох хууль</w:t>
      </w:r>
      <w:r w:rsidRPr="29390229">
        <w:rPr>
          <w:rFonts w:ascii="Arial" w:hAnsi="Arial" w:cs="Arial"/>
          <w:lang w:val="mn-MN"/>
        </w:rPr>
        <w:t xml:space="preserve"> </w:t>
      </w:r>
      <w:r w:rsidRPr="11C7B57B">
        <w:rPr>
          <w:rFonts w:ascii="Arial" w:hAnsi="Arial" w:cs="Arial"/>
          <w:lang w:val="mn-MN"/>
        </w:rPr>
        <w:t>тог</w:t>
      </w:r>
      <w:r w:rsidR="7990CFC3" w:rsidRPr="11C7B57B">
        <w:rPr>
          <w:rFonts w:ascii="Arial" w:hAnsi="Arial" w:cs="Arial"/>
          <w:lang w:val="mn-MN"/>
        </w:rPr>
        <w:t xml:space="preserve">тоомжийг </w:t>
      </w:r>
      <w:r w:rsidR="7990CFC3" w:rsidRPr="11BB7199">
        <w:rPr>
          <w:rFonts w:ascii="Arial" w:hAnsi="Arial" w:cs="Arial"/>
          <w:lang w:val="mn-MN"/>
        </w:rPr>
        <w:t xml:space="preserve">батлан орон </w:t>
      </w:r>
      <w:r w:rsidR="7990CFC3" w:rsidRPr="3A6AB281">
        <w:rPr>
          <w:rFonts w:ascii="Arial" w:hAnsi="Arial" w:cs="Arial"/>
          <w:lang w:val="mn-MN"/>
        </w:rPr>
        <w:t xml:space="preserve">сууцны </w:t>
      </w:r>
      <w:r w:rsidR="7990CFC3" w:rsidRPr="40586606">
        <w:rPr>
          <w:rFonts w:ascii="Arial" w:hAnsi="Arial" w:cs="Arial"/>
          <w:lang w:val="mn-MN"/>
        </w:rPr>
        <w:t xml:space="preserve">санхүүжилтийн </w:t>
      </w:r>
      <w:r w:rsidR="7990CFC3" w:rsidRPr="0CE35C10">
        <w:rPr>
          <w:rFonts w:ascii="Arial" w:hAnsi="Arial" w:cs="Arial"/>
          <w:lang w:val="mn-MN"/>
        </w:rPr>
        <w:t xml:space="preserve">тогтвортой </w:t>
      </w:r>
      <w:r w:rsidR="7990CFC3" w:rsidRPr="3C0F2AF2">
        <w:rPr>
          <w:rFonts w:ascii="Arial" w:hAnsi="Arial" w:cs="Arial"/>
          <w:lang w:val="mn-MN"/>
        </w:rPr>
        <w:t xml:space="preserve">тогтолцоог </w:t>
      </w:r>
      <w:r w:rsidR="7990CFC3" w:rsidRPr="18B098C2">
        <w:rPr>
          <w:rFonts w:ascii="Arial" w:hAnsi="Arial" w:cs="Arial"/>
          <w:lang w:val="mn-MN"/>
        </w:rPr>
        <w:t xml:space="preserve">бүрдүүлэх эрх </w:t>
      </w:r>
      <w:r w:rsidR="7990CFC3" w:rsidRPr="35ED214C">
        <w:rPr>
          <w:rFonts w:ascii="Arial" w:hAnsi="Arial" w:cs="Arial"/>
          <w:lang w:val="mn-MN"/>
        </w:rPr>
        <w:t xml:space="preserve">зүйн </w:t>
      </w:r>
      <w:r w:rsidR="7990CFC3" w:rsidRPr="60DFBADE">
        <w:rPr>
          <w:rFonts w:ascii="Arial" w:hAnsi="Arial" w:cs="Arial"/>
          <w:lang w:val="mn-MN"/>
        </w:rPr>
        <w:t xml:space="preserve">үндсийг бий </w:t>
      </w:r>
      <w:r w:rsidR="7990CFC3" w:rsidRPr="70BF193D">
        <w:rPr>
          <w:rFonts w:ascii="Arial" w:hAnsi="Arial" w:cs="Arial"/>
          <w:lang w:val="mn-MN"/>
        </w:rPr>
        <w:t xml:space="preserve">болгохоор </w:t>
      </w:r>
      <w:r w:rsidR="7990CFC3" w:rsidRPr="32CEF3A8">
        <w:rPr>
          <w:rFonts w:ascii="Arial" w:hAnsi="Arial" w:cs="Arial"/>
          <w:lang w:val="mn-MN"/>
        </w:rPr>
        <w:t>шийдвэрлэсэн.</w:t>
      </w:r>
    </w:p>
    <w:p w14:paraId="64F8980D" w14:textId="77777777" w:rsidR="00A15C46" w:rsidRPr="00922849" w:rsidRDefault="00A15C46" w:rsidP="00A15C46">
      <w:pPr>
        <w:spacing w:line="276" w:lineRule="auto"/>
        <w:jc w:val="both"/>
        <w:rPr>
          <w:rFonts w:ascii="Arial" w:hAnsi="Arial" w:cs="Arial"/>
          <w:b/>
          <w:bCs/>
          <w:lang w:val="mn-MN"/>
        </w:rPr>
      </w:pPr>
      <w:r w:rsidRPr="00922849">
        <w:rPr>
          <w:rFonts w:ascii="Arial" w:hAnsi="Arial" w:cs="Arial"/>
          <w:b/>
          <w:bCs/>
          <w:lang w:val="mn-MN"/>
        </w:rPr>
        <w:t>Тав. Хуулийн төслийг боловсруулахтай холбогдуулан хууль санаачлагчаас авч хэрэгжүүлсэн арга хэмжээ</w:t>
      </w:r>
    </w:p>
    <w:p w14:paraId="0A8F144B" w14:textId="30666A85" w:rsidR="03DBAD06" w:rsidRDefault="03DBAD06" w:rsidP="47E1C3ED">
      <w:pPr>
        <w:spacing w:line="276" w:lineRule="auto"/>
        <w:ind w:firstLine="720"/>
        <w:jc w:val="both"/>
        <w:rPr>
          <w:rFonts w:ascii="Arial" w:hAnsi="Arial" w:cs="Arial"/>
          <w:lang w:val="mn-MN"/>
        </w:rPr>
      </w:pPr>
      <w:r w:rsidRPr="5A30D7B3">
        <w:rPr>
          <w:rFonts w:ascii="Arial" w:hAnsi="Arial" w:cs="Arial"/>
          <w:lang w:val="mn-MN"/>
        </w:rPr>
        <w:t xml:space="preserve">УИХ-ын 2020 оны 52 дугаар тогтоолоор  “Алсын хараа-2050” Монгол Улсын урт хугацааны хөгжлийн бодлогын зорилтыг баталсан ба өрх, гэр бүлийн худалдан авах чадварт нийцсэн өртөгтэй, эрэлт хэрэгцээнд нийцсэн байр сууцаар хангах нөхцөлийг бүрдүүлэх арга хэмжээг хэрэгжүүлэх талаар тусгасан. </w:t>
      </w:r>
    </w:p>
    <w:p w14:paraId="505C777D" w14:textId="2BB075B7" w:rsidR="03DBAD06" w:rsidRDefault="03DBAD06" w:rsidP="47E1C3ED">
      <w:pPr>
        <w:spacing w:line="276" w:lineRule="auto"/>
        <w:ind w:firstLine="720"/>
        <w:jc w:val="both"/>
        <w:rPr>
          <w:rFonts w:ascii="Arial" w:hAnsi="Arial" w:cs="Arial"/>
          <w:lang w:val="mn-MN"/>
        </w:rPr>
      </w:pPr>
      <w:r w:rsidRPr="5A30D7B3">
        <w:rPr>
          <w:rFonts w:ascii="Arial" w:hAnsi="Arial" w:cs="Arial"/>
          <w:lang w:val="mn-MN"/>
        </w:rPr>
        <w:t xml:space="preserve">Мөн Засгийн газрын 2024-2028 оны үйл ажиллагааны хөтөлбөрт орон сууцны ипотекийн хөтөлбөрийг Засгийн газарт шилжүүлэх ажлыг зохион байгуулахаас гадна орлогод нийцсэн орон сууцны нийлүүлэлтийг нэмэгдүүлж, орон </w:t>
      </w:r>
      <w:proofErr w:type="spellStart"/>
      <w:r w:rsidRPr="5A30D7B3">
        <w:rPr>
          <w:rFonts w:ascii="Arial" w:hAnsi="Arial" w:cs="Arial"/>
          <w:lang w:val="mn-MN"/>
        </w:rPr>
        <w:t>сууцжуулалтыг</w:t>
      </w:r>
      <w:proofErr w:type="spellEnd"/>
      <w:r w:rsidRPr="5A30D7B3">
        <w:rPr>
          <w:rFonts w:ascii="Arial" w:hAnsi="Arial" w:cs="Arial"/>
          <w:lang w:val="mn-MN"/>
        </w:rPr>
        <w:t xml:space="preserve"> эрчимжүүлэх, "Миний түрээсийн орон сууц" хөтөлбөрийг хэрэгжүүлэх болон эрчим хүчний хэмнэлттэй амины орон сууцны нийлүүлэлтийг нэмэгдүүлэхэд чиглэсэн бодлого хэрэгжүүлэх зэрэг зорилго багтсан байна. </w:t>
      </w:r>
    </w:p>
    <w:p w14:paraId="460D7DEB" w14:textId="4F9F5DFF" w:rsidR="03DBAD06" w:rsidRDefault="03DBAD06" w:rsidP="47E1C3ED">
      <w:pPr>
        <w:spacing w:line="276" w:lineRule="auto"/>
        <w:ind w:firstLine="720"/>
        <w:jc w:val="both"/>
        <w:rPr>
          <w:rFonts w:ascii="Arial" w:hAnsi="Arial" w:cs="Arial"/>
          <w:lang w:val="mn-MN"/>
        </w:rPr>
      </w:pPr>
      <w:r w:rsidRPr="5A30D7B3">
        <w:rPr>
          <w:rFonts w:ascii="Arial" w:hAnsi="Arial" w:cs="Arial"/>
          <w:lang w:val="mn-MN"/>
        </w:rPr>
        <w:t>Ийнхүү ипотекийн зээлийн хөтөлбөрийг Засгийн газарт шилжүүлэх болсон үйл явцтай уялдуулан санхүүжилтийн байнгын эх үүсвэрийг зохистойгоор бий болгох, хөнгөлөлттэй зээлийн хүртээмжийг нэмэхээс гадна зорилтот бүлгийн иргэдийг түрээсийн орон сууцаар хангах, орлогод нийцсэн орон сууцны нийлүүлэлтэд дэмжлэг үзүүлэх шаардлага үүсээд байна.</w:t>
      </w:r>
    </w:p>
    <w:p w14:paraId="4879A2A7" w14:textId="77777777" w:rsidR="00A15C46" w:rsidRPr="00922849" w:rsidRDefault="00A15C46" w:rsidP="00A15C46">
      <w:pPr>
        <w:spacing w:line="276" w:lineRule="auto"/>
        <w:jc w:val="both"/>
        <w:rPr>
          <w:rFonts w:ascii="Arial" w:hAnsi="Arial" w:cs="Arial"/>
          <w:b/>
          <w:bCs/>
          <w:lang w:val="mn-MN"/>
        </w:rPr>
      </w:pPr>
      <w:r w:rsidRPr="00922849">
        <w:rPr>
          <w:rFonts w:ascii="Arial" w:hAnsi="Arial" w:cs="Arial"/>
          <w:b/>
          <w:bCs/>
          <w:lang w:val="mn-MN"/>
        </w:rPr>
        <w:t>Зургаа. Хуулийн төслийг олон нийтээр хэлэлцүүлсэн дүн</w:t>
      </w:r>
    </w:p>
    <w:p w14:paraId="7D61BBED" w14:textId="77777777" w:rsidR="00A15C46" w:rsidRDefault="00A15C46" w:rsidP="00705EA8">
      <w:pPr>
        <w:spacing w:line="276" w:lineRule="auto"/>
        <w:ind w:firstLine="720"/>
        <w:jc w:val="both"/>
        <w:rPr>
          <w:rFonts w:ascii="Arial" w:hAnsi="Arial" w:cs="Arial"/>
          <w:lang w:val="mn-MN"/>
        </w:rPr>
      </w:pPr>
      <w:r w:rsidRPr="00922849">
        <w:rPr>
          <w:rFonts w:ascii="Arial" w:hAnsi="Arial" w:cs="Arial"/>
          <w:lang w:val="mn-MN"/>
        </w:rPr>
        <w:t>Хуулийн төслийг олон нийтээр хэлэлцүүлэх, иргэдийн саналыг тусгах зорилгоор дараах хэлэлцүүлгүүдийг зохион байгуулав</w:t>
      </w:r>
      <w:r>
        <w:rPr>
          <w:rFonts w:ascii="Arial" w:hAnsi="Arial" w:cs="Arial"/>
          <w:lang w:val="mn-MN"/>
        </w:rPr>
        <w:t>. Үүнд</w:t>
      </w:r>
      <w:r w:rsidRPr="00922849">
        <w:rPr>
          <w:rFonts w:ascii="Arial" w:hAnsi="Arial" w:cs="Arial"/>
          <w:lang w:val="mn-MN"/>
        </w:rPr>
        <w:t>:</w:t>
      </w:r>
    </w:p>
    <w:p w14:paraId="29737C71" w14:textId="77777777" w:rsidR="00A15C46" w:rsidRPr="008E72A5" w:rsidRDefault="00A15C46" w:rsidP="00A15C46">
      <w:pPr>
        <w:pStyle w:val="ListParagraph"/>
        <w:numPr>
          <w:ilvl w:val="0"/>
          <w:numId w:val="3"/>
        </w:numPr>
        <w:spacing w:line="276" w:lineRule="auto"/>
        <w:jc w:val="both"/>
        <w:rPr>
          <w:rFonts w:ascii="Arial" w:hAnsi="Arial" w:cs="Arial"/>
          <w:lang w:val="mn-MN"/>
        </w:rPr>
      </w:pPr>
      <w:r w:rsidRPr="008E72A5">
        <w:rPr>
          <w:rFonts w:ascii="Arial" w:hAnsi="Arial" w:cs="Arial"/>
          <w:lang w:val="mn-MN"/>
        </w:rPr>
        <w:t>2026 оны 02 дугаар сарын 25-ны өдөр: “Иргэдийг орон сууцжуулах эрх зүйн орчныг бүрдүүлэх нь” сэдэвт c</w:t>
      </w:r>
      <w:proofErr w:type="spellStart"/>
      <w:r w:rsidRPr="008E72A5">
        <w:rPr>
          <w:rFonts w:ascii="Arial" w:hAnsi="Arial" w:cs="Arial"/>
          <w:lang w:val="mn-MN"/>
        </w:rPr>
        <w:t>еминар</w:t>
      </w:r>
      <w:proofErr w:type="spellEnd"/>
      <w:r w:rsidRPr="008E72A5">
        <w:rPr>
          <w:rFonts w:ascii="Arial" w:hAnsi="Arial" w:cs="Arial"/>
          <w:lang w:val="mn-MN"/>
        </w:rPr>
        <w:t xml:space="preserve"> (workshop) зохион байгуулж ажлын хэсгийн гишүүд болон Бүгд Найрамдах Солонгос Улсын зөвлөхүүд оролцов. </w:t>
      </w:r>
    </w:p>
    <w:p w14:paraId="4E79D2F1" w14:textId="77777777" w:rsidR="00A15C46" w:rsidRPr="00922849" w:rsidRDefault="00A15C46" w:rsidP="00A15C46">
      <w:pPr>
        <w:numPr>
          <w:ilvl w:val="0"/>
          <w:numId w:val="3"/>
        </w:numPr>
        <w:spacing w:line="276" w:lineRule="auto"/>
        <w:jc w:val="both"/>
        <w:rPr>
          <w:rFonts w:ascii="Arial" w:hAnsi="Arial" w:cs="Arial"/>
          <w:lang w:val="mn-MN"/>
        </w:rPr>
      </w:pPr>
      <w:r w:rsidRPr="00922849">
        <w:rPr>
          <w:rFonts w:ascii="Arial" w:hAnsi="Arial" w:cs="Arial"/>
          <w:lang w:val="mn-MN"/>
        </w:rPr>
        <w:t>2026 оны 03 дугаар сарын 13-ны өдөр: “Иргэдийг орон сууцжуулах эрх зүйн орчныг бүрдүүлэх нь” сэдэвт олон нийтийн хэлэлцүүлэг</w:t>
      </w:r>
      <w:r>
        <w:rPr>
          <w:rFonts w:ascii="Arial" w:hAnsi="Arial" w:cs="Arial"/>
          <w:lang w:val="mn-MN"/>
        </w:rPr>
        <w:t xml:space="preserve"> зохион байгуулав.</w:t>
      </w:r>
    </w:p>
    <w:p w14:paraId="329E43DD" w14:textId="77CAA99B" w:rsidR="00A15C46" w:rsidRPr="00922849" w:rsidRDefault="00A15C46" w:rsidP="00A15C46">
      <w:pPr>
        <w:numPr>
          <w:ilvl w:val="0"/>
          <w:numId w:val="3"/>
        </w:numPr>
        <w:spacing w:line="276" w:lineRule="auto"/>
        <w:jc w:val="both"/>
        <w:rPr>
          <w:rFonts w:ascii="Arial" w:hAnsi="Arial" w:cs="Arial"/>
          <w:lang w:val="mn-MN"/>
        </w:rPr>
      </w:pPr>
      <w:r w:rsidRPr="28714599">
        <w:rPr>
          <w:rFonts w:ascii="Arial" w:hAnsi="Arial" w:cs="Arial"/>
          <w:lang w:val="mn-MN"/>
        </w:rPr>
        <w:lastRenderedPageBreak/>
        <w:t xml:space="preserve">2026 оны 03 дугаар сарын 31-ний өдөр: “Орон </w:t>
      </w:r>
      <w:proofErr w:type="spellStart"/>
      <w:r w:rsidRPr="28714599">
        <w:rPr>
          <w:rFonts w:ascii="Arial" w:hAnsi="Arial" w:cs="Arial"/>
          <w:lang w:val="mn-MN"/>
        </w:rPr>
        <w:t>сууцжуулалтын</w:t>
      </w:r>
      <w:proofErr w:type="spellEnd"/>
      <w:r w:rsidRPr="28714599">
        <w:rPr>
          <w:rFonts w:ascii="Arial" w:hAnsi="Arial" w:cs="Arial"/>
          <w:lang w:val="mn-MN"/>
        </w:rPr>
        <w:t xml:space="preserve"> тухай” болон “Орон сууцны санхүүжилтийн </w:t>
      </w:r>
      <w:r w:rsidR="7E309ECD" w:rsidRPr="28714599">
        <w:rPr>
          <w:rFonts w:ascii="Arial" w:eastAsia="Arial" w:hAnsi="Arial" w:cs="Arial"/>
          <w:color w:val="000000" w:themeColor="text1"/>
          <w:lang w:val="mn-MN"/>
        </w:rPr>
        <w:t>төрөлжсөн</w:t>
      </w:r>
      <w:r w:rsidR="7E309ECD" w:rsidRPr="28714599">
        <w:rPr>
          <w:rFonts w:ascii="Arial" w:eastAsia="Arial" w:hAnsi="Arial" w:cs="Arial"/>
          <w:lang w:val="mn-MN"/>
        </w:rPr>
        <w:t xml:space="preserve"> </w:t>
      </w:r>
      <w:r w:rsidRPr="28714599">
        <w:rPr>
          <w:rFonts w:ascii="Arial" w:hAnsi="Arial" w:cs="Arial"/>
          <w:lang w:val="mn-MN"/>
        </w:rPr>
        <w:t>банкны тухай” хуулийн төслүүдийг танилцуулах олон нийтийн хэлэлцүүлэг зохион байгуулав.</w:t>
      </w:r>
    </w:p>
    <w:p w14:paraId="7C9E46BB" w14:textId="77777777" w:rsidR="00A15C46" w:rsidRPr="00922849" w:rsidRDefault="00A15C46" w:rsidP="000019D8">
      <w:pPr>
        <w:spacing w:line="276" w:lineRule="auto"/>
        <w:ind w:firstLine="720"/>
        <w:jc w:val="both"/>
        <w:rPr>
          <w:rFonts w:ascii="Arial" w:hAnsi="Arial" w:cs="Arial"/>
          <w:lang w:val="mn-MN"/>
        </w:rPr>
      </w:pPr>
      <w:r w:rsidRPr="00922849">
        <w:rPr>
          <w:rFonts w:ascii="Arial" w:hAnsi="Arial" w:cs="Arial"/>
          <w:lang w:val="mn-MN"/>
        </w:rPr>
        <w:t>Эдгээр хэлэлцүүлгийн үеэр оролцогчид болон иргэдээс ирүүлсэн ерөнхий болон тусгай санал, шүүмж, зөвлөмжийг ажлын хэсэг хүлээн авч, нарийвчлан судалсны үндсэн дээр хуулийн төслийн холбогдох зохицуулалтуудад тусган боловсронгуй болгосон.</w:t>
      </w:r>
    </w:p>
    <w:p w14:paraId="5F0C5EC8" w14:textId="77777777" w:rsidR="00A15C46" w:rsidRPr="00922849" w:rsidRDefault="00A15C46" w:rsidP="00A15C46">
      <w:pPr>
        <w:spacing w:line="276" w:lineRule="auto"/>
        <w:jc w:val="both"/>
        <w:rPr>
          <w:rFonts w:ascii="Arial" w:hAnsi="Arial" w:cs="Arial"/>
          <w:b/>
          <w:bCs/>
          <w:lang w:val="mn-MN"/>
        </w:rPr>
      </w:pPr>
      <w:r w:rsidRPr="00922849">
        <w:rPr>
          <w:rFonts w:ascii="Arial" w:hAnsi="Arial" w:cs="Arial"/>
          <w:b/>
          <w:bCs/>
          <w:lang w:val="mn-MN"/>
        </w:rPr>
        <w:t>Долоо. Гадаад орны туршлага, бусад судалгаа, шинжилгээний тайлангийн дүгнэлт</w:t>
      </w:r>
    </w:p>
    <w:p w14:paraId="48F793E9" w14:textId="77777777" w:rsidR="00E725BA" w:rsidRDefault="00E725BA" w:rsidP="00E725BA">
      <w:pPr>
        <w:pStyle w:val="paragraph"/>
        <w:spacing w:after="0" w:line="276" w:lineRule="auto"/>
        <w:ind w:right="-15" w:firstLine="720"/>
        <w:jc w:val="both"/>
        <w:textAlignment w:val="baseline"/>
        <w:rPr>
          <w:rStyle w:val="normaltextrun"/>
          <w:rFonts w:ascii="Arial" w:hAnsi="Arial" w:cs="Arial"/>
          <w:lang w:val="mn-MN"/>
        </w:rPr>
      </w:pPr>
      <w:r>
        <w:rPr>
          <w:rStyle w:val="normaltextrun"/>
          <w:rFonts w:ascii="Arial" w:hAnsi="Arial" w:cs="Arial"/>
          <w:lang w:val="mn-MN"/>
        </w:rPr>
        <w:t>Уг хуулийн төслийг боловсруулахад Хууль тогтоомжийн тухай хуулийн дагуу холбогдох судалгаануудыг хийж гүйцэтгэсэн бөгөөд Дэлхийн банкнаас 2024 онд гаргасан “</w:t>
      </w:r>
      <w:r w:rsidRPr="000D2604">
        <w:rPr>
          <w:rStyle w:val="normaltextrun"/>
          <w:rFonts w:ascii="Arial" w:hAnsi="Arial" w:cs="Arial"/>
          <w:lang w:val="mn-MN"/>
        </w:rPr>
        <w:t>Монголын гэр хорооллыг дахин</w:t>
      </w:r>
      <w:r>
        <w:rPr>
          <w:rStyle w:val="normaltextrun"/>
          <w:rFonts w:ascii="Arial" w:hAnsi="Arial" w:cs="Arial"/>
          <w:lang w:val="mn-MN"/>
        </w:rPr>
        <w:t xml:space="preserve"> т</w:t>
      </w:r>
      <w:r w:rsidRPr="000D2604">
        <w:rPr>
          <w:rStyle w:val="normaltextrun"/>
          <w:rFonts w:ascii="Arial" w:hAnsi="Arial" w:cs="Arial"/>
          <w:lang w:val="mn-MN"/>
        </w:rPr>
        <w:t>өсөөлөх нь: Ногоон, гамшигт тэсвэртэй, орлогод нийцсэн орон сууцны загвар</w:t>
      </w:r>
      <w:r>
        <w:rPr>
          <w:rStyle w:val="normaltextrun"/>
          <w:rFonts w:ascii="Arial" w:hAnsi="Arial" w:cs="Arial"/>
          <w:lang w:val="mn-MN"/>
        </w:rPr>
        <w:t>”</w:t>
      </w:r>
      <w:r>
        <w:rPr>
          <w:rStyle w:val="FootnoteReference"/>
          <w:rFonts w:ascii="Arial" w:hAnsi="Arial" w:cs="Arial"/>
          <w:lang w:val="mn-MN"/>
        </w:rPr>
        <w:footnoteReference w:id="1"/>
      </w:r>
      <w:r>
        <w:rPr>
          <w:rStyle w:val="normaltextrun"/>
          <w:rFonts w:ascii="Arial" w:hAnsi="Arial" w:cs="Arial"/>
          <w:lang w:val="mn-MN"/>
        </w:rPr>
        <w:t xml:space="preserve">-ыг ашигласан. Мөн хуулийн төсөлд ХБНГУ-ын </w:t>
      </w:r>
      <w:proofErr w:type="spellStart"/>
      <w:r w:rsidRPr="00670AB3">
        <w:rPr>
          <w:rStyle w:val="normaltextrun"/>
          <w:rFonts w:ascii="Arial" w:hAnsi="Arial" w:cs="Arial"/>
          <w:lang w:val="mn-MN"/>
        </w:rPr>
        <w:t>Шпаркассэ</w:t>
      </w:r>
      <w:proofErr w:type="spellEnd"/>
      <w:r w:rsidRPr="00670AB3">
        <w:rPr>
          <w:rStyle w:val="normaltextrun"/>
          <w:rFonts w:ascii="Arial" w:hAnsi="Arial" w:cs="Arial"/>
          <w:lang w:val="mn-MN"/>
        </w:rPr>
        <w:t xml:space="preserve"> банкны олон улсын хамтын </w:t>
      </w:r>
      <w:proofErr w:type="spellStart"/>
      <w:r w:rsidRPr="00670AB3">
        <w:rPr>
          <w:rStyle w:val="normaltextrun"/>
          <w:rFonts w:ascii="Arial" w:hAnsi="Arial" w:cs="Arial"/>
          <w:lang w:val="mn-MN"/>
        </w:rPr>
        <w:t>ажилл</w:t>
      </w:r>
      <w:proofErr w:type="spellEnd"/>
      <w:r w:rsidRPr="00670AB3">
        <w:rPr>
          <w:rStyle w:val="normaltextrun"/>
          <w:rFonts w:ascii="Arial" w:hAnsi="Arial" w:cs="Arial"/>
          <w:lang w:val="mn-MN"/>
        </w:rPr>
        <w:t xml:space="preserve">aгааны </w:t>
      </w:r>
      <w:r>
        <w:rPr>
          <w:rStyle w:val="normaltextrun"/>
          <w:rFonts w:ascii="Arial" w:hAnsi="Arial" w:cs="Arial"/>
          <w:lang w:val="mn-MN"/>
        </w:rPr>
        <w:t>сангийн хамтын ажиллагааны хүрээнд өгсөн санал, зөвлөмжийг авсан болно.</w:t>
      </w:r>
      <w:r>
        <w:rPr>
          <w:rStyle w:val="FootnoteReference"/>
          <w:rFonts w:ascii="Arial" w:hAnsi="Arial" w:cs="Arial"/>
          <w:lang w:val="mn-MN"/>
        </w:rPr>
        <w:footnoteReference w:id="2"/>
      </w:r>
    </w:p>
    <w:p w14:paraId="75410A66" w14:textId="77777777" w:rsidR="007D0F31" w:rsidRPr="00922849" w:rsidRDefault="007D0F31" w:rsidP="00A15C46">
      <w:pPr>
        <w:spacing w:line="276" w:lineRule="auto"/>
        <w:ind w:firstLine="720"/>
        <w:jc w:val="both"/>
        <w:rPr>
          <w:rFonts w:ascii="Arial" w:hAnsi="Arial" w:cs="Arial"/>
          <w:lang w:val="mn-MN"/>
        </w:rPr>
      </w:pPr>
    </w:p>
    <w:p w14:paraId="7997626C" w14:textId="77777777" w:rsidR="00A15C46" w:rsidRDefault="00A15C46" w:rsidP="00A15C46">
      <w:pPr>
        <w:spacing w:line="276" w:lineRule="auto"/>
        <w:jc w:val="center"/>
        <w:rPr>
          <w:rFonts w:ascii="Arial" w:hAnsi="Arial" w:cs="Arial"/>
          <w:lang w:val="mn-MN"/>
        </w:rPr>
      </w:pPr>
    </w:p>
    <w:p w14:paraId="3FA7D041" w14:textId="77777777" w:rsidR="00A15C46" w:rsidRPr="00922849" w:rsidRDefault="00A15C46" w:rsidP="00A15C46">
      <w:pPr>
        <w:spacing w:line="276" w:lineRule="auto"/>
        <w:jc w:val="center"/>
        <w:rPr>
          <w:rFonts w:ascii="Arial" w:hAnsi="Arial" w:cs="Arial"/>
          <w:lang w:val="mn-MN"/>
        </w:rPr>
      </w:pPr>
      <w:r w:rsidRPr="00922849">
        <w:rPr>
          <w:rFonts w:ascii="Arial" w:hAnsi="Arial" w:cs="Arial"/>
          <w:lang w:val="mn-MN"/>
        </w:rPr>
        <w:t>---oOo---</w:t>
      </w:r>
    </w:p>
    <w:p w14:paraId="5D89992D" w14:textId="1E68F1E0" w:rsidR="000E364A" w:rsidRPr="00DE1553" w:rsidRDefault="000E364A"/>
    <w:sectPr w:rsidR="000E364A" w:rsidRPr="00DE1553" w:rsidSect="00A15C46">
      <w:footerReference w:type="even" r:id="rId7"/>
      <w:footerReference w:type="default" r:id="rId8"/>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0CB6D" w14:textId="77777777" w:rsidR="000A4405" w:rsidRDefault="000A4405" w:rsidP="007D0F31">
      <w:pPr>
        <w:spacing w:after="0" w:line="240" w:lineRule="auto"/>
      </w:pPr>
      <w:r>
        <w:separator/>
      </w:r>
    </w:p>
  </w:endnote>
  <w:endnote w:type="continuationSeparator" w:id="0">
    <w:p w14:paraId="4EC772A6" w14:textId="77777777" w:rsidR="000A4405" w:rsidRDefault="000A4405" w:rsidP="007D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0126495"/>
      <w:docPartObj>
        <w:docPartGallery w:val="Page Numbers (Bottom of Page)"/>
        <w:docPartUnique/>
      </w:docPartObj>
    </w:sdtPr>
    <w:sdtContent>
      <w:p w14:paraId="23ED33BE" w14:textId="77777777" w:rsidR="00A15C46" w:rsidRDefault="00A15C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E6C99A" w14:textId="77777777" w:rsidR="00A15C46" w:rsidRDefault="00A15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387136"/>
      <w:docPartObj>
        <w:docPartGallery w:val="Page Numbers (Bottom of Page)"/>
        <w:docPartUnique/>
      </w:docPartObj>
    </w:sdtPr>
    <w:sdtContent>
      <w:p w14:paraId="6221021E" w14:textId="572BC828" w:rsidR="00A15C46" w:rsidRDefault="00A15C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75B28EB" w14:textId="77777777" w:rsidR="00A15C46" w:rsidRDefault="00A15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7FEB" w14:textId="77777777" w:rsidR="000A4405" w:rsidRDefault="000A4405" w:rsidP="007D0F31">
      <w:pPr>
        <w:spacing w:after="0" w:line="240" w:lineRule="auto"/>
      </w:pPr>
      <w:r>
        <w:separator/>
      </w:r>
    </w:p>
  </w:footnote>
  <w:footnote w:type="continuationSeparator" w:id="0">
    <w:p w14:paraId="12C03C39" w14:textId="77777777" w:rsidR="000A4405" w:rsidRDefault="000A4405" w:rsidP="007D0F31">
      <w:pPr>
        <w:spacing w:after="0" w:line="240" w:lineRule="auto"/>
      </w:pPr>
      <w:r>
        <w:continuationSeparator/>
      </w:r>
    </w:p>
  </w:footnote>
  <w:footnote w:id="1">
    <w:p w14:paraId="5CF21DC5" w14:textId="77777777" w:rsidR="00E725BA" w:rsidRPr="00B931A4" w:rsidRDefault="00E725BA" w:rsidP="00E725BA">
      <w:pPr>
        <w:pStyle w:val="FootnoteText"/>
        <w:rPr>
          <w:lang w:val="mn-MN"/>
        </w:rPr>
      </w:pPr>
      <w:r>
        <w:rPr>
          <w:rStyle w:val="FootnoteReference"/>
        </w:rPr>
        <w:footnoteRef/>
      </w:r>
      <w:r>
        <w:t xml:space="preserve"> Дэлхийн банк. 2024. Монголын гэр хорооллыг дахин</w:t>
      </w:r>
      <w:r>
        <w:rPr>
          <w:lang w:val="mn-MN"/>
        </w:rPr>
        <w:t xml:space="preserve"> </w:t>
      </w:r>
      <w:r>
        <w:t>төсөөлөх нь: Ногоон, гамшигт тэсвэртэй, орлогод нийцсэн орон сууцны загвар. Вашингтон, ДС:</w:t>
      </w:r>
      <w:r>
        <w:rPr>
          <w:lang w:val="mn-MN"/>
        </w:rPr>
        <w:t xml:space="preserve"> </w:t>
      </w:r>
      <w:r>
        <w:t>Дэлхийн банк.</w:t>
      </w:r>
    </w:p>
  </w:footnote>
  <w:footnote w:id="2">
    <w:p w14:paraId="4F6CFD62" w14:textId="77777777" w:rsidR="00E725BA" w:rsidRPr="00B931A4" w:rsidRDefault="00E725BA" w:rsidP="00E725BA">
      <w:pPr>
        <w:pStyle w:val="FootnoteText"/>
        <w:rPr>
          <w:lang w:val="mn-MN"/>
        </w:rPr>
      </w:pPr>
      <w:r>
        <w:rPr>
          <w:rStyle w:val="FootnoteReference"/>
        </w:rPr>
        <w:footnoteRef/>
      </w:r>
      <w:r>
        <w:t xml:space="preserve"> </w:t>
      </w:r>
      <w:r w:rsidRPr="00B931A4">
        <w:t xml:space="preserve">German </w:t>
      </w:r>
      <w:r w:rsidRPr="00B931A4">
        <w:t>Sparkassenstiftung</w:t>
      </w:r>
      <w:r>
        <w:rPr>
          <w:lang w:val="mn-MN"/>
        </w:rPr>
        <w:t xml:space="preserve">, </w:t>
      </w:r>
      <w:r>
        <w:t>Analysis of the Mongolian draft law for a Housing Finance Bank (HFB)</w:t>
      </w:r>
      <w:r>
        <w:rPr>
          <w:lang w:val="mn-MN"/>
        </w:rPr>
        <w:t xml:space="preserve"> </w:t>
      </w:r>
      <w:r>
        <w:t>based on BoM's draft law</w:t>
      </w:r>
      <w:r>
        <w:rPr>
          <w:lang w:val="mn-MN"/>
        </w:rPr>
        <w:t>,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901B2"/>
    <w:multiLevelType w:val="multilevel"/>
    <w:tmpl w:val="9570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F04EA"/>
    <w:multiLevelType w:val="multilevel"/>
    <w:tmpl w:val="6DD02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BD5031"/>
    <w:multiLevelType w:val="hybridMultilevel"/>
    <w:tmpl w:val="26063F30"/>
    <w:lvl w:ilvl="0" w:tplc="BDD061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6994495">
    <w:abstractNumId w:val="0"/>
  </w:num>
  <w:num w:numId="2" w16cid:durableId="865750948">
    <w:abstractNumId w:val="2"/>
  </w:num>
  <w:num w:numId="3" w16cid:durableId="15405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A5"/>
    <w:rsid w:val="000019D8"/>
    <w:rsid w:val="00010AF3"/>
    <w:rsid w:val="00030181"/>
    <w:rsid w:val="00041A6D"/>
    <w:rsid w:val="000432AF"/>
    <w:rsid w:val="000539FB"/>
    <w:rsid w:val="0006670B"/>
    <w:rsid w:val="00072E62"/>
    <w:rsid w:val="00076AA0"/>
    <w:rsid w:val="000A0971"/>
    <w:rsid w:val="000A09B0"/>
    <w:rsid w:val="000A4405"/>
    <w:rsid w:val="000A4A25"/>
    <w:rsid w:val="000B1CEA"/>
    <w:rsid w:val="000B7DB9"/>
    <w:rsid w:val="000C5FB5"/>
    <w:rsid w:val="000D7D10"/>
    <w:rsid w:val="000E364A"/>
    <w:rsid w:val="000E6A02"/>
    <w:rsid w:val="000F2934"/>
    <w:rsid w:val="00114E65"/>
    <w:rsid w:val="001236DE"/>
    <w:rsid w:val="0016234E"/>
    <w:rsid w:val="00172F77"/>
    <w:rsid w:val="001768BC"/>
    <w:rsid w:val="00193564"/>
    <w:rsid w:val="0019406B"/>
    <w:rsid w:val="001F7446"/>
    <w:rsid w:val="002023DC"/>
    <w:rsid w:val="00221A50"/>
    <w:rsid w:val="002441D7"/>
    <w:rsid w:val="002600F6"/>
    <w:rsid w:val="00270DA5"/>
    <w:rsid w:val="00271E9B"/>
    <w:rsid w:val="00277C98"/>
    <w:rsid w:val="0029695D"/>
    <w:rsid w:val="002B5DDA"/>
    <w:rsid w:val="002D5760"/>
    <w:rsid w:val="002E4778"/>
    <w:rsid w:val="002F69E4"/>
    <w:rsid w:val="003275BD"/>
    <w:rsid w:val="00327F3A"/>
    <w:rsid w:val="00333870"/>
    <w:rsid w:val="003431FA"/>
    <w:rsid w:val="00350101"/>
    <w:rsid w:val="0037051C"/>
    <w:rsid w:val="0038464A"/>
    <w:rsid w:val="00386E67"/>
    <w:rsid w:val="00392B26"/>
    <w:rsid w:val="00395D23"/>
    <w:rsid w:val="003A13FD"/>
    <w:rsid w:val="003C63E5"/>
    <w:rsid w:val="003D5897"/>
    <w:rsid w:val="003D618C"/>
    <w:rsid w:val="003E0652"/>
    <w:rsid w:val="003E409B"/>
    <w:rsid w:val="003E62A9"/>
    <w:rsid w:val="003F1319"/>
    <w:rsid w:val="003F285C"/>
    <w:rsid w:val="004445B3"/>
    <w:rsid w:val="0044487B"/>
    <w:rsid w:val="00483E3A"/>
    <w:rsid w:val="004E1349"/>
    <w:rsid w:val="004E29FC"/>
    <w:rsid w:val="004E32CA"/>
    <w:rsid w:val="004F3F54"/>
    <w:rsid w:val="004F5A2E"/>
    <w:rsid w:val="004F761B"/>
    <w:rsid w:val="00506842"/>
    <w:rsid w:val="005439FA"/>
    <w:rsid w:val="00554F1A"/>
    <w:rsid w:val="00566FD5"/>
    <w:rsid w:val="00581645"/>
    <w:rsid w:val="00582E28"/>
    <w:rsid w:val="0059731F"/>
    <w:rsid w:val="005C04AD"/>
    <w:rsid w:val="005C2D22"/>
    <w:rsid w:val="005C4190"/>
    <w:rsid w:val="005C5378"/>
    <w:rsid w:val="005D0FB6"/>
    <w:rsid w:val="00612D3C"/>
    <w:rsid w:val="006246C7"/>
    <w:rsid w:val="00641CAF"/>
    <w:rsid w:val="00643770"/>
    <w:rsid w:val="0064672D"/>
    <w:rsid w:val="00655908"/>
    <w:rsid w:val="00666212"/>
    <w:rsid w:val="00673B45"/>
    <w:rsid w:val="00681518"/>
    <w:rsid w:val="0068549D"/>
    <w:rsid w:val="006C0EB2"/>
    <w:rsid w:val="006C5449"/>
    <w:rsid w:val="00705EA8"/>
    <w:rsid w:val="00741728"/>
    <w:rsid w:val="00747E3D"/>
    <w:rsid w:val="00754023"/>
    <w:rsid w:val="00776DCF"/>
    <w:rsid w:val="00786387"/>
    <w:rsid w:val="0079387E"/>
    <w:rsid w:val="007D0F31"/>
    <w:rsid w:val="007D5C44"/>
    <w:rsid w:val="007D63F2"/>
    <w:rsid w:val="007E035C"/>
    <w:rsid w:val="00803EA1"/>
    <w:rsid w:val="008052BB"/>
    <w:rsid w:val="008132CC"/>
    <w:rsid w:val="00813BAE"/>
    <w:rsid w:val="008169F7"/>
    <w:rsid w:val="00827A08"/>
    <w:rsid w:val="00830024"/>
    <w:rsid w:val="008618F1"/>
    <w:rsid w:val="00862232"/>
    <w:rsid w:val="008627DF"/>
    <w:rsid w:val="00863A5C"/>
    <w:rsid w:val="0087420A"/>
    <w:rsid w:val="00875A5C"/>
    <w:rsid w:val="008824EA"/>
    <w:rsid w:val="008901B3"/>
    <w:rsid w:val="008D29B1"/>
    <w:rsid w:val="008E06E6"/>
    <w:rsid w:val="0092226A"/>
    <w:rsid w:val="009340DF"/>
    <w:rsid w:val="00934A66"/>
    <w:rsid w:val="00940C0E"/>
    <w:rsid w:val="00946BEB"/>
    <w:rsid w:val="00955402"/>
    <w:rsid w:val="00990F3E"/>
    <w:rsid w:val="009B6139"/>
    <w:rsid w:val="009F62E4"/>
    <w:rsid w:val="009F716B"/>
    <w:rsid w:val="00A052BF"/>
    <w:rsid w:val="00A10039"/>
    <w:rsid w:val="00A15C46"/>
    <w:rsid w:val="00A24C32"/>
    <w:rsid w:val="00A24D28"/>
    <w:rsid w:val="00A33653"/>
    <w:rsid w:val="00A40812"/>
    <w:rsid w:val="00A41B47"/>
    <w:rsid w:val="00A46EC7"/>
    <w:rsid w:val="00A473DF"/>
    <w:rsid w:val="00A55B67"/>
    <w:rsid w:val="00A5728B"/>
    <w:rsid w:val="00A75341"/>
    <w:rsid w:val="00AC7537"/>
    <w:rsid w:val="00AD0C62"/>
    <w:rsid w:val="00AE293B"/>
    <w:rsid w:val="00AF6AB9"/>
    <w:rsid w:val="00B01A7E"/>
    <w:rsid w:val="00B27550"/>
    <w:rsid w:val="00B53B36"/>
    <w:rsid w:val="00B61E86"/>
    <w:rsid w:val="00B83813"/>
    <w:rsid w:val="00BD79A1"/>
    <w:rsid w:val="00BE4B1C"/>
    <w:rsid w:val="00BF21EB"/>
    <w:rsid w:val="00C10D52"/>
    <w:rsid w:val="00C13B6F"/>
    <w:rsid w:val="00C15E6E"/>
    <w:rsid w:val="00C17FDE"/>
    <w:rsid w:val="00C27EBE"/>
    <w:rsid w:val="00C3403A"/>
    <w:rsid w:val="00C4430A"/>
    <w:rsid w:val="00C84E43"/>
    <w:rsid w:val="00C937F3"/>
    <w:rsid w:val="00CB17CF"/>
    <w:rsid w:val="00CC5796"/>
    <w:rsid w:val="00CD75E6"/>
    <w:rsid w:val="00CF328F"/>
    <w:rsid w:val="00D355B0"/>
    <w:rsid w:val="00D55C82"/>
    <w:rsid w:val="00D60DC3"/>
    <w:rsid w:val="00D7717B"/>
    <w:rsid w:val="00D7729A"/>
    <w:rsid w:val="00D8598A"/>
    <w:rsid w:val="00D93F47"/>
    <w:rsid w:val="00D945CF"/>
    <w:rsid w:val="00DA5B89"/>
    <w:rsid w:val="00DB12E5"/>
    <w:rsid w:val="00DE1553"/>
    <w:rsid w:val="00DF3236"/>
    <w:rsid w:val="00E0004E"/>
    <w:rsid w:val="00E12546"/>
    <w:rsid w:val="00E145CB"/>
    <w:rsid w:val="00E1785E"/>
    <w:rsid w:val="00E47145"/>
    <w:rsid w:val="00E54B5D"/>
    <w:rsid w:val="00E6353C"/>
    <w:rsid w:val="00E673E8"/>
    <w:rsid w:val="00E725BA"/>
    <w:rsid w:val="00E801D9"/>
    <w:rsid w:val="00E92E8B"/>
    <w:rsid w:val="00EA51CE"/>
    <w:rsid w:val="00EA663C"/>
    <w:rsid w:val="00EB097D"/>
    <w:rsid w:val="00EB38DE"/>
    <w:rsid w:val="00EC10B7"/>
    <w:rsid w:val="00ED387B"/>
    <w:rsid w:val="00EE3067"/>
    <w:rsid w:val="00EE4BA3"/>
    <w:rsid w:val="00EE4D3C"/>
    <w:rsid w:val="00EF2A86"/>
    <w:rsid w:val="00EF6C5D"/>
    <w:rsid w:val="00F026CB"/>
    <w:rsid w:val="00F11460"/>
    <w:rsid w:val="00F17EA5"/>
    <w:rsid w:val="00F427D2"/>
    <w:rsid w:val="00F533D8"/>
    <w:rsid w:val="00F73417"/>
    <w:rsid w:val="00F84041"/>
    <w:rsid w:val="00F86F5E"/>
    <w:rsid w:val="00FD2337"/>
    <w:rsid w:val="02FED613"/>
    <w:rsid w:val="03DBAD06"/>
    <w:rsid w:val="09F369C8"/>
    <w:rsid w:val="0B77F28C"/>
    <w:rsid w:val="0CC54CB1"/>
    <w:rsid w:val="0CE35C10"/>
    <w:rsid w:val="0DE64828"/>
    <w:rsid w:val="0E9541F7"/>
    <w:rsid w:val="0EEC3633"/>
    <w:rsid w:val="0F6F0865"/>
    <w:rsid w:val="11BB7199"/>
    <w:rsid w:val="11C7B57B"/>
    <w:rsid w:val="127220B7"/>
    <w:rsid w:val="135FABA0"/>
    <w:rsid w:val="1716C157"/>
    <w:rsid w:val="18B098C2"/>
    <w:rsid w:val="19AB4A5E"/>
    <w:rsid w:val="1A51A929"/>
    <w:rsid w:val="1B14FE4D"/>
    <w:rsid w:val="1B682496"/>
    <w:rsid w:val="1B89B53B"/>
    <w:rsid w:val="1DD22317"/>
    <w:rsid w:val="24C166B4"/>
    <w:rsid w:val="250D5BBE"/>
    <w:rsid w:val="273C93C7"/>
    <w:rsid w:val="28714599"/>
    <w:rsid w:val="29390229"/>
    <w:rsid w:val="2C4DB6A2"/>
    <w:rsid w:val="2E626F03"/>
    <w:rsid w:val="2EBA5F37"/>
    <w:rsid w:val="2F2D61DB"/>
    <w:rsid w:val="32CEF3A8"/>
    <w:rsid w:val="340C682F"/>
    <w:rsid w:val="35ED214C"/>
    <w:rsid w:val="383D5439"/>
    <w:rsid w:val="397748BD"/>
    <w:rsid w:val="3A6AB281"/>
    <w:rsid w:val="3ACB5718"/>
    <w:rsid w:val="3C0F2AF2"/>
    <w:rsid w:val="3C3816DA"/>
    <w:rsid w:val="3C4498EA"/>
    <w:rsid w:val="3C6C2B83"/>
    <w:rsid w:val="3F2C562C"/>
    <w:rsid w:val="3F4B6166"/>
    <w:rsid w:val="3F58E73A"/>
    <w:rsid w:val="40586606"/>
    <w:rsid w:val="4222ECC0"/>
    <w:rsid w:val="47C7F0CF"/>
    <w:rsid w:val="47E1C3ED"/>
    <w:rsid w:val="48C083C3"/>
    <w:rsid w:val="4C59D4AD"/>
    <w:rsid w:val="4DFFCBFC"/>
    <w:rsid w:val="5144AE7D"/>
    <w:rsid w:val="5460B854"/>
    <w:rsid w:val="553E2357"/>
    <w:rsid w:val="5614CCDE"/>
    <w:rsid w:val="58594636"/>
    <w:rsid w:val="59467042"/>
    <w:rsid w:val="59E9738D"/>
    <w:rsid w:val="59FE2F8B"/>
    <w:rsid w:val="5A30D7B3"/>
    <w:rsid w:val="60DFBADE"/>
    <w:rsid w:val="6184DF59"/>
    <w:rsid w:val="6597C905"/>
    <w:rsid w:val="65FD6749"/>
    <w:rsid w:val="6B00757D"/>
    <w:rsid w:val="6B2BDB03"/>
    <w:rsid w:val="70BF193D"/>
    <w:rsid w:val="73741B6A"/>
    <w:rsid w:val="75F63C1E"/>
    <w:rsid w:val="7990CFC3"/>
    <w:rsid w:val="7E309ECD"/>
    <w:rsid w:val="7F82A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9C3D"/>
  <w15:chartTrackingRefBased/>
  <w15:docId w15:val="{17E1854C-F9EA-458F-B340-EAC8C665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C46"/>
  </w:style>
  <w:style w:type="paragraph" w:styleId="Heading1">
    <w:name w:val="heading 1"/>
    <w:basedOn w:val="Normal"/>
    <w:next w:val="Normal"/>
    <w:link w:val="Heading1Char"/>
    <w:uiPriority w:val="9"/>
    <w:qFormat/>
    <w:rsid w:val="00F17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EA5"/>
    <w:rPr>
      <w:rFonts w:eastAsiaTheme="majorEastAsia" w:cstheme="majorBidi"/>
      <w:color w:val="272727" w:themeColor="text1" w:themeTint="D8"/>
    </w:rPr>
  </w:style>
  <w:style w:type="paragraph" w:styleId="Title">
    <w:name w:val="Title"/>
    <w:basedOn w:val="Normal"/>
    <w:next w:val="Normal"/>
    <w:link w:val="TitleChar"/>
    <w:uiPriority w:val="10"/>
    <w:qFormat/>
    <w:rsid w:val="00F17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EA5"/>
    <w:pPr>
      <w:spacing w:before="160"/>
      <w:jc w:val="center"/>
    </w:pPr>
    <w:rPr>
      <w:i/>
      <w:iCs/>
      <w:color w:val="404040" w:themeColor="text1" w:themeTint="BF"/>
    </w:rPr>
  </w:style>
  <w:style w:type="character" w:customStyle="1" w:styleId="QuoteChar">
    <w:name w:val="Quote Char"/>
    <w:basedOn w:val="DefaultParagraphFont"/>
    <w:link w:val="Quote"/>
    <w:uiPriority w:val="29"/>
    <w:rsid w:val="00F17EA5"/>
    <w:rPr>
      <w:i/>
      <w:iCs/>
      <w:color w:val="404040" w:themeColor="text1" w:themeTint="BF"/>
    </w:rPr>
  </w:style>
  <w:style w:type="paragraph" w:styleId="ListParagraph">
    <w:name w:val="List Paragraph"/>
    <w:basedOn w:val="Normal"/>
    <w:uiPriority w:val="34"/>
    <w:qFormat/>
    <w:rsid w:val="00F17EA5"/>
    <w:pPr>
      <w:ind w:left="720"/>
      <w:contextualSpacing/>
    </w:pPr>
  </w:style>
  <w:style w:type="character" w:styleId="IntenseEmphasis">
    <w:name w:val="Intense Emphasis"/>
    <w:basedOn w:val="DefaultParagraphFont"/>
    <w:uiPriority w:val="21"/>
    <w:qFormat/>
    <w:rsid w:val="00F17EA5"/>
    <w:rPr>
      <w:i/>
      <w:iCs/>
      <w:color w:val="0F4761" w:themeColor="accent1" w:themeShade="BF"/>
    </w:rPr>
  </w:style>
  <w:style w:type="paragraph" w:styleId="IntenseQuote">
    <w:name w:val="Intense Quote"/>
    <w:basedOn w:val="Normal"/>
    <w:next w:val="Normal"/>
    <w:link w:val="IntenseQuoteChar"/>
    <w:uiPriority w:val="30"/>
    <w:qFormat/>
    <w:rsid w:val="00F17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EA5"/>
    <w:rPr>
      <w:i/>
      <w:iCs/>
      <w:color w:val="0F4761" w:themeColor="accent1" w:themeShade="BF"/>
    </w:rPr>
  </w:style>
  <w:style w:type="character" w:styleId="IntenseReference">
    <w:name w:val="Intense Reference"/>
    <w:basedOn w:val="DefaultParagraphFont"/>
    <w:uiPriority w:val="32"/>
    <w:qFormat/>
    <w:rsid w:val="00F17EA5"/>
    <w:rPr>
      <w:b/>
      <w:bCs/>
      <w:smallCaps/>
      <w:color w:val="0F4761" w:themeColor="accent1" w:themeShade="BF"/>
      <w:spacing w:val="5"/>
    </w:rPr>
  </w:style>
  <w:style w:type="paragraph" w:styleId="Footer">
    <w:name w:val="footer"/>
    <w:basedOn w:val="Normal"/>
    <w:link w:val="FooterChar"/>
    <w:uiPriority w:val="99"/>
    <w:unhideWhenUsed/>
    <w:rsid w:val="00A15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C46"/>
  </w:style>
  <w:style w:type="character" w:styleId="PageNumber">
    <w:name w:val="page number"/>
    <w:basedOn w:val="DefaultParagraphFont"/>
    <w:uiPriority w:val="99"/>
    <w:semiHidden/>
    <w:unhideWhenUsed/>
    <w:rsid w:val="00A15C46"/>
  </w:style>
  <w:style w:type="paragraph" w:styleId="Revision">
    <w:name w:val="Revision"/>
    <w:hidden/>
    <w:uiPriority w:val="99"/>
    <w:semiHidden/>
    <w:rsid w:val="009B6139"/>
    <w:pPr>
      <w:spacing w:after="0" w:line="240" w:lineRule="auto"/>
    </w:pPr>
  </w:style>
  <w:style w:type="paragraph" w:customStyle="1" w:styleId="paragraph">
    <w:name w:val="paragraph"/>
    <w:basedOn w:val="Normal"/>
    <w:rsid w:val="00E725B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725BA"/>
  </w:style>
  <w:style w:type="paragraph" w:styleId="FootnoteText">
    <w:name w:val="footnote text"/>
    <w:basedOn w:val="Normal"/>
    <w:link w:val="FootnoteTextChar"/>
    <w:uiPriority w:val="99"/>
    <w:semiHidden/>
    <w:unhideWhenUsed/>
    <w:rsid w:val="00E725B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E725BA"/>
    <w:rPr>
      <w:kern w:val="0"/>
      <w:sz w:val="20"/>
      <w:szCs w:val="20"/>
      <w14:ligatures w14:val="none"/>
    </w:rPr>
  </w:style>
  <w:style w:type="character" w:styleId="FootnoteReference">
    <w:name w:val="footnote reference"/>
    <w:basedOn w:val="DefaultParagraphFont"/>
    <w:uiPriority w:val="99"/>
    <w:semiHidden/>
    <w:unhideWhenUsed/>
    <w:rsid w:val="00E725BA"/>
    <w:rPr>
      <w:vertAlign w:val="superscript"/>
    </w:rPr>
  </w:style>
  <w:style w:type="paragraph" w:styleId="Header">
    <w:name w:val="header"/>
    <w:basedOn w:val="Normal"/>
    <w:link w:val="HeaderChar"/>
    <w:uiPriority w:val="99"/>
    <w:semiHidden/>
    <w:unhideWhenUsed/>
    <w:rsid w:val="004F5A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5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1352</Words>
  <Characters>7712</Characters>
  <Application>Microsoft Office Word</Application>
  <DocSecurity>0</DocSecurity>
  <Lines>64</Lines>
  <Paragraphs>18</Paragraphs>
  <ScaleCrop>false</ScaleCrop>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СЗЗВГ Танан.Ц</dc:creator>
  <cp:keywords/>
  <dc:description/>
  <cp:lastModifiedBy>СЗЗВГ Мягмарчулуун.Ц</cp:lastModifiedBy>
  <cp:revision>78</cp:revision>
  <dcterms:created xsi:type="dcterms:W3CDTF">2026-05-26T23:26:00Z</dcterms:created>
  <dcterms:modified xsi:type="dcterms:W3CDTF">2026-05-29T10:07:00Z</dcterms:modified>
</cp:coreProperties>
</file>